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53D31" w14:textId="77777777" w:rsidR="00CD1F22" w:rsidRPr="00916B3A" w:rsidRDefault="00CD1F22" w:rsidP="00CD1F22">
      <w:pPr>
        <w:jc w:val="center"/>
        <w:rPr>
          <w:rFonts w:ascii="Times New Roman" w:hAnsi="Times New Roman"/>
          <w:caps/>
          <w:sz w:val="28"/>
          <w:szCs w:val="28"/>
        </w:rPr>
      </w:pPr>
      <w:r w:rsidRPr="00916B3A">
        <w:rPr>
          <w:rFonts w:ascii="Times New Roman" w:hAnsi="Times New Roman"/>
          <w:sz w:val="28"/>
          <w:szCs w:val="28"/>
        </w:rPr>
        <w:t>Высшая школа общественного здравоохранения</w:t>
      </w:r>
    </w:p>
    <w:p w14:paraId="5AC7A72D" w14:textId="3B268883" w:rsidR="00CD1F22" w:rsidRDefault="00CD1F22" w:rsidP="000B7B11">
      <w:pPr>
        <w:pStyle w:val="afa"/>
        <w:jc w:val="both"/>
        <w:rPr>
          <w:rFonts w:ascii="Times New Roman" w:hAnsi="Times New Roman" w:cs="Times New Roman"/>
          <w:b/>
          <w:bCs/>
          <w:sz w:val="28"/>
          <w:szCs w:val="28"/>
        </w:rPr>
      </w:pPr>
    </w:p>
    <w:p w14:paraId="504FE0F5" w14:textId="77777777" w:rsidR="00B81DFD" w:rsidRPr="00916B3A" w:rsidRDefault="00B81DFD" w:rsidP="000B7B11">
      <w:pPr>
        <w:pStyle w:val="afa"/>
        <w:jc w:val="both"/>
        <w:rPr>
          <w:rFonts w:ascii="Times New Roman" w:hAnsi="Times New Roman" w:cs="Times New Roman"/>
          <w:b/>
          <w:bCs/>
          <w:sz w:val="28"/>
          <w:szCs w:val="28"/>
        </w:rPr>
      </w:pPr>
    </w:p>
    <w:p w14:paraId="170C1DCB" w14:textId="17600C61" w:rsidR="009A77D8" w:rsidRPr="00916B3A" w:rsidRDefault="009A77D8" w:rsidP="00B81DFD">
      <w:pPr>
        <w:pStyle w:val="afa"/>
        <w:jc w:val="center"/>
        <w:rPr>
          <w:rFonts w:ascii="Times New Roman" w:hAnsi="Times New Roman" w:cs="Times New Roman"/>
          <w:sz w:val="28"/>
          <w:szCs w:val="28"/>
        </w:rPr>
      </w:pPr>
      <w:r w:rsidRPr="00916B3A">
        <w:rPr>
          <w:rFonts w:ascii="Times New Roman" w:hAnsi="Times New Roman" w:cs="Times New Roman"/>
          <w:sz w:val="28"/>
          <w:szCs w:val="28"/>
        </w:rPr>
        <w:t>УДК 618.14: 618.145                                                На правах рукописи</w:t>
      </w:r>
    </w:p>
    <w:p w14:paraId="46DFB389" w14:textId="77777777" w:rsidR="009A77D8" w:rsidRPr="00916B3A" w:rsidRDefault="009A77D8" w:rsidP="000B7B11">
      <w:pPr>
        <w:pStyle w:val="afa"/>
        <w:ind w:firstLine="709"/>
        <w:jc w:val="both"/>
        <w:rPr>
          <w:rFonts w:ascii="Times New Roman" w:hAnsi="Times New Roman" w:cs="Times New Roman"/>
          <w:sz w:val="28"/>
          <w:szCs w:val="28"/>
        </w:rPr>
      </w:pPr>
    </w:p>
    <w:p w14:paraId="0EF770DB" w14:textId="77777777" w:rsidR="009A77D8" w:rsidRPr="00916B3A" w:rsidRDefault="009A77D8" w:rsidP="000B7B11">
      <w:pPr>
        <w:pStyle w:val="afa"/>
        <w:ind w:firstLine="709"/>
        <w:jc w:val="both"/>
        <w:rPr>
          <w:rFonts w:ascii="Times New Roman" w:hAnsi="Times New Roman" w:cs="Times New Roman"/>
          <w:sz w:val="28"/>
          <w:szCs w:val="28"/>
        </w:rPr>
      </w:pPr>
    </w:p>
    <w:p w14:paraId="45B12C1E" w14:textId="77777777" w:rsidR="009A77D8" w:rsidRPr="00916B3A" w:rsidRDefault="009A77D8" w:rsidP="000B7B11">
      <w:pPr>
        <w:pStyle w:val="afa"/>
        <w:ind w:firstLine="709"/>
        <w:jc w:val="both"/>
        <w:rPr>
          <w:rFonts w:ascii="Times New Roman" w:hAnsi="Times New Roman" w:cs="Times New Roman"/>
          <w:sz w:val="28"/>
          <w:szCs w:val="28"/>
        </w:rPr>
      </w:pPr>
    </w:p>
    <w:p w14:paraId="2A766333" w14:textId="77777777" w:rsidR="00750FB4" w:rsidRPr="00916B3A" w:rsidRDefault="00750FB4" w:rsidP="000B7B11">
      <w:pPr>
        <w:pStyle w:val="afa"/>
        <w:jc w:val="center"/>
        <w:rPr>
          <w:rFonts w:ascii="Times New Roman" w:hAnsi="Times New Roman" w:cs="Times New Roman"/>
          <w:b/>
          <w:sz w:val="28"/>
          <w:szCs w:val="28"/>
        </w:rPr>
      </w:pPr>
    </w:p>
    <w:p w14:paraId="0295688B" w14:textId="77777777" w:rsidR="00750FB4" w:rsidRPr="00916B3A" w:rsidRDefault="00750FB4" w:rsidP="000B7B11">
      <w:pPr>
        <w:pStyle w:val="afa"/>
        <w:jc w:val="center"/>
        <w:rPr>
          <w:rFonts w:ascii="Times New Roman" w:hAnsi="Times New Roman" w:cs="Times New Roman"/>
          <w:b/>
          <w:sz w:val="28"/>
          <w:szCs w:val="28"/>
        </w:rPr>
      </w:pPr>
    </w:p>
    <w:p w14:paraId="1444C05F" w14:textId="77777777" w:rsidR="00750FB4" w:rsidRPr="00916B3A" w:rsidRDefault="00750FB4" w:rsidP="000B7B11">
      <w:pPr>
        <w:pStyle w:val="afa"/>
        <w:jc w:val="center"/>
        <w:rPr>
          <w:rFonts w:ascii="Times New Roman" w:hAnsi="Times New Roman" w:cs="Times New Roman"/>
          <w:b/>
          <w:sz w:val="28"/>
          <w:szCs w:val="28"/>
        </w:rPr>
      </w:pPr>
    </w:p>
    <w:p w14:paraId="7D5C8D22" w14:textId="77777777" w:rsidR="00750FB4" w:rsidRPr="00916B3A" w:rsidRDefault="00750FB4" w:rsidP="000B7B11">
      <w:pPr>
        <w:pStyle w:val="afa"/>
        <w:jc w:val="center"/>
        <w:rPr>
          <w:rFonts w:ascii="Times New Roman" w:hAnsi="Times New Roman" w:cs="Times New Roman"/>
          <w:b/>
          <w:sz w:val="28"/>
          <w:szCs w:val="28"/>
        </w:rPr>
      </w:pPr>
    </w:p>
    <w:p w14:paraId="38F65B55" w14:textId="05CF50D4" w:rsidR="009A77D8" w:rsidRPr="00916B3A" w:rsidRDefault="009A77D8" w:rsidP="000B7B11">
      <w:pPr>
        <w:pStyle w:val="afa"/>
        <w:jc w:val="center"/>
        <w:rPr>
          <w:rFonts w:ascii="Times New Roman" w:hAnsi="Times New Roman" w:cs="Times New Roman"/>
          <w:b/>
          <w:sz w:val="28"/>
          <w:szCs w:val="28"/>
        </w:rPr>
      </w:pPr>
      <w:r w:rsidRPr="00916B3A">
        <w:rPr>
          <w:rFonts w:ascii="Times New Roman" w:hAnsi="Times New Roman" w:cs="Times New Roman"/>
          <w:b/>
          <w:sz w:val="28"/>
          <w:szCs w:val="28"/>
        </w:rPr>
        <w:t>МОШКАЛОВА ГАУХАР НАДИРБЕКОВНА</w:t>
      </w:r>
    </w:p>
    <w:p w14:paraId="5E1A9CF3" w14:textId="77777777" w:rsidR="009A77D8" w:rsidRPr="00916B3A" w:rsidRDefault="009A77D8" w:rsidP="000B7B11">
      <w:pPr>
        <w:pStyle w:val="afa"/>
        <w:ind w:firstLine="709"/>
        <w:jc w:val="center"/>
        <w:rPr>
          <w:rFonts w:ascii="Times New Roman" w:hAnsi="Times New Roman" w:cs="Times New Roman"/>
          <w:b/>
          <w:sz w:val="28"/>
          <w:szCs w:val="28"/>
        </w:rPr>
      </w:pPr>
    </w:p>
    <w:p w14:paraId="3B331D23" w14:textId="77777777" w:rsidR="009A77D8" w:rsidRPr="00916B3A" w:rsidRDefault="009A77D8" w:rsidP="000B7B11">
      <w:pPr>
        <w:pStyle w:val="afa"/>
        <w:ind w:firstLine="709"/>
        <w:jc w:val="center"/>
        <w:rPr>
          <w:rFonts w:ascii="Times New Roman" w:hAnsi="Times New Roman" w:cs="Times New Roman"/>
          <w:b/>
          <w:sz w:val="28"/>
          <w:szCs w:val="28"/>
        </w:rPr>
      </w:pPr>
    </w:p>
    <w:p w14:paraId="0A35DDC6" w14:textId="77777777" w:rsidR="000B7B11" w:rsidRPr="00916B3A" w:rsidRDefault="009A77D8" w:rsidP="000B7B11">
      <w:pPr>
        <w:pStyle w:val="afa"/>
        <w:jc w:val="center"/>
        <w:rPr>
          <w:rFonts w:ascii="Times New Roman" w:hAnsi="Times New Roman" w:cs="Times New Roman"/>
          <w:b/>
          <w:bCs/>
          <w:color w:val="000000" w:themeColor="text1"/>
          <w:sz w:val="28"/>
          <w:szCs w:val="28"/>
        </w:rPr>
      </w:pPr>
      <w:r w:rsidRPr="00916B3A">
        <w:rPr>
          <w:rFonts w:ascii="Times New Roman" w:hAnsi="Times New Roman" w:cs="Times New Roman"/>
          <w:b/>
          <w:bCs/>
          <w:color w:val="000000" w:themeColor="text1"/>
          <w:sz w:val="28"/>
          <w:szCs w:val="28"/>
        </w:rPr>
        <w:t xml:space="preserve">Патогенетические аспекты нарушения рецептивности эндометрия </w:t>
      </w:r>
    </w:p>
    <w:p w14:paraId="32F19079" w14:textId="3BA02846" w:rsidR="009A77D8" w:rsidRPr="00916B3A" w:rsidRDefault="009A77D8" w:rsidP="000B7B11">
      <w:pPr>
        <w:pStyle w:val="afa"/>
        <w:jc w:val="center"/>
        <w:rPr>
          <w:rFonts w:ascii="Times New Roman" w:hAnsi="Times New Roman" w:cs="Times New Roman"/>
          <w:b/>
          <w:sz w:val="28"/>
          <w:szCs w:val="28"/>
        </w:rPr>
      </w:pPr>
      <w:r w:rsidRPr="00916B3A">
        <w:rPr>
          <w:rFonts w:ascii="Times New Roman" w:hAnsi="Times New Roman" w:cs="Times New Roman"/>
          <w:b/>
          <w:bCs/>
          <w:color w:val="000000" w:themeColor="text1"/>
          <w:sz w:val="28"/>
          <w:szCs w:val="28"/>
        </w:rPr>
        <w:t>у пациенток с репродуктивными потерями</w:t>
      </w:r>
    </w:p>
    <w:p w14:paraId="784033BE" w14:textId="77777777" w:rsidR="009A77D8" w:rsidRPr="00916B3A" w:rsidRDefault="009A77D8" w:rsidP="000B7B11">
      <w:pPr>
        <w:pStyle w:val="afa"/>
        <w:jc w:val="both"/>
        <w:rPr>
          <w:rFonts w:ascii="Times New Roman" w:hAnsi="Times New Roman" w:cs="Times New Roman"/>
          <w:b/>
          <w:sz w:val="28"/>
          <w:szCs w:val="28"/>
        </w:rPr>
      </w:pPr>
    </w:p>
    <w:p w14:paraId="7B2EE537" w14:textId="4026D3F2" w:rsidR="009A77D8" w:rsidRPr="00916B3A" w:rsidRDefault="009A77D8" w:rsidP="000B7B11">
      <w:pPr>
        <w:pStyle w:val="afa"/>
        <w:jc w:val="center"/>
        <w:rPr>
          <w:rFonts w:ascii="Times New Roman" w:hAnsi="Times New Roman" w:cs="Times New Roman"/>
          <w:b/>
          <w:color w:val="000000" w:themeColor="text1"/>
          <w:sz w:val="28"/>
          <w:szCs w:val="28"/>
        </w:rPr>
      </w:pPr>
      <w:r w:rsidRPr="00916B3A">
        <w:rPr>
          <w:rFonts w:ascii="Times New Roman" w:hAnsi="Times New Roman" w:cs="Times New Roman"/>
          <w:color w:val="000000" w:themeColor="text1"/>
          <w:sz w:val="28"/>
          <w:szCs w:val="28"/>
        </w:rPr>
        <w:t xml:space="preserve">8D10141 </w:t>
      </w:r>
      <w:r w:rsidR="00CD1F22"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color w:val="000000" w:themeColor="text1"/>
          <w:sz w:val="28"/>
          <w:szCs w:val="28"/>
        </w:rPr>
        <w:t>«Медицина»</w:t>
      </w:r>
    </w:p>
    <w:p w14:paraId="511C655E" w14:textId="77777777" w:rsidR="009A77D8" w:rsidRPr="00916B3A" w:rsidRDefault="009A77D8" w:rsidP="000B7B11">
      <w:pPr>
        <w:pStyle w:val="afa"/>
        <w:jc w:val="center"/>
        <w:rPr>
          <w:rFonts w:ascii="Times New Roman" w:hAnsi="Times New Roman" w:cs="Times New Roman"/>
          <w:sz w:val="28"/>
          <w:szCs w:val="28"/>
        </w:rPr>
      </w:pPr>
    </w:p>
    <w:p w14:paraId="4A58C7CE" w14:textId="77777777" w:rsidR="009A77D8" w:rsidRPr="00916B3A" w:rsidRDefault="009A77D8" w:rsidP="000B7B11">
      <w:pPr>
        <w:pStyle w:val="afa"/>
        <w:jc w:val="center"/>
        <w:rPr>
          <w:rFonts w:ascii="Times New Roman" w:hAnsi="Times New Roman" w:cs="Times New Roman"/>
          <w:sz w:val="28"/>
          <w:szCs w:val="28"/>
        </w:rPr>
      </w:pPr>
      <w:r w:rsidRPr="00916B3A">
        <w:rPr>
          <w:rFonts w:ascii="Times New Roman" w:hAnsi="Times New Roman" w:cs="Times New Roman"/>
          <w:sz w:val="28"/>
          <w:szCs w:val="28"/>
        </w:rPr>
        <w:t xml:space="preserve">Диссертация на соискание степени </w:t>
      </w:r>
    </w:p>
    <w:p w14:paraId="4AF60AA5" w14:textId="77777777" w:rsidR="009A77D8" w:rsidRPr="00916B3A" w:rsidRDefault="009A77D8" w:rsidP="000B7B11">
      <w:pPr>
        <w:pStyle w:val="afa"/>
        <w:jc w:val="center"/>
        <w:rPr>
          <w:rFonts w:ascii="Times New Roman" w:hAnsi="Times New Roman" w:cs="Times New Roman"/>
          <w:sz w:val="28"/>
          <w:szCs w:val="28"/>
        </w:rPr>
      </w:pPr>
      <w:r w:rsidRPr="00916B3A">
        <w:rPr>
          <w:rFonts w:ascii="Times New Roman" w:hAnsi="Times New Roman" w:cs="Times New Roman"/>
          <w:sz w:val="28"/>
          <w:szCs w:val="28"/>
        </w:rPr>
        <w:t>доктора философии (</w:t>
      </w:r>
      <w:r w:rsidRPr="00916B3A">
        <w:rPr>
          <w:rFonts w:ascii="Times New Roman" w:hAnsi="Times New Roman" w:cs="Times New Roman"/>
          <w:sz w:val="28"/>
          <w:szCs w:val="28"/>
          <w:lang w:val="en-US"/>
        </w:rPr>
        <w:t>PhD</w:t>
      </w:r>
      <w:r w:rsidRPr="00916B3A">
        <w:rPr>
          <w:rFonts w:ascii="Times New Roman" w:hAnsi="Times New Roman" w:cs="Times New Roman"/>
          <w:sz w:val="28"/>
          <w:szCs w:val="28"/>
        </w:rPr>
        <w:t>)</w:t>
      </w:r>
    </w:p>
    <w:p w14:paraId="1C38FA4F" w14:textId="28B5FF10" w:rsidR="00CF5446" w:rsidRDefault="00CF5446" w:rsidP="00CF5446">
      <w:pPr>
        <w:pStyle w:val="afa"/>
        <w:tabs>
          <w:tab w:val="left" w:pos="1843"/>
          <w:tab w:val="left" w:pos="4111"/>
          <w:tab w:val="left" w:pos="6521"/>
        </w:tabs>
        <w:rPr>
          <w:rFonts w:ascii="Times New Roman" w:hAnsi="Times New Roman" w:cs="Times New Roman"/>
          <w:sz w:val="28"/>
          <w:szCs w:val="28"/>
        </w:rPr>
      </w:pPr>
      <w:bookmarkStart w:id="0" w:name="_Hlk115351636"/>
    </w:p>
    <w:p w14:paraId="6906C6DA" w14:textId="44078252" w:rsidR="00CF5446" w:rsidRDefault="00CF5446" w:rsidP="00CF5446">
      <w:pPr>
        <w:pStyle w:val="afa"/>
        <w:tabs>
          <w:tab w:val="left" w:pos="1843"/>
          <w:tab w:val="left" w:pos="4111"/>
          <w:tab w:val="left" w:pos="6521"/>
        </w:tabs>
        <w:rPr>
          <w:rFonts w:ascii="Times New Roman" w:hAnsi="Times New Roman" w:cs="Times New Roman"/>
          <w:sz w:val="28"/>
          <w:szCs w:val="28"/>
        </w:rPr>
      </w:pPr>
    </w:p>
    <w:p w14:paraId="07AB07D4" w14:textId="77777777" w:rsidR="00CF5446" w:rsidRDefault="00CF5446" w:rsidP="00CF5446">
      <w:pPr>
        <w:pStyle w:val="afa"/>
        <w:tabs>
          <w:tab w:val="left" w:pos="1843"/>
          <w:tab w:val="left" w:pos="4111"/>
          <w:tab w:val="left" w:pos="6521"/>
        </w:tabs>
        <w:rPr>
          <w:rFonts w:ascii="Times New Roman" w:hAnsi="Times New Roman" w:cs="Times New Roman"/>
          <w:sz w:val="28"/>
          <w:szCs w:val="28"/>
        </w:rPr>
      </w:pPr>
    </w:p>
    <w:p w14:paraId="3B362741" w14:textId="50E75BA6" w:rsidR="009A77D8" w:rsidRPr="00916B3A" w:rsidRDefault="009A77D8" w:rsidP="00CF5446">
      <w:pPr>
        <w:pStyle w:val="afa"/>
        <w:tabs>
          <w:tab w:val="left" w:pos="1843"/>
          <w:tab w:val="left" w:pos="4111"/>
          <w:tab w:val="left" w:pos="6521"/>
        </w:tabs>
        <w:jc w:val="right"/>
        <w:rPr>
          <w:rFonts w:ascii="Times New Roman" w:hAnsi="Times New Roman" w:cs="Times New Roman"/>
          <w:bCs/>
          <w:color w:val="000000" w:themeColor="text1"/>
          <w:sz w:val="28"/>
          <w:szCs w:val="28"/>
        </w:rPr>
      </w:pPr>
      <w:r w:rsidRPr="00916B3A">
        <w:rPr>
          <w:rFonts w:ascii="Times New Roman" w:hAnsi="Times New Roman" w:cs="Times New Roman"/>
          <w:bCs/>
          <w:color w:val="000000" w:themeColor="text1"/>
          <w:sz w:val="28"/>
          <w:szCs w:val="28"/>
        </w:rPr>
        <w:t xml:space="preserve">Научные консультанты: </w:t>
      </w:r>
    </w:p>
    <w:p w14:paraId="293AAD0D" w14:textId="13D11CF5" w:rsidR="007450C9" w:rsidRPr="00916B3A" w:rsidRDefault="00CD1F22" w:rsidP="00CF5446">
      <w:pPr>
        <w:pStyle w:val="afa"/>
        <w:tabs>
          <w:tab w:val="left" w:pos="-709"/>
          <w:tab w:val="left" w:pos="1843"/>
          <w:tab w:val="left" w:pos="4111"/>
          <w:tab w:val="left" w:pos="6521"/>
        </w:tabs>
        <w:ind w:left="-142"/>
        <w:jc w:val="right"/>
        <w:rPr>
          <w:rFonts w:ascii="Times New Roman" w:hAnsi="Times New Roman" w:cs="Times New Roman"/>
          <w:bCs/>
          <w:color w:val="000000" w:themeColor="text1"/>
          <w:sz w:val="28"/>
          <w:szCs w:val="28"/>
          <w:lang w:val="kk-KZ"/>
        </w:rPr>
      </w:pPr>
      <w:r w:rsidRPr="00916B3A">
        <w:rPr>
          <w:rFonts w:ascii="Times New Roman" w:hAnsi="Times New Roman" w:cs="Times New Roman"/>
          <w:bCs/>
          <w:color w:val="000000" w:themeColor="text1"/>
          <w:sz w:val="28"/>
          <w:szCs w:val="28"/>
          <w:lang w:val="kk-KZ"/>
        </w:rPr>
        <w:t>доктор медицинских</w:t>
      </w:r>
      <w:r w:rsidR="004C4BC9" w:rsidRPr="00916B3A">
        <w:rPr>
          <w:rFonts w:ascii="Times New Roman" w:hAnsi="Times New Roman" w:cs="Times New Roman"/>
          <w:bCs/>
          <w:color w:val="000000" w:themeColor="text1"/>
          <w:sz w:val="28"/>
          <w:szCs w:val="28"/>
          <w:lang w:val="kk-KZ"/>
        </w:rPr>
        <w:t xml:space="preserve"> </w:t>
      </w:r>
      <w:r w:rsidRPr="00916B3A">
        <w:rPr>
          <w:rFonts w:ascii="Times New Roman" w:hAnsi="Times New Roman" w:cs="Times New Roman"/>
          <w:bCs/>
          <w:color w:val="000000" w:themeColor="text1"/>
          <w:sz w:val="28"/>
          <w:szCs w:val="28"/>
          <w:lang w:val="kk-KZ"/>
        </w:rPr>
        <w:t>наук</w:t>
      </w:r>
      <w:r w:rsidR="009A77D8" w:rsidRPr="00916B3A">
        <w:rPr>
          <w:rFonts w:ascii="Times New Roman" w:hAnsi="Times New Roman" w:cs="Times New Roman"/>
          <w:bCs/>
          <w:color w:val="000000" w:themeColor="text1"/>
          <w:sz w:val="28"/>
          <w:szCs w:val="28"/>
          <w:lang w:val="kk-KZ"/>
        </w:rPr>
        <w:t>,</w:t>
      </w:r>
      <w:r w:rsidR="007450C9" w:rsidRPr="00916B3A">
        <w:rPr>
          <w:rFonts w:ascii="Times New Roman" w:hAnsi="Times New Roman" w:cs="Times New Roman"/>
          <w:bCs/>
          <w:color w:val="000000" w:themeColor="text1"/>
          <w:sz w:val="28"/>
          <w:szCs w:val="28"/>
          <w:lang w:val="kk-KZ"/>
        </w:rPr>
        <w:t xml:space="preserve"> профессор</w:t>
      </w:r>
    </w:p>
    <w:p w14:paraId="5E68A9AC" w14:textId="7E111336" w:rsidR="009A77D8" w:rsidRPr="00916B3A" w:rsidRDefault="00CD1F22" w:rsidP="00CF5446">
      <w:pPr>
        <w:pStyle w:val="afa"/>
        <w:tabs>
          <w:tab w:val="left" w:pos="-709"/>
          <w:tab w:val="left" w:pos="1843"/>
          <w:tab w:val="left" w:pos="4111"/>
          <w:tab w:val="left" w:pos="6521"/>
        </w:tabs>
        <w:ind w:left="-142"/>
        <w:jc w:val="right"/>
        <w:rPr>
          <w:rFonts w:ascii="Times New Roman" w:hAnsi="Times New Roman" w:cs="Times New Roman"/>
          <w:bCs/>
          <w:color w:val="000000" w:themeColor="text1"/>
          <w:sz w:val="28"/>
          <w:szCs w:val="28"/>
        </w:rPr>
      </w:pPr>
      <w:r w:rsidRPr="00916B3A">
        <w:rPr>
          <w:rFonts w:ascii="Times New Roman" w:hAnsi="Times New Roman" w:cs="Times New Roman"/>
          <w:bCs/>
          <w:color w:val="000000" w:themeColor="text1"/>
          <w:sz w:val="28"/>
          <w:szCs w:val="28"/>
        </w:rPr>
        <w:t xml:space="preserve">Курманова А.М. </w:t>
      </w:r>
      <w:r w:rsidRPr="00916B3A">
        <w:rPr>
          <w:rFonts w:ascii="Times New Roman" w:hAnsi="Times New Roman" w:cs="Times New Roman"/>
          <w:bCs/>
          <w:color w:val="000000" w:themeColor="text1"/>
          <w:sz w:val="28"/>
          <w:szCs w:val="28"/>
          <w:lang w:val="kk-KZ"/>
        </w:rPr>
        <w:t xml:space="preserve"> </w:t>
      </w:r>
    </w:p>
    <w:p w14:paraId="17BBC5BC" w14:textId="0E6C59DE" w:rsidR="00CD1F22" w:rsidRPr="00916B3A" w:rsidRDefault="00CD1F22" w:rsidP="00CF5446">
      <w:pPr>
        <w:pStyle w:val="afa"/>
        <w:tabs>
          <w:tab w:val="left" w:pos="-709"/>
          <w:tab w:val="left" w:pos="1843"/>
          <w:tab w:val="left" w:pos="4111"/>
          <w:tab w:val="left" w:pos="6521"/>
        </w:tabs>
        <w:ind w:left="-142"/>
        <w:jc w:val="right"/>
        <w:rPr>
          <w:rFonts w:ascii="Times New Roman" w:hAnsi="Times New Roman" w:cs="Times New Roman"/>
          <w:bCs/>
          <w:color w:val="000000" w:themeColor="text1"/>
          <w:sz w:val="28"/>
          <w:szCs w:val="28"/>
        </w:rPr>
      </w:pPr>
      <w:r w:rsidRPr="00916B3A">
        <w:rPr>
          <w:rFonts w:ascii="Times New Roman" w:hAnsi="Times New Roman" w:cs="Times New Roman"/>
          <w:bCs/>
          <w:color w:val="000000" w:themeColor="text1"/>
          <w:sz w:val="28"/>
          <w:szCs w:val="28"/>
        </w:rPr>
        <w:t xml:space="preserve">доктор медицинских </w:t>
      </w:r>
      <w:r w:rsidR="009A77D8" w:rsidRPr="00916B3A">
        <w:rPr>
          <w:rFonts w:ascii="Times New Roman" w:hAnsi="Times New Roman" w:cs="Times New Roman"/>
          <w:bCs/>
          <w:color w:val="000000" w:themeColor="text1"/>
          <w:sz w:val="28"/>
          <w:szCs w:val="28"/>
        </w:rPr>
        <w:t>н</w:t>
      </w:r>
      <w:r w:rsidRPr="00916B3A">
        <w:rPr>
          <w:rFonts w:ascii="Times New Roman" w:hAnsi="Times New Roman" w:cs="Times New Roman"/>
          <w:bCs/>
          <w:color w:val="000000" w:themeColor="text1"/>
          <w:sz w:val="28"/>
          <w:szCs w:val="28"/>
        </w:rPr>
        <w:t>аук</w:t>
      </w:r>
    </w:p>
    <w:p w14:paraId="6FF1853C" w14:textId="7C184B3B" w:rsidR="000B7B11" w:rsidRPr="00CF5446" w:rsidRDefault="00CD1F22" w:rsidP="00CF5446">
      <w:pPr>
        <w:pStyle w:val="afa"/>
        <w:tabs>
          <w:tab w:val="left" w:pos="-709"/>
          <w:tab w:val="left" w:pos="1843"/>
          <w:tab w:val="left" w:pos="4111"/>
          <w:tab w:val="left" w:pos="6521"/>
        </w:tabs>
        <w:ind w:left="-142"/>
        <w:jc w:val="right"/>
        <w:rPr>
          <w:rFonts w:ascii="Times New Roman" w:hAnsi="Times New Roman" w:cs="Times New Roman"/>
          <w:bCs/>
          <w:color w:val="000000" w:themeColor="text1"/>
          <w:sz w:val="28"/>
          <w:szCs w:val="28"/>
        </w:rPr>
      </w:pPr>
      <w:r w:rsidRPr="00916B3A">
        <w:rPr>
          <w:rFonts w:ascii="Times New Roman" w:hAnsi="Times New Roman" w:cs="Times New Roman"/>
          <w:bCs/>
          <w:color w:val="000000" w:themeColor="text1"/>
          <w:sz w:val="28"/>
          <w:szCs w:val="28"/>
        </w:rPr>
        <w:t>Аимбетова А.Р.</w:t>
      </w:r>
      <w:r w:rsidR="009A77D8" w:rsidRPr="00916B3A">
        <w:rPr>
          <w:rFonts w:ascii="Times New Roman" w:hAnsi="Times New Roman" w:cs="Times New Roman"/>
          <w:bCs/>
          <w:color w:val="000000" w:themeColor="text1"/>
          <w:sz w:val="28"/>
          <w:szCs w:val="28"/>
          <w:lang w:val="kk-KZ"/>
        </w:rPr>
        <w:t xml:space="preserve">                                                            </w:t>
      </w:r>
    </w:p>
    <w:p w14:paraId="21B385A7" w14:textId="4D2F3FF9" w:rsidR="000B7B11" w:rsidRPr="00916B3A" w:rsidRDefault="009A77D8" w:rsidP="00CF5446">
      <w:pPr>
        <w:pStyle w:val="af0"/>
        <w:spacing w:after="0"/>
        <w:jc w:val="right"/>
        <w:rPr>
          <w:rFonts w:ascii="Times New Roman" w:hAnsi="Times New Roman" w:cs="Times New Roman"/>
          <w:bCs/>
          <w:color w:val="000000" w:themeColor="text1"/>
          <w:sz w:val="28"/>
          <w:szCs w:val="28"/>
          <w:lang w:val="kk-KZ"/>
        </w:rPr>
      </w:pPr>
      <w:r w:rsidRPr="00916B3A">
        <w:rPr>
          <w:rFonts w:ascii="Times New Roman" w:hAnsi="Times New Roman" w:cs="Times New Roman"/>
          <w:bCs/>
          <w:color w:val="000000" w:themeColor="text1"/>
          <w:sz w:val="28"/>
          <w:szCs w:val="28"/>
          <w:lang w:val="kk-KZ"/>
        </w:rPr>
        <w:t xml:space="preserve">Зарубежный </w:t>
      </w:r>
      <w:r w:rsidR="00CD1F22" w:rsidRPr="00916B3A">
        <w:rPr>
          <w:rFonts w:ascii="Times New Roman" w:hAnsi="Times New Roman" w:cs="Times New Roman"/>
          <w:bCs/>
          <w:color w:val="000000" w:themeColor="text1"/>
          <w:sz w:val="28"/>
          <w:szCs w:val="28"/>
          <w:lang w:val="kk-KZ"/>
        </w:rPr>
        <w:t>научный консультант</w:t>
      </w:r>
      <w:r w:rsidRPr="00916B3A">
        <w:rPr>
          <w:rFonts w:ascii="Times New Roman" w:hAnsi="Times New Roman" w:cs="Times New Roman"/>
          <w:bCs/>
          <w:color w:val="000000" w:themeColor="text1"/>
          <w:sz w:val="28"/>
          <w:szCs w:val="28"/>
          <w:lang w:val="kk-KZ"/>
        </w:rPr>
        <w:t>:</w:t>
      </w:r>
      <w:r w:rsidR="00630C34" w:rsidRPr="00916B3A">
        <w:rPr>
          <w:rFonts w:ascii="Times New Roman" w:hAnsi="Times New Roman" w:cs="Times New Roman"/>
          <w:bCs/>
          <w:color w:val="000000" w:themeColor="text1"/>
          <w:sz w:val="28"/>
          <w:szCs w:val="28"/>
          <w:lang w:val="kk-KZ"/>
        </w:rPr>
        <w:t xml:space="preserve"> </w:t>
      </w:r>
    </w:p>
    <w:p w14:paraId="0D8F38EB" w14:textId="77777777" w:rsidR="004C4BC9" w:rsidRPr="00916B3A" w:rsidRDefault="009A77D8" w:rsidP="00CF5446">
      <w:pPr>
        <w:pStyle w:val="af0"/>
        <w:spacing w:after="0"/>
        <w:jc w:val="right"/>
        <w:rPr>
          <w:rFonts w:ascii="Times New Roman" w:hAnsi="Times New Roman" w:cs="Times New Roman"/>
          <w:color w:val="000000" w:themeColor="text1"/>
          <w:sz w:val="28"/>
          <w:szCs w:val="28"/>
          <w:lang w:val="kk-KZ"/>
        </w:rPr>
      </w:pPr>
      <w:r w:rsidRPr="00916B3A">
        <w:rPr>
          <w:rFonts w:ascii="Times New Roman" w:hAnsi="Times New Roman" w:cs="Times New Roman"/>
          <w:color w:val="000000" w:themeColor="text1"/>
          <w:sz w:val="28"/>
          <w:szCs w:val="28"/>
          <w:lang w:val="kk-KZ"/>
        </w:rPr>
        <w:t>Prof.</w:t>
      </w:r>
      <w:r w:rsidR="00CD1F22" w:rsidRPr="00916B3A">
        <w:rPr>
          <w:rFonts w:ascii="Times New Roman" w:hAnsi="Times New Roman" w:cs="Times New Roman"/>
          <w:color w:val="000000" w:themeColor="text1"/>
          <w:sz w:val="28"/>
          <w:szCs w:val="28"/>
          <w:lang w:val="kk-KZ"/>
        </w:rPr>
        <w:t xml:space="preserve"> </w:t>
      </w:r>
      <w:r w:rsidRPr="00916B3A">
        <w:rPr>
          <w:rFonts w:ascii="Times New Roman" w:hAnsi="Times New Roman" w:cs="Times New Roman"/>
          <w:color w:val="000000" w:themeColor="text1"/>
          <w:sz w:val="28"/>
          <w:szCs w:val="28"/>
          <w:lang w:val="kk-KZ"/>
        </w:rPr>
        <w:t>Dr. Zeliha SELAMOĞLU</w:t>
      </w:r>
      <w:r w:rsidR="000B7B11" w:rsidRPr="00916B3A">
        <w:rPr>
          <w:rFonts w:ascii="Times New Roman" w:hAnsi="Times New Roman" w:cs="Times New Roman"/>
          <w:color w:val="000000" w:themeColor="text1"/>
          <w:sz w:val="28"/>
          <w:szCs w:val="28"/>
          <w:lang w:val="kk-KZ"/>
        </w:rPr>
        <w:t xml:space="preserve"> </w:t>
      </w:r>
    </w:p>
    <w:p w14:paraId="3F6C4A84" w14:textId="24ACA052" w:rsidR="009A77D8" w:rsidRPr="00916B3A" w:rsidRDefault="009A77D8" w:rsidP="00CF5446">
      <w:pPr>
        <w:pStyle w:val="af0"/>
        <w:spacing w:after="0"/>
        <w:jc w:val="right"/>
        <w:rPr>
          <w:rFonts w:ascii="Times New Roman" w:eastAsia="Times New Roman" w:hAnsi="Times New Roman" w:cs="Times New Roman"/>
          <w:sz w:val="28"/>
          <w:szCs w:val="28"/>
          <w:lang w:val="kk-KZ" w:eastAsia="ru-RU"/>
        </w:rPr>
      </w:pPr>
      <w:r w:rsidRPr="00916B3A">
        <w:rPr>
          <w:rFonts w:ascii="Times New Roman" w:eastAsia="Times New Roman" w:hAnsi="Times New Roman" w:cs="Times New Roman"/>
          <w:iCs/>
          <w:sz w:val="28"/>
          <w:szCs w:val="28"/>
          <w:lang w:val="kk-KZ" w:eastAsia="ru-RU"/>
        </w:rPr>
        <w:t>(</w:t>
      </w:r>
      <w:r w:rsidR="00CD1F22" w:rsidRPr="00916B3A">
        <w:rPr>
          <w:rFonts w:ascii="Times New Roman" w:eastAsia="Times New Roman" w:hAnsi="Times New Roman" w:cs="Times New Roman"/>
          <w:iCs/>
          <w:sz w:val="28"/>
          <w:szCs w:val="28"/>
          <w:lang w:val="kk-KZ" w:eastAsia="ru-RU"/>
        </w:rPr>
        <w:t>Турция</w:t>
      </w:r>
      <w:r w:rsidRPr="00916B3A">
        <w:rPr>
          <w:rFonts w:ascii="Times New Roman" w:eastAsia="Times New Roman" w:hAnsi="Times New Roman" w:cs="Times New Roman"/>
          <w:iCs/>
          <w:sz w:val="28"/>
          <w:szCs w:val="28"/>
          <w:lang w:val="kk-KZ" w:eastAsia="ru-RU"/>
        </w:rPr>
        <w:t>)</w:t>
      </w:r>
    </w:p>
    <w:bookmarkEnd w:id="0"/>
    <w:p w14:paraId="47F5F0C2" w14:textId="77777777" w:rsidR="009C6FB1" w:rsidRPr="00916B3A" w:rsidRDefault="009C6FB1" w:rsidP="00CF5446">
      <w:pPr>
        <w:pStyle w:val="afa"/>
        <w:jc w:val="right"/>
        <w:rPr>
          <w:rFonts w:ascii="Times New Roman" w:hAnsi="Times New Roman" w:cs="Times New Roman"/>
          <w:sz w:val="28"/>
          <w:szCs w:val="28"/>
          <w:lang w:val="kk-KZ"/>
        </w:rPr>
      </w:pPr>
    </w:p>
    <w:p w14:paraId="70127A66" w14:textId="77777777" w:rsidR="00B81DFD" w:rsidRDefault="00B81DFD" w:rsidP="00CF5446">
      <w:pPr>
        <w:pStyle w:val="afa"/>
        <w:jc w:val="right"/>
        <w:rPr>
          <w:rFonts w:ascii="Times New Roman" w:hAnsi="Times New Roman" w:cs="Times New Roman"/>
          <w:sz w:val="28"/>
          <w:szCs w:val="28"/>
          <w:lang w:val="kk-KZ"/>
        </w:rPr>
      </w:pPr>
    </w:p>
    <w:p w14:paraId="4D29512B" w14:textId="77777777" w:rsidR="00B81DFD" w:rsidRDefault="00B81DFD" w:rsidP="00CF5446">
      <w:pPr>
        <w:pStyle w:val="afa"/>
        <w:jc w:val="right"/>
        <w:rPr>
          <w:rFonts w:ascii="Times New Roman" w:hAnsi="Times New Roman" w:cs="Times New Roman"/>
          <w:sz w:val="28"/>
          <w:szCs w:val="28"/>
          <w:lang w:val="kk-KZ"/>
        </w:rPr>
      </w:pPr>
    </w:p>
    <w:p w14:paraId="52E23FA7" w14:textId="77777777" w:rsidR="00B81DFD" w:rsidRDefault="00B81DFD" w:rsidP="00CF5446">
      <w:pPr>
        <w:pStyle w:val="afa"/>
        <w:jc w:val="right"/>
        <w:rPr>
          <w:rFonts w:ascii="Times New Roman" w:hAnsi="Times New Roman" w:cs="Times New Roman"/>
          <w:sz w:val="28"/>
          <w:szCs w:val="28"/>
          <w:lang w:val="kk-KZ"/>
        </w:rPr>
      </w:pPr>
    </w:p>
    <w:p w14:paraId="33B0CAC1" w14:textId="77777777" w:rsidR="00B81DFD" w:rsidRDefault="00B81DFD" w:rsidP="00CF5446">
      <w:pPr>
        <w:pStyle w:val="afa"/>
        <w:jc w:val="right"/>
        <w:rPr>
          <w:rFonts w:ascii="Times New Roman" w:hAnsi="Times New Roman" w:cs="Times New Roman"/>
          <w:sz w:val="28"/>
          <w:szCs w:val="28"/>
          <w:lang w:val="kk-KZ"/>
        </w:rPr>
      </w:pPr>
    </w:p>
    <w:p w14:paraId="441158AE" w14:textId="7FBA7660" w:rsidR="00951C76" w:rsidRPr="00916B3A" w:rsidRDefault="009C6FB1" w:rsidP="00B81DFD">
      <w:pPr>
        <w:pStyle w:val="afa"/>
        <w:rPr>
          <w:rFonts w:ascii="Times New Roman" w:hAnsi="Times New Roman" w:cs="Times New Roman"/>
          <w:sz w:val="28"/>
          <w:szCs w:val="28"/>
          <w:lang w:val="kk-KZ"/>
        </w:rPr>
      </w:pPr>
      <w:r w:rsidRPr="00916B3A">
        <w:rPr>
          <w:rFonts w:ascii="Times New Roman" w:hAnsi="Times New Roman" w:cs="Times New Roman"/>
          <w:sz w:val="28"/>
          <w:szCs w:val="28"/>
          <w:lang w:val="kk-KZ"/>
        </w:rPr>
        <w:t xml:space="preserve">                      </w:t>
      </w:r>
      <w:r w:rsidR="007F7206" w:rsidRPr="00916B3A">
        <w:rPr>
          <w:rFonts w:ascii="Times New Roman" w:hAnsi="Times New Roman" w:cs="Times New Roman"/>
          <w:sz w:val="28"/>
          <w:szCs w:val="28"/>
          <w:lang w:val="kk-KZ"/>
        </w:rPr>
        <w:t xml:space="preserve">                               </w:t>
      </w:r>
      <w:r w:rsidRPr="00916B3A">
        <w:rPr>
          <w:rFonts w:ascii="Times New Roman" w:hAnsi="Times New Roman" w:cs="Times New Roman"/>
          <w:sz w:val="28"/>
          <w:szCs w:val="28"/>
          <w:lang w:val="kk-KZ"/>
        </w:rPr>
        <w:t xml:space="preserve"> </w:t>
      </w:r>
    </w:p>
    <w:p w14:paraId="41085CEB" w14:textId="475816BF" w:rsidR="004C4BC9" w:rsidRDefault="004C4BC9" w:rsidP="00CD1F22">
      <w:pPr>
        <w:spacing w:after="0" w:line="240" w:lineRule="auto"/>
        <w:jc w:val="center"/>
        <w:rPr>
          <w:rFonts w:ascii="Times New Roman" w:hAnsi="Times New Roman"/>
          <w:bCs/>
          <w:sz w:val="28"/>
          <w:szCs w:val="28"/>
          <w:lang w:val="kk-KZ"/>
        </w:rPr>
      </w:pPr>
    </w:p>
    <w:p w14:paraId="196D8936" w14:textId="1A359EB5" w:rsidR="00CF5446" w:rsidRDefault="00CF5446" w:rsidP="00CD1F22">
      <w:pPr>
        <w:spacing w:after="0" w:line="240" w:lineRule="auto"/>
        <w:jc w:val="center"/>
        <w:rPr>
          <w:rFonts w:ascii="Times New Roman" w:hAnsi="Times New Roman"/>
          <w:bCs/>
          <w:sz w:val="28"/>
          <w:szCs w:val="28"/>
          <w:lang w:val="kk-KZ"/>
        </w:rPr>
      </w:pPr>
    </w:p>
    <w:p w14:paraId="1616412D" w14:textId="6ECF1065" w:rsidR="00CF5446" w:rsidRDefault="00CF5446" w:rsidP="00CD1F22">
      <w:pPr>
        <w:spacing w:after="0" w:line="240" w:lineRule="auto"/>
        <w:jc w:val="center"/>
        <w:rPr>
          <w:rFonts w:ascii="Times New Roman" w:hAnsi="Times New Roman"/>
          <w:bCs/>
          <w:sz w:val="28"/>
          <w:szCs w:val="28"/>
          <w:lang w:val="kk-KZ"/>
        </w:rPr>
      </w:pPr>
    </w:p>
    <w:p w14:paraId="18B4E39C" w14:textId="77777777" w:rsidR="00CF5446" w:rsidRPr="00916B3A" w:rsidRDefault="00CF5446" w:rsidP="00CD1F22">
      <w:pPr>
        <w:spacing w:after="0" w:line="240" w:lineRule="auto"/>
        <w:jc w:val="center"/>
        <w:rPr>
          <w:rFonts w:ascii="Times New Roman" w:hAnsi="Times New Roman"/>
          <w:bCs/>
          <w:sz w:val="28"/>
          <w:szCs w:val="28"/>
          <w:lang w:val="kk-KZ"/>
        </w:rPr>
      </w:pPr>
    </w:p>
    <w:p w14:paraId="2B689382" w14:textId="4A873BA7" w:rsidR="00CD1F22" w:rsidRPr="00916B3A" w:rsidRDefault="00CD1F22" w:rsidP="00CD1F22">
      <w:pPr>
        <w:spacing w:after="0" w:line="240" w:lineRule="auto"/>
        <w:jc w:val="center"/>
        <w:rPr>
          <w:rFonts w:ascii="Times New Roman" w:hAnsi="Times New Roman"/>
          <w:bCs/>
          <w:sz w:val="28"/>
          <w:szCs w:val="28"/>
        </w:rPr>
      </w:pPr>
      <w:r w:rsidRPr="00916B3A">
        <w:rPr>
          <w:rFonts w:ascii="Times New Roman" w:hAnsi="Times New Roman"/>
          <w:bCs/>
          <w:sz w:val="28"/>
          <w:szCs w:val="28"/>
        </w:rPr>
        <w:t>Республика Казахстан</w:t>
      </w:r>
    </w:p>
    <w:p w14:paraId="073482D1" w14:textId="4D1DC391" w:rsidR="007450C9" w:rsidRPr="00916B3A" w:rsidRDefault="009A77D8" w:rsidP="00CD1F22">
      <w:pPr>
        <w:pStyle w:val="afa"/>
        <w:jc w:val="center"/>
        <w:rPr>
          <w:rFonts w:ascii="Times New Roman" w:hAnsi="Times New Roman" w:cs="Times New Roman"/>
          <w:sz w:val="28"/>
          <w:szCs w:val="28"/>
          <w:lang w:val="kk-KZ"/>
        </w:rPr>
      </w:pPr>
      <w:r w:rsidRPr="00916B3A">
        <w:rPr>
          <w:rFonts w:ascii="Times New Roman" w:hAnsi="Times New Roman" w:cs="Times New Roman"/>
          <w:sz w:val="28"/>
          <w:szCs w:val="28"/>
        </w:rPr>
        <w:t>Алматы, 202</w:t>
      </w:r>
      <w:r w:rsidR="00D120CD" w:rsidRPr="00916B3A">
        <w:rPr>
          <w:rFonts w:ascii="Times New Roman" w:hAnsi="Times New Roman" w:cs="Times New Roman"/>
          <w:sz w:val="28"/>
          <w:szCs w:val="28"/>
        </w:rPr>
        <w:t>5</w:t>
      </w:r>
    </w:p>
    <w:p w14:paraId="1D5F3DA9" w14:textId="0E697086" w:rsidR="00930943" w:rsidRDefault="00930943" w:rsidP="00EB3247">
      <w:pPr>
        <w:spacing w:after="0" w:line="240" w:lineRule="auto"/>
        <w:jc w:val="center"/>
        <w:rPr>
          <w:rFonts w:ascii="Times New Roman" w:hAnsi="Times New Roman" w:cs="Times New Roman"/>
          <w:b/>
          <w:sz w:val="28"/>
          <w:szCs w:val="28"/>
        </w:rPr>
      </w:pPr>
      <w:r w:rsidRPr="00916B3A">
        <w:rPr>
          <w:rFonts w:ascii="Times New Roman" w:hAnsi="Times New Roman" w:cs="Times New Roman"/>
          <w:b/>
          <w:sz w:val="28"/>
          <w:szCs w:val="28"/>
        </w:rPr>
        <w:lastRenderedPageBreak/>
        <w:t>СОДЕРЖАНИЕ</w:t>
      </w:r>
    </w:p>
    <w:p w14:paraId="69CD36C3" w14:textId="77777777" w:rsidR="00930943" w:rsidRPr="00916B3A" w:rsidRDefault="00930943" w:rsidP="000B7B11">
      <w:pPr>
        <w:spacing w:after="0" w:line="240" w:lineRule="auto"/>
        <w:jc w:val="center"/>
        <w:rPr>
          <w:rFonts w:ascii="Times New Roman" w:hAnsi="Times New Roman" w:cs="Times New Roman"/>
          <w:b/>
          <w:sz w:val="28"/>
          <w:szCs w:val="28"/>
        </w:rPr>
      </w:pPr>
    </w:p>
    <w:tbl>
      <w:tblPr>
        <w:tblStyle w:val="-13"/>
        <w:tblW w:w="50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76"/>
        <w:gridCol w:w="694"/>
      </w:tblGrid>
      <w:tr w:rsidR="00930943" w:rsidRPr="00916B3A" w14:paraId="4CCF359C" w14:textId="77777777" w:rsidTr="00997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pct"/>
            <w:tcBorders>
              <w:bottom w:val="none" w:sz="0" w:space="0" w:color="auto"/>
            </w:tcBorders>
          </w:tcPr>
          <w:p w14:paraId="00BAC3CA" w14:textId="498FBA5A" w:rsidR="00930943" w:rsidRPr="008D4F40" w:rsidRDefault="00595F24" w:rsidP="000B7B11">
            <w:pPr>
              <w:pStyle w:val="a9"/>
              <w:spacing w:before="0" w:beforeAutospacing="0" w:after="0" w:afterAutospacing="0"/>
              <w:rPr>
                <w:b w:val="0"/>
                <w:bCs w:val="0"/>
                <w:sz w:val="28"/>
                <w:szCs w:val="28"/>
                <w:lang w:val="kk-KZ"/>
              </w:rPr>
            </w:pPr>
            <w:r w:rsidRPr="008D4F40">
              <w:rPr>
                <w:sz w:val="28"/>
                <w:szCs w:val="28"/>
              </w:rPr>
              <w:t>НОРМАТИВНЫЕ ССЫЛКИ</w:t>
            </w:r>
            <w:r w:rsidRPr="00916B3A">
              <w:rPr>
                <w:b w:val="0"/>
                <w:bCs w:val="0"/>
                <w:sz w:val="28"/>
                <w:szCs w:val="28"/>
              </w:rPr>
              <w:t xml:space="preserve"> </w:t>
            </w:r>
            <w:r w:rsidR="00930943" w:rsidRPr="00916B3A">
              <w:rPr>
                <w:b w:val="0"/>
                <w:bCs w:val="0"/>
                <w:sz w:val="28"/>
                <w:szCs w:val="28"/>
              </w:rPr>
              <w:t>………………………</w:t>
            </w:r>
            <w:r w:rsidR="00EF7CFE" w:rsidRPr="00916B3A">
              <w:rPr>
                <w:b w:val="0"/>
                <w:bCs w:val="0"/>
                <w:sz w:val="28"/>
                <w:szCs w:val="28"/>
              </w:rPr>
              <w:t>……………….</w:t>
            </w:r>
            <w:r w:rsidR="008D4F40">
              <w:rPr>
                <w:b w:val="0"/>
                <w:bCs w:val="0"/>
                <w:sz w:val="28"/>
                <w:szCs w:val="28"/>
                <w:lang w:val="kk-KZ"/>
              </w:rPr>
              <w:t>.</w:t>
            </w:r>
            <w:r w:rsidR="00EF7CFE" w:rsidRPr="00916B3A">
              <w:rPr>
                <w:b w:val="0"/>
                <w:bCs w:val="0"/>
                <w:sz w:val="28"/>
                <w:szCs w:val="28"/>
              </w:rPr>
              <w:t>.</w:t>
            </w:r>
            <w:r w:rsidR="008D4F40">
              <w:rPr>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Borders>
              <w:bottom w:val="none" w:sz="0" w:space="0" w:color="auto"/>
            </w:tcBorders>
          </w:tcPr>
          <w:p w14:paraId="17F5D3E8" w14:textId="073EC5A2" w:rsidR="00930943" w:rsidRPr="00BC1756" w:rsidRDefault="00BC1756"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lang w:val="kk-KZ"/>
              </w:rPr>
              <w:t>4</w:t>
            </w:r>
          </w:p>
        </w:tc>
      </w:tr>
      <w:tr w:rsidR="00930943" w:rsidRPr="00916B3A" w14:paraId="698034D3"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4B232439" w14:textId="29ECFA72" w:rsidR="00930943" w:rsidRPr="008D4F40" w:rsidRDefault="00595F24" w:rsidP="000B7B11">
            <w:pPr>
              <w:pStyle w:val="a9"/>
              <w:spacing w:before="0" w:beforeAutospacing="0" w:after="0" w:afterAutospacing="0"/>
              <w:rPr>
                <w:b w:val="0"/>
                <w:bCs w:val="0"/>
                <w:sz w:val="28"/>
                <w:szCs w:val="28"/>
                <w:lang w:val="kk-KZ"/>
              </w:rPr>
            </w:pPr>
            <w:r w:rsidRPr="008D4F40">
              <w:rPr>
                <w:sz w:val="28"/>
                <w:szCs w:val="28"/>
              </w:rPr>
              <w:t>ОБОЗНАЧЕНИ</w:t>
            </w:r>
            <w:r w:rsidR="00F175C1" w:rsidRPr="008D4F40">
              <w:rPr>
                <w:sz w:val="28"/>
                <w:szCs w:val="28"/>
              </w:rPr>
              <w:t>Й</w:t>
            </w:r>
            <w:r w:rsidRPr="008D4F40">
              <w:rPr>
                <w:sz w:val="28"/>
                <w:szCs w:val="28"/>
              </w:rPr>
              <w:t xml:space="preserve"> И СОКРАЩЕНИ</w:t>
            </w:r>
            <w:r w:rsidR="00F175C1" w:rsidRPr="008D4F40">
              <w:rPr>
                <w:sz w:val="28"/>
                <w:szCs w:val="28"/>
              </w:rPr>
              <w:t>Й</w:t>
            </w:r>
            <w:r w:rsidR="00CD1F22" w:rsidRPr="00916B3A">
              <w:rPr>
                <w:b w:val="0"/>
                <w:bCs w:val="0"/>
                <w:sz w:val="28"/>
                <w:szCs w:val="28"/>
              </w:rPr>
              <w:t xml:space="preserve"> </w:t>
            </w:r>
            <w:r w:rsidRPr="00916B3A">
              <w:rPr>
                <w:b w:val="0"/>
                <w:bCs w:val="0"/>
                <w:sz w:val="28"/>
                <w:szCs w:val="28"/>
              </w:rPr>
              <w:t>…………………</w:t>
            </w:r>
            <w:r w:rsidR="008D4F40">
              <w:rPr>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1E316F1C" w14:textId="7597BB9E" w:rsidR="00930943" w:rsidRPr="00BC1756" w:rsidRDefault="00BC1756"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lang w:val="kk-KZ"/>
              </w:rPr>
              <w:t>5</w:t>
            </w:r>
          </w:p>
        </w:tc>
      </w:tr>
      <w:tr w:rsidR="00930943" w:rsidRPr="00916B3A" w14:paraId="254BE163"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44488E35" w14:textId="0350A289" w:rsidR="00930943" w:rsidRPr="008D4F40" w:rsidRDefault="00930943" w:rsidP="000B7B11">
            <w:pPr>
              <w:pStyle w:val="a9"/>
              <w:spacing w:before="0" w:beforeAutospacing="0" w:after="0" w:afterAutospacing="0"/>
              <w:jc w:val="both"/>
              <w:rPr>
                <w:b w:val="0"/>
                <w:bCs w:val="0"/>
                <w:sz w:val="28"/>
                <w:szCs w:val="28"/>
                <w:lang w:val="kk-KZ"/>
              </w:rPr>
            </w:pPr>
            <w:r w:rsidRPr="008D4F40">
              <w:rPr>
                <w:sz w:val="28"/>
                <w:szCs w:val="28"/>
              </w:rPr>
              <w:t>ВВЕДЕНИЕ</w:t>
            </w:r>
            <w:r w:rsidR="00AE5878" w:rsidRPr="00916B3A">
              <w:rPr>
                <w:b w:val="0"/>
                <w:bCs w:val="0"/>
                <w:sz w:val="28"/>
                <w:szCs w:val="28"/>
              </w:rPr>
              <w:t>……………………………………………………………</w:t>
            </w:r>
            <w:r w:rsidR="008D4F40">
              <w:rPr>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2E845209" w14:textId="48F616D6" w:rsidR="00930943" w:rsidRPr="00BC1756" w:rsidRDefault="00BC1756"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lang w:val="kk-KZ"/>
              </w:rPr>
              <w:t>6</w:t>
            </w:r>
          </w:p>
        </w:tc>
      </w:tr>
      <w:tr w:rsidR="00930943" w:rsidRPr="00916B3A" w14:paraId="182F2233"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6B125CB1" w14:textId="6BA69143" w:rsidR="00930943" w:rsidRPr="008D4F40" w:rsidRDefault="00930943" w:rsidP="000B7B11">
            <w:pPr>
              <w:pStyle w:val="a9"/>
              <w:spacing w:before="0" w:beforeAutospacing="0" w:after="0" w:afterAutospacing="0"/>
              <w:rPr>
                <w:b w:val="0"/>
                <w:bCs w:val="0"/>
                <w:sz w:val="28"/>
                <w:szCs w:val="28"/>
                <w:lang w:val="kk-KZ"/>
              </w:rPr>
            </w:pPr>
            <w:r w:rsidRPr="008D4F40">
              <w:rPr>
                <w:sz w:val="28"/>
                <w:szCs w:val="28"/>
              </w:rPr>
              <w:t xml:space="preserve">1 </w:t>
            </w:r>
            <w:r w:rsidR="00E7433D" w:rsidRPr="008D4F40">
              <w:rPr>
                <w:sz w:val="28"/>
                <w:szCs w:val="28"/>
              </w:rPr>
              <w:t>СОВРЕМЕННОЕ ПРЕДСТАВЛЕНИЕ О ПАТОГЕНЕТИЧЕСКИХ АСПЕКТАХ НАРУШЕНИЯ РЕЦЕПТИВНОСТИ</w:t>
            </w:r>
            <w:r w:rsidR="00E7433D" w:rsidRPr="00916B3A">
              <w:rPr>
                <w:sz w:val="28"/>
                <w:szCs w:val="28"/>
              </w:rPr>
              <w:t xml:space="preserve"> </w:t>
            </w:r>
            <w:r w:rsidRPr="00916B3A">
              <w:rPr>
                <w:b w:val="0"/>
                <w:bCs w:val="0"/>
                <w:sz w:val="28"/>
                <w:szCs w:val="28"/>
              </w:rPr>
              <w:t>………………</w:t>
            </w:r>
            <w:r w:rsidR="008D4F40">
              <w:rPr>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3A7AE850" w14:textId="6CDFC071" w:rsidR="00930943" w:rsidRPr="00BC1756" w:rsidRDefault="00595F24" w:rsidP="00BE5BD1">
            <w:pPr>
              <w:widowControl w:val="0"/>
              <w:jc w:val="center"/>
              <w:rPr>
                <w:rFonts w:ascii="Times New Roman" w:hAnsi="Times New Roman" w:cs="Times New Roman"/>
                <w:b w:val="0"/>
                <w:bCs w:val="0"/>
                <w:sz w:val="28"/>
                <w:szCs w:val="28"/>
                <w:lang w:val="kk-KZ"/>
              </w:rPr>
            </w:pPr>
            <w:r w:rsidRPr="00916B3A">
              <w:rPr>
                <w:rFonts w:ascii="Times New Roman" w:hAnsi="Times New Roman" w:cs="Times New Roman"/>
                <w:b w:val="0"/>
                <w:bCs w:val="0"/>
                <w:sz w:val="28"/>
                <w:szCs w:val="28"/>
              </w:rPr>
              <w:t>1</w:t>
            </w:r>
            <w:r w:rsidR="00BC1756">
              <w:rPr>
                <w:rFonts w:ascii="Times New Roman" w:hAnsi="Times New Roman" w:cs="Times New Roman"/>
                <w:b w:val="0"/>
                <w:bCs w:val="0"/>
                <w:sz w:val="28"/>
                <w:szCs w:val="28"/>
                <w:lang w:val="kk-KZ"/>
              </w:rPr>
              <w:t>2</w:t>
            </w:r>
          </w:p>
        </w:tc>
      </w:tr>
      <w:tr w:rsidR="00930943" w:rsidRPr="00916B3A" w14:paraId="7CC01708"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633FCFE6" w14:textId="2E295C9A" w:rsidR="00930943" w:rsidRPr="008D4F40" w:rsidRDefault="00930943" w:rsidP="000B7B11">
            <w:pPr>
              <w:rPr>
                <w:rFonts w:ascii="Times New Roman" w:hAnsi="Times New Roman" w:cs="Times New Roman"/>
                <w:b w:val="0"/>
                <w:bCs w:val="0"/>
                <w:sz w:val="28"/>
                <w:szCs w:val="28"/>
                <w:lang w:val="kk-KZ"/>
              </w:rPr>
            </w:pPr>
            <w:r w:rsidRPr="00916B3A">
              <w:rPr>
                <w:rFonts w:ascii="Times New Roman" w:hAnsi="Times New Roman" w:cs="Times New Roman"/>
                <w:b w:val="0"/>
                <w:bCs w:val="0"/>
                <w:sz w:val="28"/>
                <w:szCs w:val="28"/>
              </w:rPr>
              <w:t>1.1 Факторы риска рецидивов репродуктивных потерь ….……….</w:t>
            </w:r>
            <w:r w:rsidR="008D4F40">
              <w:rPr>
                <w:rFonts w:ascii="Times New Roman" w:hAnsi="Times New Roman" w:cs="Times New Roman"/>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22178E70" w14:textId="4FDEA4D1" w:rsidR="00930943" w:rsidRPr="00BC1756" w:rsidRDefault="00595F24" w:rsidP="00BE5BD1">
            <w:pPr>
              <w:widowControl w:val="0"/>
              <w:jc w:val="center"/>
              <w:rPr>
                <w:rFonts w:ascii="Times New Roman" w:hAnsi="Times New Roman" w:cs="Times New Roman"/>
                <w:b w:val="0"/>
                <w:bCs w:val="0"/>
                <w:sz w:val="28"/>
                <w:szCs w:val="28"/>
                <w:lang w:val="kk-KZ"/>
              </w:rPr>
            </w:pPr>
            <w:r w:rsidRPr="00916B3A">
              <w:rPr>
                <w:rFonts w:ascii="Times New Roman" w:hAnsi="Times New Roman" w:cs="Times New Roman"/>
                <w:b w:val="0"/>
                <w:bCs w:val="0"/>
                <w:sz w:val="28"/>
                <w:szCs w:val="28"/>
              </w:rPr>
              <w:t>1</w:t>
            </w:r>
            <w:r w:rsidR="00BC1756">
              <w:rPr>
                <w:rFonts w:ascii="Times New Roman" w:hAnsi="Times New Roman" w:cs="Times New Roman"/>
                <w:b w:val="0"/>
                <w:bCs w:val="0"/>
                <w:sz w:val="28"/>
                <w:szCs w:val="28"/>
                <w:lang w:val="kk-KZ"/>
              </w:rPr>
              <w:t>2</w:t>
            </w:r>
          </w:p>
        </w:tc>
      </w:tr>
      <w:tr w:rsidR="00930943" w:rsidRPr="00916B3A" w14:paraId="1B1FA38C"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70407E85" w14:textId="00332024" w:rsidR="00930943" w:rsidRPr="008D4F40" w:rsidRDefault="009978F4" w:rsidP="000B7B11">
            <w:pPr>
              <w:rPr>
                <w:rFonts w:ascii="Times New Roman" w:hAnsi="Times New Roman" w:cs="Times New Roman"/>
                <w:b w:val="0"/>
                <w:bCs w:val="0"/>
                <w:sz w:val="28"/>
                <w:szCs w:val="28"/>
                <w:lang w:val="kk-KZ"/>
              </w:rPr>
            </w:pPr>
            <w:bookmarkStart w:id="1" w:name="_Hlk179072391"/>
            <w:r w:rsidRPr="00916B3A">
              <w:rPr>
                <w:rFonts w:ascii="Times New Roman" w:hAnsi="Times New Roman" w:cs="Times New Roman"/>
                <w:b w:val="0"/>
                <w:bCs w:val="0"/>
                <w:sz w:val="28"/>
                <w:szCs w:val="28"/>
              </w:rPr>
              <w:t>1.2</w:t>
            </w:r>
            <w:r w:rsidR="00930943" w:rsidRPr="00916B3A">
              <w:rPr>
                <w:rFonts w:ascii="Times New Roman" w:hAnsi="Times New Roman" w:cs="Times New Roman"/>
                <w:b w:val="0"/>
                <w:bCs w:val="0"/>
                <w:sz w:val="28"/>
                <w:szCs w:val="28"/>
              </w:rPr>
              <w:t xml:space="preserve"> Молекулярные методы оценки рецептивности эндометрия</w:t>
            </w:r>
            <w:bookmarkEnd w:id="1"/>
            <w:r w:rsidR="00CD1F22" w:rsidRPr="00916B3A">
              <w:rPr>
                <w:rFonts w:ascii="Times New Roman" w:hAnsi="Times New Roman" w:cs="Times New Roman"/>
                <w:b w:val="0"/>
                <w:bCs w:val="0"/>
                <w:sz w:val="28"/>
                <w:szCs w:val="28"/>
              </w:rPr>
              <w:t xml:space="preserve"> .</w:t>
            </w:r>
            <w:r w:rsidR="00930943" w:rsidRPr="00916B3A">
              <w:rPr>
                <w:rFonts w:ascii="Times New Roman" w:hAnsi="Times New Roman" w:cs="Times New Roman"/>
                <w:b w:val="0"/>
                <w:bCs w:val="0"/>
                <w:sz w:val="28"/>
                <w:szCs w:val="28"/>
              </w:rPr>
              <w:t>…</w:t>
            </w:r>
            <w:r w:rsidR="008D4F40">
              <w:rPr>
                <w:rFonts w:ascii="Times New Roman" w:hAnsi="Times New Roman" w:cs="Times New Roman"/>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7542B4D1" w14:textId="7794C9BA" w:rsidR="00930943" w:rsidRPr="00BC1756" w:rsidRDefault="00E7433D"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2</w:t>
            </w:r>
            <w:r w:rsidR="00BC1756">
              <w:rPr>
                <w:rFonts w:ascii="Times New Roman" w:hAnsi="Times New Roman" w:cs="Times New Roman"/>
                <w:b w:val="0"/>
                <w:bCs w:val="0"/>
                <w:sz w:val="28"/>
                <w:szCs w:val="28"/>
                <w:lang w:val="kk-KZ"/>
              </w:rPr>
              <w:t>7</w:t>
            </w:r>
          </w:p>
        </w:tc>
      </w:tr>
      <w:tr w:rsidR="00930943" w:rsidRPr="00916B3A" w14:paraId="09A149DA"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27D201CF" w14:textId="4070A638" w:rsidR="00930943" w:rsidRPr="008D4F40" w:rsidRDefault="00930943" w:rsidP="00AE5878">
            <w:pPr>
              <w:pStyle w:val="a9"/>
              <w:spacing w:before="0" w:beforeAutospacing="0" w:after="0" w:afterAutospacing="0"/>
              <w:rPr>
                <w:b w:val="0"/>
                <w:bCs w:val="0"/>
                <w:sz w:val="28"/>
                <w:szCs w:val="28"/>
                <w:lang w:val="kk-KZ"/>
              </w:rPr>
            </w:pPr>
            <w:r w:rsidRPr="008D4F40">
              <w:rPr>
                <w:sz w:val="28"/>
                <w:szCs w:val="28"/>
              </w:rPr>
              <w:t>2</w:t>
            </w:r>
            <w:r w:rsidR="00951C76" w:rsidRPr="008D4F40">
              <w:rPr>
                <w:sz w:val="28"/>
                <w:szCs w:val="28"/>
              </w:rPr>
              <w:t xml:space="preserve"> МАТЕРИАЛ И МЕТОДЫ </w:t>
            </w:r>
            <w:r w:rsidR="00AE5878" w:rsidRPr="008D4F40">
              <w:rPr>
                <w:sz w:val="28"/>
                <w:szCs w:val="28"/>
              </w:rPr>
              <w:t>ИССЛЕДОВАНИЯ</w:t>
            </w:r>
            <w:r w:rsidR="00CD1F22" w:rsidRPr="00916B3A">
              <w:rPr>
                <w:b w:val="0"/>
                <w:bCs w:val="0"/>
                <w:sz w:val="28"/>
                <w:szCs w:val="28"/>
              </w:rPr>
              <w:t xml:space="preserve"> </w:t>
            </w:r>
            <w:r w:rsidR="00951C76" w:rsidRPr="00916B3A">
              <w:rPr>
                <w:b w:val="0"/>
                <w:bCs w:val="0"/>
                <w:sz w:val="28"/>
                <w:szCs w:val="28"/>
              </w:rPr>
              <w:t>……………</w:t>
            </w:r>
            <w:r w:rsidR="008D4F40">
              <w:rPr>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3E9C34C5" w14:textId="3E262829" w:rsidR="00930943" w:rsidRPr="00BC1756" w:rsidRDefault="00E7433D"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3</w:t>
            </w:r>
            <w:r w:rsidR="00BC1756">
              <w:rPr>
                <w:rFonts w:ascii="Times New Roman" w:hAnsi="Times New Roman" w:cs="Times New Roman"/>
                <w:b w:val="0"/>
                <w:bCs w:val="0"/>
                <w:sz w:val="28"/>
                <w:szCs w:val="28"/>
                <w:lang w:val="kk-KZ"/>
              </w:rPr>
              <w:t>6</w:t>
            </w:r>
          </w:p>
        </w:tc>
      </w:tr>
      <w:tr w:rsidR="0046192A" w:rsidRPr="00916B3A" w14:paraId="3017891B"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5811824F" w14:textId="50B6667E" w:rsidR="0046192A" w:rsidRPr="008D4F40" w:rsidRDefault="0046192A" w:rsidP="000B7B11">
            <w:pPr>
              <w:pStyle w:val="a9"/>
              <w:spacing w:before="0" w:beforeAutospacing="0" w:after="0" w:afterAutospacing="0"/>
              <w:rPr>
                <w:b w:val="0"/>
                <w:bCs w:val="0"/>
                <w:sz w:val="28"/>
                <w:szCs w:val="28"/>
                <w:lang w:val="kk-KZ"/>
              </w:rPr>
            </w:pPr>
            <w:r w:rsidRPr="00916B3A">
              <w:rPr>
                <w:b w:val="0"/>
                <w:bCs w:val="0"/>
                <w:sz w:val="28"/>
                <w:szCs w:val="28"/>
              </w:rPr>
              <w:t>2.1 Характеристика обследованных больных</w:t>
            </w:r>
            <w:r w:rsidR="008D4F40">
              <w:rPr>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32C0F8DA" w14:textId="13184246" w:rsidR="0046192A" w:rsidRPr="00BC1756" w:rsidRDefault="007F19EC" w:rsidP="00BE5BD1">
            <w:pPr>
              <w:widowControl w:val="0"/>
              <w:jc w:val="center"/>
              <w:rPr>
                <w:rFonts w:ascii="Times New Roman" w:hAnsi="Times New Roman" w:cs="Times New Roman"/>
                <w:b w:val="0"/>
                <w:bCs w:val="0"/>
                <w:sz w:val="28"/>
                <w:szCs w:val="28"/>
                <w:lang w:val="kk-KZ"/>
              </w:rPr>
            </w:pPr>
            <w:r w:rsidRPr="00916B3A">
              <w:rPr>
                <w:rFonts w:ascii="Times New Roman" w:hAnsi="Times New Roman" w:cs="Times New Roman"/>
                <w:b w:val="0"/>
                <w:bCs w:val="0"/>
                <w:sz w:val="28"/>
                <w:szCs w:val="28"/>
              </w:rPr>
              <w:t>4</w:t>
            </w:r>
            <w:r w:rsidR="00BC1756">
              <w:rPr>
                <w:rFonts w:ascii="Times New Roman" w:hAnsi="Times New Roman" w:cs="Times New Roman"/>
                <w:b w:val="0"/>
                <w:bCs w:val="0"/>
                <w:sz w:val="28"/>
                <w:szCs w:val="28"/>
                <w:lang w:val="kk-KZ"/>
              </w:rPr>
              <w:t>3</w:t>
            </w:r>
          </w:p>
        </w:tc>
      </w:tr>
      <w:tr w:rsidR="00750FB4" w:rsidRPr="00916B3A" w14:paraId="7D13F917"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2A899B9D" w14:textId="2E059CD1" w:rsidR="00750FB4" w:rsidRPr="008D4F40" w:rsidRDefault="00750FB4" w:rsidP="000B7B11">
            <w:pPr>
              <w:pStyle w:val="a9"/>
              <w:spacing w:before="0" w:beforeAutospacing="0" w:after="0" w:afterAutospacing="0"/>
              <w:rPr>
                <w:b w:val="0"/>
                <w:bCs w:val="0"/>
                <w:sz w:val="28"/>
                <w:szCs w:val="28"/>
                <w:lang w:val="kk-KZ"/>
              </w:rPr>
            </w:pPr>
            <w:r w:rsidRPr="00916B3A">
              <w:rPr>
                <w:b w:val="0"/>
                <w:bCs w:val="0"/>
                <w:sz w:val="28"/>
                <w:szCs w:val="28"/>
              </w:rPr>
              <w:t>2.2</w:t>
            </w:r>
            <w:r w:rsidR="0046192A" w:rsidRPr="00916B3A">
              <w:rPr>
                <w:b w:val="0"/>
                <w:bCs w:val="0"/>
                <w:sz w:val="28"/>
                <w:szCs w:val="28"/>
              </w:rPr>
              <w:t xml:space="preserve"> </w:t>
            </w:r>
            <w:r w:rsidRPr="00916B3A">
              <w:rPr>
                <w:b w:val="0"/>
                <w:bCs w:val="0"/>
                <w:sz w:val="28"/>
                <w:szCs w:val="28"/>
              </w:rPr>
              <w:t>Методы исследования ……………………………………………</w:t>
            </w:r>
            <w:r w:rsidR="008D4F40">
              <w:rPr>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7C239B91" w14:textId="081D3C7C" w:rsidR="00750FB4" w:rsidRPr="00BC1756" w:rsidRDefault="00E7433D"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4</w:t>
            </w:r>
            <w:r w:rsidR="00BC1756">
              <w:rPr>
                <w:rFonts w:ascii="Times New Roman" w:hAnsi="Times New Roman" w:cs="Times New Roman"/>
                <w:b w:val="0"/>
                <w:bCs w:val="0"/>
                <w:sz w:val="28"/>
                <w:szCs w:val="28"/>
                <w:lang w:val="kk-KZ"/>
              </w:rPr>
              <w:t>3</w:t>
            </w:r>
          </w:p>
        </w:tc>
      </w:tr>
      <w:tr w:rsidR="0046192A" w:rsidRPr="00916B3A" w14:paraId="083A3752"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0FD15FC1" w14:textId="55E1273A" w:rsidR="0046192A" w:rsidRPr="008D4F40" w:rsidRDefault="0046192A" w:rsidP="000B7B11">
            <w:pPr>
              <w:pStyle w:val="a9"/>
              <w:spacing w:before="0" w:beforeAutospacing="0" w:after="0" w:afterAutospacing="0"/>
              <w:rPr>
                <w:b w:val="0"/>
                <w:bCs w:val="0"/>
                <w:sz w:val="28"/>
                <w:szCs w:val="28"/>
                <w:lang w:val="kk-KZ"/>
              </w:rPr>
            </w:pPr>
            <w:r w:rsidRPr="00916B3A">
              <w:rPr>
                <w:b w:val="0"/>
                <w:bCs w:val="0"/>
                <w:sz w:val="28"/>
                <w:szCs w:val="28"/>
              </w:rPr>
              <w:t>2.2.1 Инструментальные исследования</w:t>
            </w:r>
            <w:r w:rsidR="008D4F40">
              <w:rPr>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6E532EE0" w14:textId="50FB5B09" w:rsidR="0046192A" w:rsidRPr="00BC1756" w:rsidRDefault="00E7433D"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4</w:t>
            </w:r>
            <w:r w:rsidR="00BC1756">
              <w:rPr>
                <w:rFonts w:ascii="Times New Roman" w:hAnsi="Times New Roman" w:cs="Times New Roman"/>
                <w:b w:val="0"/>
                <w:bCs w:val="0"/>
                <w:sz w:val="28"/>
                <w:szCs w:val="28"/>
                <w:lang w:val="kk-KZ"/>
              </w:rPr>
              <w:t>4</w:t>
            </w:r>
          </w:p>
        </w:tc>
      </w:tr>
      <w:tr w:rsidR="0046192A" w:rsidRPr="00916B3A" w14:paraId="5D651EF3"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7608CEFB" w14:textId="10989B15" w:rsidR="0046192A" w:rsidRPr="00916B3A" w:rsidRDefault="0046192A" w:rsidP="000B7B11">
            <w:pPr>
              <w:pStyle w:val="a9"/>
              <w:spacing w:before="0" w:beforeAutospacing="0" w:after="0" w:afterAutospacing="0"/>
              <w:rPr>
                <w:b w:val="0"/>
                <w:bCs w:val="0"/>
                <w:sz w:val="28"/>
                <w:szCs w:val="28"/>
              </w:rPr>
            </w:pPr>
            <w:r w:rsidRPr="00916B3A">
              <w:rPr>
                <w:b w:val="0"/>
                <w:bCs w:val="0"/>
                <w:sz w:val="28"/>
                <w:szCs w:val="28"/>
              </w:rPr>
              <w:t>2.2.2 Транскрипционный анализ эндометрия ……………</w:t>
            </w:r>
            <w:r w:rsidR="004C4BC9" w:rsidRPr="00916B3A">
              <w:rPr>
                <w:b w:val="0"/>
                <w:bCs w:val="0"/>
                <w:sz w:val="28"/>
                <w:szCs w:val="28"/>
              </w:rPr>
              <w:t>..</w:t>
            </w:r>
            <w:r w:rsidRPr="00916B3A">
              <w:rPr>
                <w:b w:val="0"/>
                <w:bCs w:val="0"/>
                <w:sz w:val="28"/>
                <w:szCs w:val="28"/>
              </w:rPr>
              <w:t>………</w:t>
            </w:r>
            <w:r w:rsidR="008D4F40">
              <w:rPr>
                <w:b w:val="0"/>
                <w:bCs w:val="0"/>
                <w:sz w:val="28"/>
                <w:szCs w:val="28"/>
                <w:lang w:val="kk-KZ"/>
              </w:rPr>
              <w:t>.........</w:t>
            </w:r>
            <w:r w:rsidRPr="00916B3A">
              <w:rPr>
                <w:b w:val="0"/>
                <w:bCs w:val="0"/>
                <w:sz w:val="28"/>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4AF96A05" w14:textId="1671E810" w:rsidR="0046192A" w:rsidRPr="00BC1756" w:rsidRDefault="00E7433D"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4</w:t>
            </w:r>
            <w:r w:rsidR="00BC1756">
              <w:rPr>
                <w:rFonts w:ascii="Times New Roman" w:hAnsi="Times New Roman" w:cs="Times New Roman"/>
                <w:b w:val="0"/>
                <w:bCs w:val="0"/>
                <w:sz w:val="28"/>
                <w:szCs w:val="28"/>
                <w:lang w:val="kk-KZ"/>
              </w:rPr>
              <w:t>5</w:t>
            </w:r>
          </w:p>
        </w:tc>
      </w:tr>
      <w:tr w:rsidR="0046192A" w:rsidRPr="00916B3A" w14:paraId="31485D35"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1D6AC209" w14:textId="0A49ECA9" w:rsidR="0046192A" w:rsidRPr="008D4F40" w:rsidRDefault="0046192A" w:rsidP="000B7B11">
            <w:pPr>
              <w:pStyle w:val="a9"/>
              <w:spacing w:before="0" w:beforeAutospacing="0" w:after="0" w:afterAutospacing="0"/>
              <w:rPr>
                <w:b w:val="0"/>
                <w:bCs w:val="0"/>
                <w:sz w:val="28"/>
                <w:szCs w:val="28"/>
                <w:lang w:val="kk-KZ"/>
              </w:rPr>
            </w:pPr>
            <w:r w:rsidRPr="00916B3A">
              <w:rPr>
                <w:b w:val="0"/>
                <w:bCs w:val="0"/>
                <w:sz w:val="28"/>
                <w:szCs w:val="28"/>
              </w:rPr>
              <w:t>2.2.</w:t>
            </w:r>
            <w:r w:rsidRPr="00916B3A">
              <w:rPr>
                <w:b w:val="0"/>
                <w:bCs w:val="0"/>
                <w:sz w:val="28"/>
                <w:szCs w:val="28"/>
                <w:lang w:val="en-US"/>
              </w:rPr>
              <w:t>3</w:t>
            </w:r>
            <w:r w:rsidRPr="00916B3A">
              <w:rPr>
                <w:b w:val="0"/>
                <w:bCs w:val="0"/>
                <w:sz w:val="28"/>
                <w:szCs w:val="28"/>
              </w:rPr>
              <w:t xml:space="preserve"> Статистическ</w:t>
            </w:r>
            <w:r w:rsidR="000B7B11" w:rsidRPr="00916B3A">
              <w:rPr>
                <w:b w:val="0"/>
                <w:bCs w:val="0"/>
                <w:sz w:val="28"/>
                <w:szCs w:val="28"/>
              </w:rPr>
              <w:t>ая о</w:t>
            </w:r>
            <w:r w:rsidR="007450C9" w:rsidRPr="00916B3A">
              <w:rPr>
                <w:b w:val="0"/>
                <w:bCs w:val="0"/>
                <w:sz w:val="28"/>
                <w:szCs w:val="28"/>
              </w:rPr>
              <w:t>б</w:t>
            </w:r>
            <w:r w:rsidR="000B7B11" w:rsidRPr="00916B3A">
              <w:rPr>
                <w:b w:val="0"/>
                <w:bCs w:val="0"/>
                <w:sz w:val="28"/>
                <w:szCs w:val="28"/>
              </w:rPr>
              <w:t>работка данных</w:t>
            </w:r>
            <w:r w:rsidR="00FA7060" w:rsidRPr="00916B3A">
              <w:rPr>
                <w:b w:val="0"/>
                <w:bCs w:val="0"/>
                <w:sz w:val="28"/>
                <w:szCs w:val="28"/>
              </w:rPr>
              <w:t xml:space="preserve"> ……………………………</w:t>
            </w:r>
            <w:r w:rsidR="008D4F40">
              <w:rPr>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23A2A2B2" w14:textId="7FBBA620" w:rsidR="0046192A" w:rsidRPr="00BC1756" w:rsidRDefault="00E7433D"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4</w:t>
            </w:r>
            <w:r w:rsidR="00BC1756">
              <w:rPr>
                <w:rFonts w:ascii="Times New Roman" w:hAnsi="Times New Roman" w:cs="Times New Roman"/>
                <w:b w:val="0"/>
                <w:bCs w:val="0"/>
                <w:sz w:val="28"/>
                <w:szCs w:val="28"/>
                <w:lang w:val="kk-KZ"/>
              </w:rPr>
              <w:t>6</w:t>
            </w:r>
          </w:p>
        </w:tc>
      </w:tr>
      <w:tr w:rsidR="0046192A" w:rsidRPr="00916B3A" w14:paraId="0D57BE13"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0B9AF356" w14:textId="1C083569" w:rsidR="0046192A" w:rsidRPr="00BE5BD1" w:rsidRDefault="0046192A" w:rsidP="000B7B11">
            <w:pPr>
              <w:rPr>
                <w:rFonts w:ascii="Times New Roman" w:hAnsi="Times New Roman" w:cs="Times New Roman"/>
                <w:sz w:val="28"/>
                <w:szCs w:val="28"/>
              </w:rPr>
            </w:pPr>
            <w:r w:rsidRPr="00BE5BD1">
              <w:rPr>
                <w:rFonts w:ascii="Times New Roman" w:hAnsi="Times New Roman" w:cs="Times New Roman"/>
                <w:sz w:val="28"/>
                <w:szCs w:val="28"/>
              </w:rPr>
              <w:t xml:space="preserve">3 ОСНОВНЫЕ РЕЗУЛЬТАТЫ </w:t>
            </w:r>
            <w:r w:rsidR="00540AEE" w:rsidRPr="00BE5BD1">
              <w:rPr>
                <w:rFonts w:ascii="Times New Roman" w:hAnsi="Times New Roman" w:cs="Times New Roman"/>
                <w:sz w:val="28"/>
                <w:szCs w:val="28"/>
              </w:rPr>
              <w:t xml:space="preserve">СОБСТВЕННОГО </w:t>
            </w:r>
            <w:r w:rsidRPr="00BE5BD1">
              <w:rPr>
                <w:rFonts w:ascii="Times New Roman" w:hAnsi="Times New Roman" w:cs="Times New Roman"/>
                <w:sz w:val="28"/>
                <w:szCs w:val="28"/>
              </w:rPr>
              <w:t>ИССЛЕДОВА</w:t>
            </w:r>
            <w:r w:rsidR="00997125">
              <w:rPr>
                <w:rFonts w:ascii="Times New Roman" w:hAnsi="Times New Roman" w:cs="Times New Roman"/>
                <w:sz w:val="28"/>
                <w:szCs w:val="28"/>
              </w:rPr>
              <w:t>-</w:t>
            </w:r>
            <w:r w:rsidRPr="00BE5BD1">
              <w:rPr>
                <w:rFonts w:ascii="Times New Roman" w:hAnsi="Times New Roman" w:cs="Times New Roman"/>
                <w:sz w:val="28"/>
                <w:szCs w:val="28"/>
              </w:rPr>
              <w:t>НИЯ</w:t>
            </w:r>
            <w:r w:rsidR="00997125">
              <w:rPr>
                <w:rFonts w:ascii="Times New Roman" w:hAnsi="Times New Roman" w:cs="Times New Roman"/>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355" w:type="pct"/>
          </w:tcPr>
          <w:p w14:paraId="4CEF6E1E" w14:textId="77777777" w:rsidR="00997125" w:rsidRDefault="00997125" w:rsidP="00BE5BD1">
            <w:pPr>
              <w:widowControl w:val="0"/>
              <w:jc w:val="center"/>
              <w:rPr>
                <w:rFonts w:ascii="Times New Roman" w:hAnsi="Times New Roman" w:cs="Times New Roman"/>
                <w:sz w:val="28"/>
                <w:szCs w:val="28"/>
              </w:rPr>
            </w:pPr>
          </w:p>
          <w:p w14:paraId="5275D420" w14:textId="01F5C767" w:rsidR="0046192A" w:rsidRPr="00BC1756" w:rsidRDefault="00E7433D"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4</w:t>
            </w:r>
            <w:r w:rsidR="00BC1756">
              <w:rPr>
                <w:rFonts w:ascii="Times New Roman" w:hAnsi="Times New Roman" w:cs="Times New Roman"/>
                <w:b w:val="0"/>
                <w:bCs w:val="0"/>
                <w:sz w:val="28"/>
                <w:szCs w:val="28"/>
                <w:lang w:val="kk-KZ"/>
              </w:rPr>
              <w:t>8</w:t>
            </w:r>
          </w:p>
        </w:tc>
      </w:tr>
      <w:tr w:rsidR="0038219A" w:rsidRPr="00916B3A" w14:paraId="7F349A8C"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4E060F0A" w14:textId="49D6F285" w:rsidR="0038219A" w:rsidRPr="00094994" w:rsidRDefault="0038219A" w:rsidP="00094994">
            <w:pPr>
              <w:jc w:val="both"/>
              <w:rPr>
                <w:rFonts w:ascii="Times New Roman" w:hAnsi="Times New Roman" w:cs="Times New Roman"/>
                <w:b w:val="0"/>
                <w:sz w:val="28"/>
                <w:szCs w:val="28"/>
              </w:rPr>
            </w:pPr>
            <w:r>
              <w:rPr>
                <w:rFonts w:ascii="Times New Roman" w:hAnsi="Times New Roman" w:cs="Times New Roman"/>
                <w:b w:val="0"/>
                <w:bCs w:val="0"/>
                <w:sz w:val="28"/>
                <w:szCs w:val="28"/>
              </w:rPr>
              <w:t xml:space="preserve">3.1 </w:t>
            </w:r>
            <w:r w:rsidR="00094994">
              <w:rPr>
                <w:rFonts w:ascii="Times New Roman" w:hAnsi="Times New Roman" w:cs="Times New Roman"/>
                <w:b w:val="0"/>
                <w:sz w:val="28"/>
                <w:szCs w:val="28"/>
              </w:rPr>
              <w:t xml:space="preserve">Анализ факторов риска репродуктивных потерь </w:t>
            </w:r>
            <w:r w:rsidR="00997125">
              <w:rPr>
                <w:rFonts w:ascii="Times New Roman" w:hAnsi="Times New Roman" w:cs="Times New Roman"/>
                <w:b w:val="0"/>
                <w:sz w:val="28"/>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597BD8AF" w14:textId="79E5E0C6" w:rsidR="0038219A" w:rsidRPr="00BC1756" w:rsidRDefault="00D54B17"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4</w:t>
            </w:r>
            <w:r w:rsidR="00BC1756">
              <w:rPr>
                <w:rFonts w:ascii="Times New Roman" w:hAnsi="Times New Roman" w:cs="Times New Roman"/>
                <w:b w:val="0"/>
                <w:bCs w:val="0"/>
                <w:sz w:val="28"/>
                <w:szCs w:val="28"/>
                <w:lang w:val="kk-KZ"/>
              </w:rPr>
              <w:t>8</w:t>
            </w:r>
          </w:p>
        </w:tc>
      </w:tr>
      <w:tr w:rsidR="0046192A" w:rsidRPr="00916B3A" w14:paraId="4930AF6B"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7B3BE452" w14:textId="5D02A978" w:rsidR="0046192A" w:rsidRPr="00D54B17" w:rsidRDefault="00D54B17" w:rsidP="00D54B17">
            <w:pPr>
              <w:jc w:val="both"/>
              <w:rPr>
                <w:rFonts w:ascii="Times New Roman" w:hAnsi="Times New Roman" w:cs="Times New Roman"/>
                <w:b w:val="0"/>
                <w:sz w:val="28"/>
                <w:szCs w:val="28"/>
              </w:rPr>
            </w:pPr>
            <w:bookmarkStart w:id="2" w:name="_Hlk181135265"/>
            <w:r>
              <w:rPr>
                <w:rFonts w:ascii="Times New Roman" w:hAnsi="Times New Roman" w:cs="Times New Roman"/>
                <w:b w:val="0"/>
                <w:bCs w:val="0"/>
                <w:sz w:val="28"/>
                <w:szCs w:val="28"/>
              </w:rPr>
              <w:t xml:space="preserve">3.1.1 </w:t>
            </w:r>
            <w:r>
              <w:rPr>
                <w:rFonts w:ascii="Times New Roman" w:hAnsi="Times New Roman" w:cs="Times New Roman"/>
                <w:b w:val="0"/>
                <w:sz w:val="28"/>
                <w:szCs w:val="28"/>
              </w:rPr>
              <w:t>П</w:t>
            </w:r>
            <w:r w:rsidRPr="00916B3A">
              <w:rPr>
                <w:rFonts w:ascii="Times New Roman" w:hAnsi="Times New Roman" w:cs="Times New Roman"/>
                <w:b w:val="0"/>
                <w:sz w:val="28"/>
                <w:szCs w:val="28"/>
              </w:rPr>
              <w:t>рогностическое значение толщины эндометрия в прогнозировании наступления беременности в циклах ЭКО</w:t>
            </w:r>
            <w:r w:rsidR="0046192A" w:rsidRPr="00916B3A">
              <w:rPr>
                <w:rFonts w:ascii="Times New Roman" w:hAnsi="Times New Roman" w:cs="Times New Roman"/>
                <w:b w:val="0"/>
                <w:bCs w:val="0"/>
                <w:sz w:val="28"/>
                <w:szCs w:val="28"/>
              </w:rPr>
              <w:t>…</w:t>
            </w:r>
            <w:bookmarkEnd w:id="2"/>
            <w:r>
              <w:rPr>
                <w:rFonts w:ascii="Times New Roman" w:hAnsi="Times New Roman" w:cs="Times New Roman"/>
                <w:b w:val="0"/>
                <w:bCs w:val="0"/>
                <w:sz w:val="28"/>
                <w:szCs w:val="28"/>
              </w:rPr>
              <w:t>..</w:t>
            </w:r>
            <w:r w:rsidR="00997125">
              <w:rPr>
                <w:rFonts w:ascii="Times New Roman" w:hAnsi="Times New Roman" w:cs="Times New Roman"/>
                <w:b w:val="0"/>
                <w:bCs w:val="0"/>
                <w:sz w:val="28"/>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76ED9590" w14:textId="77777777" w:rsidR="00997125" w:rsidRDefault="00997125" w:rsidP="00BE5BD1">
            <w:pPr>
              <w:widowControl w:val="0"/>
              <w:jc w:val="center"/>
              <w:rPr>
                <w:rFonts w:ascii="Times New Roman" w:hAnsi="Times New Roman" w:cs="Times New Roman"/>
                <w:sz w:val="28"/>
                <w:szCs w:val="28"/>
              </w:rPr>
            </w:pPr>
          </w:p>
          <w:p w14:paraId="43B31B72" w14:textId="58BA1CBE" w:rsidR="0046192A" w:rsidRPr="00BC1756" w:rsidRDefault="0072270A"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4</w:t>
            </w:r>
            <w:r w:rsidR="00BC1756">
              <w:rPr>
                <w:rFonts w:ascii="Times New Roman" w:hAnsi="Times New Roman" w:cs="Times New Roman"/>
                <w:b w:val="0"/>
                <w:bCs w:val="0"/>
                <w:sz w:val="28"/>
                <w:szCs w:val="28"/>
                <w:lang w:val="kk-KZ"/>
              </w:rPr>
              <w:t>8</w:t>
            </w:r>
          </w:p>
        </w:tc>
      </w:tr>
      <w:tr w:rsidR="00E7433D" w:rsidRPr="00916B3A" w14:paraId="00237E67"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7385F459" w14:textId="3F5F0559" w:rsidR="00E7433D" w:rsidRPr="00E7433D" w:rsidRDefault="00D54B17" w:rsidP="00E7433D">
            <w:pPr>
              <w:jc w:val="both"/>
              <w:rPr>
                <w:rFonts w:ascii="Times New Roman" w:hAnsi="Times New Roman" w:cs="Times New Roman"/>
                <w:b w:val="0"/>
                <w:color w:val="000000" w:themeColor="text1"/>
                <w:sz w:val="28"/>
                <w:szCs w:val="28"/>
              </w:rPr>
            </w:pPr>
            <w:r>
              <w:rPr>
                <w:rFonts w:ascii="Times New Roman" w:hAnsi="Times New Roman" w:cs="Times New Roman"/>
                <w:b w:val="0"/>
                <w:sz w:val="28"/>
                <w:szCs w:val="28"/>
              </w:rPr>
              <w:t xml:space="preserve">3.1.2 </w:t>
            </w:r>
            <w:r w:rsidR="00E7433D" w:rsidRPr="00E7433D">
              <w:rPr>
                <w:rFonts w:ascii="Times New Roman" w:hAnsi="Times New Roman" w:cs="Times New Roman"/>
                <w:b w:val="0"/>
                <w:color w:val="000000" w:themeColor="text1"/>
                <w:sz w:val="28"/>
                <w:szCs w:val="28"/>
              </w:rPr>
              <w:t>Мониторинг результативности экстракорпорального оплодотворения</w:t>
            </w:r>
            <w:r w:rsidR="00997125">
              <w:rPr>
                <w:rFonts w:ascii="Times New Roman" w:hAnsi="Times New Roman" w:cs="Times New Roman"/>
                <w:b w:val="0"/>
                <w:color w:val="000000" w:themeColor="text1"/>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355" w:type="pct"/>
          </w:tcPr>
          <w:p w14:paraId="78A9D62C" w14:textId="77777777" w:rsidR="00997125" w:rsidRDefault="00997125" w:rsidP="00BE5BD1">
            <w:pPr>
              <w:widowControl w:val="0"/>
              <w:jc w:val="center"/>
              <w:rPr>
                <w:rFonts w:ascii="Times New Roman" w:hAnsi="Times New Roman" w:cs="Times New Roman"/>
                <w:bCs w:val="0"/>
                <w:sz w:val="28"/>
                <w:szCs w:val="28"/>
                <w:lang w:val="kk-KZ"/>
              </w:rPr>
            </w:pPr>
          </w:p>
          <w:p w14:paraId="74FBEF98" w14:textId="3B5CF82E" w:rsidR="00E7433D" w:rsidRPr="00BC1756" w:rsidRDefault="00BC1756" w:rsidP="00BE5BD1">
            <w:pPr>
              <w:widowControl w:val="0"/>
              <w:jc w:val="center"/>
              <w:rPr>
                <w:rFonts w:ascii="Times New Roman" w:hAnsi="Times New Roman" w:cs="Times New Roman"/>
                <w:b w:val="0"/>
                <w:sz w:val="28"/>
                <w:szCs w:val="28"/>
                <w:lang w:val="kk-KZ"/>
              </w:rPr>
            </w:pPr>
            <w:r>
              <w:rPr>
                <w:rFonts w:ascii="Times New Roman" w:hAnsi="Times New Roman" w:cs="Times New Roman"/>
                <w:b w:val="0"/>
                <w:sz w:val="28"/>
                <w:szCs w:val="28"/>
                <w:lang w:val="kk-KZ"/>
              </w:rPr>
              <w:t>60</w:t>
            </w:r>
          </w:p>
        </w:tc>
      </w:tr>
      <w:tr w:rsidR="00D54B17" w:rsidRPr="00916B3A" w14:paraId="3BB62907"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4089E4EC" w14:textId="1443E660" w:rsidR="00D54B17" w:rsidRPr="00D54B17" w:rsidRDefault="00D54B17" w:rsidP="00D54B17">
            <w:pPr>
              <w:contextualSpacing/>
              <w:jc w:val="both"/>
              <w:rPr>
                <w:rFonts w:ascii="Times New Roman" w:eastAsia="Calibri" w:hAnsi="Times New Roman" w:cs="Times New Roman"/>
                <w:b w:val="0"/>
                <w:sz w:val="28"/>
                <w:szCs w:val="28"/>
              </w:rPr>
            </w:pPr>
            <w:r>
              <w:rPr>
                <w:rFonts w:ascii="Times New Roman" w:eastAsia="Calibri" w:hAnsi="Times New Roman" w:cs="Times New Roman"/>
                <w:b w:val="0"/>
                <w:sz w:val="28"/>
                <w:szCs w:val="28"/>
              </w:rPr>
              <w:t>3.1.3 Изучения толщины эндометрия в прогнозирования результатов ЭКО.</w:t>
            </w:r>
          </w:p>
        </w:tc>
        <w:tc>
          <w:tcPr>
            <w:cnfStyle w:val="000100000000" w:firstRow="0" w:lastRow="0" w:firstColumn="0" w:lastColumn="1" w:oddVBand="0" w:evenVBand="0" w:oddHBand="0" w:evenHBand="0" w:firstRowFirstColumn="0" w:firstRowLastColumn="0" w:lastRowFirstColumn="0" w:lastRowLastColumn="0"/>
            <w:tcW w:w="355" w:type="pct"/>
          </w:tcPr>
          <w:p w14:paraId="05201AF0" w14:textId="3CF5AA86" w:rsidR="00D54B17" w:rsidRPr="00BC1756" w:rsidRDefault="00D54B17" w:rsidP="00BE5BD1">
            <w:pPr>
              <w:widowControl w:val="0"/>
              <w:jc w:val="center"/>
              <w:rPr>
                <w:rFonts w:ascii="Times New Roman" w:hAnsi="Times New Roman" w:cs="Times New Roman"/>
                <w:b w:val="0"/>
                <w:sz w:val="28"/>
                <w:szCs w:val="28"/>
                <w:lang w:val="kk-KZ"/>
              </w:rPr>
            </w:pPr>
            <w:r>
              <w:rPr>
                <w:rFonts w:ascii="Times New Roman" w:hAnsi="Times New Roman" w:cs="Times New Roman"/>
                <w:b w:val="0"/>
                <w:sz w:val="28"/>
                <w:szCs w:val="28"/>
              </w:rPr>
              <w:t>6</w:t>
            </w:r>
            <w:r w:rsidR="00BC1756">
              <w:rPr>
                <w:rFonts w:ascii="Times New Roman" w:hAnsi="Times New Roman" w:cs="Times New Roman"/>
                <w:b w:val="0"/>
                <w:sz w:val="28"/>
                <w:szCs w:val="28"/>
                <w:lang w:val="kk-KZ"/>
              </w:rPr>
              <w:t>2</w:t>
            </w:r>
          </w:p>
        </w:tc>
      </w:tr>
      <w:tr w:rsidR="00540AEE" w:rsidRPr="00916B3A" w14:paraId="364BB9AA"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21DAC688" w14:textId="70EDC525" w:rsidR="00540AEE" w:rsidRPr="00916B3A" w:rsidRDefault="0072270A" w:rsidP="001F0E41">
            <w:pPr>
              <w:rPr>
                <w:rFonts w:ascii="Times New Roman" w:hAnsi="Times New Roman" w:cs="Times New Roman"/>
                <w:b w:val="0"/>
                <w:bCs w:val="0"/>
                <w:sz w:val="28"/>
                <w:szCs w:val="28"/>
              </w:rPr>
            </w:pPr>
            <w:r>
              <w:rPr>
                <w:rFonts w:ascii="Times New Roman" w:hAnsi="Times New Roman" w:cs="Times New Roman"/>
                <w:b w:val="0"/>
                <w:bCs w:val="0"/>
                <w:sz w:val="28"/>
                <w:szCs w:val="28"/>
              </w:rPr>
              <w:t>3.3</w:t>
            </w:r>
            <w:r w:rsidR="00540AEE" w:rsidRPr="00916B3A">
              <w:rPr>
                <w:rFonts w:ascii="Times New Roman" w:hAnsi="Times New Roman" w:cs="Times New Roman"/>
                <w:b w:val="0"/>
                <w:bCs w:val="0"/>
                <w:sz w:val="28"/>
                <w:szCs w:val="28"/>
              </w:rPr>
              <w:t xml:space="preserve"> </w:t>
            </w:r>
            <w:r w:rsidR="001F0E41" w:rsidRPr="00916B3A">
              <w:rPr>
                <w:rFonts w:ascii="Times New Roman" w:hAnsi="Times New Roman" w:cs="Times New Roman"/>
                <w:b w:val="0"/>
                <w:bCs w:val="0"/>
                <w:sz w:val="28"/>
                <w:szCs w:val="28"/>
              </w:rPr>
              <w:t>Показатели ультразвукового исследования и допплерометрии сосудов тонкого эндометрия</w:t>
            </w:r>
            <w:r w:rsidR="00540AEE" w:rsidRPr="00916B3A">
              <w:rPr>
                <w:rFonts w:ascii="Times New Roman" w:hAnsi="Times New Roman" w:cs="Times New Roman"/>
                <w:b w:val="0"/>
                <w:bCs w:val="0"/>
                <w:sz w:val="28"/>
                <w:szCs w:val="28"/>
              </w:rPr>
              <w:t>………………</w:t>
            </w:r>
            <w:r w:rsidR="00997125">
              <w:rPr>
                <w:rFonts w:ascii="Times New Roman" w:hAnsi="Times New Roman" w:cs="Times New Roman"/>
                <w:b w:val="0"/>
                <w:bCs w:val="0"/>
                <w:sz w:val="28"/>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61235D95" w14:textId="77777777" w:rsidR="00997125" w:rsidRDefault="00997125" w:rsidP="00BE5BD1">
            <w:pPr>
              <w:widowControl w:val="0"/>
              <w:jc w:val="center"/>
              <w:rPr>
                <w:rFonts w:ascii="Times New Roman" w:hAnsi="Times New Roman" w:cs="Times New Roman"/>
                <w:sz w:val="28"/>
                <w:szCs w:val="28"/>
              </w:rPr>
            </w:pPr>
          </w:p>
          <w:p w14:paraId="60FF1EC1" w14:textId="6CB11945" w:rsidR="00540AEE" w:rsidRPr="00BC1756" w:rsidRDefault="003B45FB" w:rsidP="00BE5BD1">
            <w:pPr>
              <w:widowControl w:val="0"/>
              <w:jc w:val="center"/>
              <w:rPr>
                <w:rFonts w:ascii="Times New Roman" w:hAnsi="Times New Roman" w:cs="Times New Roman"/>
                <w:b w:val="0"/>
                <w:bCs w:val="0"/>
                <w:sz w:val="28"/>
                <w:szCs w:val="28"/>
                <w:lang w:val="kk-KZ"/>
              </w:rPr>
            </w:pPr>
            <w:r w:rsidRPr="00916B3A">
              <w:rPr>
                <w:rFonts w:ascii="Times New Roman" w:hAnsi="Times New Roman" w:cs="Times New Roman"/>
                <w:b w:val="0"/>
                <w:bCs w:val="0"/>
                <w:sz w:val="28"/>
                <w:szCs w:val="28"/>
              </w:rPr>
              <w:t>6</w:t>
            </w:r>
            <w:r w:rsidR="00BC1756">
              <w:rPr>
                <w:rFonts w:ascii="Times New Roman" w:hAnsi="Times New Roman" w:cs="Times New Roman"/>
                <w:b w:val="0"/>
                <w:bCs w:val="0"/>
                <w:sz w:val="28"/>
                <w:szCs w:val="28"/>
                <w:lang w:val="kk-KZ"/>
              </w:rPr>
              <w:t>4</w:t>
            </w:r>
          </w:p>
        </w:tc>
      </w:tr>
      <w:tr w:rsidR="0046192A" w:rsidRPr="00916B3A" w14:paraId="3BBB2CA6"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3D5A58C3" w14:textId="22D946C3" w:rsidR="0046192A" w:rsidRPr="00916B3A" w:rsidRDefault="0018422B" w:rsidP="000B7B11">
            <w:pPr>
              <w:rPr>
                <w:rFonts w:ascii="Times New Roman" w:hAnsi="Times New Roman" w:cs="Times New Roman"/>
                <w:b w:val="0"/>
                <w:bCs w:val="0"/>
                <w:sz w:val="28"/>
                <w:szCs w:val="28"/>
              </w:rPr>
            </w:pPr>
            <w:r w:rsidRPr="00916B3A">
              <w:rPr>
                <w:rFonts w:ascii="Times New Roman" w:hAnsi="Times New Roman" w:cs="Times New Roman"/>
                <w:b w:val="0"/>
                <w:bCs w:val="0"/>
                <w:sz w:val="28"/>
                <w:szCs w:val="28"/>
              </w:rPr>
              <w:t>3.3</w:t>
            </w:r>
            <w:r w:rsidR="0046192A" w:rsidRPr="00916B3A">
              <w:rPr>
                <w:rFonts w:ascii="Times New Roman" w:hAnsi="Times New Roman" w:cs="Times New Roman"/>
                <w:b w:val="0"/>
                <w:bCs w:val="0"/>
                <w:sz w:val="28"/>
                <w:szCs w:val="28"/>
              </w:rPr>
              <w:t xml:space="preserve"> Экспрессия генов иммунного ответа при репрод</w:t>
            </w:r>
            <w:r w:rsidR="00951C76" w:rsidRPr="00916B3A">
              <w:rPr>
                <w:rFonts w:ascii="Times New Roman" w:hAnsi="Times New Roman" w:cs="Times New Roman"/>
                <w:b w:val="0"/>
                <w:bCs w:val="0"/>
                <w:sz w:val="28"/>
                <w:szCs w:val="28"/>
              </w:rPr>
              <w:t>уктивных нарушениях</w:t>
            </w:r>
            <w:r w:rsidR="00CD1F22" w:rsidRPr="00916B3A">
              <w:rPr>
                <w:rFonts w:ascii="Times New Roman" w:hAnsi="Times New Roman" w:cs="Times New Roman"/>
                <w:b w:val="0"/>
                <w:bCs w:val="0"/>
                <w:sz w:val="28"/>
                <w:szCs w:val="28"/>
              </w:rPr>
              <w:t xml:space="preserve"> </w:t>
            </w:r>
            <w:r w:rsidR="00951C76" w:rsidRPr="00916B3A">
              <w:rPr>
                <w:rFonts w:ascii="Times New Roman" w:hAnsi="Times New Roman" w:cs="Times New Roman"/>
                <w:b w:val="0"/>
                <w:bCs w:val="0"/>
                <w:sz w:val="28"/>
                <w:szCs w:val="28"/>
              </w:rPr>
              <w:t>……………………………………………………</w:t>
            </w:r>
            <w:r w:rsidR="004C4BC9" w:rsidRPr="00916B3A">
              <w:rPr>
                <w:rFonts w:ascii="Times New Roman" w:hAnsi="Times New Roman" w:cs="Times New Roman"/>
                <w:b w:val="0"/>
                <w:bCs w:val="0"/>
                <w:sz w:val="28"/>
                <w:szCs w:val="28"/>
              </w:rPr>
              <w:t>.</w:t>
            </w:r>
            <w:r w:rsidR="00951C76" w:rsidRPr="00916B3A">
              <w:rPr>
                <w:rFonts w:ascii="Times New Roman" w:hAnsi="Times New Roman" w:cs="Times New Roman"/>
                <w:b w:val="0"/>
                <w:bCs w:val="0"/>
                <w:sz w:val="28"/>
                <w:szCs w:val="28"/>
              </w:rPr>
              <w:t>……</w:t>
            </w:r>
            <w:r w:rsidR="00EF7CFE" w:rsidRPr="00916B3A">
              <w:rPr>
                <w:rFonts w:ascii="Times New Roman" w:hAnsi="Times New Roman" w:cs="Times New Roman"/>
                <w:b w:val="0"/>
                <w:bCs w:val="0"/>
                <w:sz w:val="28"/>
                <w:szCs w:val="28"/>
              </w:rPr>
              <w:t>..</w:t>
            </w:r>
            <w:r w:rsidR="00997125">
              <w:rPr>
                <w:rFonts w:ascii="Times New Roman" w:hAnsi="Times New Roman" w:cs="Times New Roman"/>
                <w:b w:val="0"/>
                <w:bCs w:val="0"/>
                <w:sz w:val="28"/>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74284D59" w14:textId="77777777" w:rsidR="00997125" w:rsidRDefault="00997125" w:rsidP="00BE5BD1">
            <w:pPr>
              <w:widowControl w:val="0"/>
              <w:jc w:val="center"/>
              <w:rPr>
                <w:rFonts w:ascii="Times New Roman" w:hAnsi="Times New Roman" w:cs="Times New Roman"/>
                <w:sz w:val="28"/>
                <w:szCs w:val="28"/>
              </w:rPr>
            </w:pPr>
          </w:p>
          <w:p w14:paraId="4E0BF4CD" w14:textId="24C9FE2A" w:rsidR="0046192A" w:rsidRPr="00BC1756" w:rsidRDefault="003B45FB" w:rsidP="00BE5BD1">
            <w:pPr>
              <w:widowControl w:val="0"/>
              <w:jc w:val="center"/>
              <w:rPr>
                <w:rFonts w:ascii="Times New Roman" w:hAnsi="Times New Roman" w:cs="Times New Roman"/>
                <w:b w:val="0"/>
                <w:bCs w:val="0"/>
                <w:sz w:val="28"/>
                <w:szCs w:val="28"/>
                <w:lang w:val="kk-KZ"/>
              </w:rPr>
            </w:pPr>
            <w:r w:rsidRPr="00916B3A">
              <w:rPr>
                <w:rFonts w:ascii="Times New Roman" w:hAnsi="Times New Roman" w:cs="Times New Roman"/>
                <w:b w:val="0"/>
                <w:bCs w:val="0"/>
                <w:sz w:val="28"/>
                <w:szCs w:val="28"/>
              </w:rPr>
              <w:t>6</w:t>
            </w:r>
            <w:r w:rsidR="00BC1756">
              <w:rPr>
                <w:rFonts w:ascii="Times New Roman" w:hAnsi="Times New Roman" w:cs="Times New Roman"/>
                <w:b w:val="0"/>
                <w:bCs w:val="0"/>
                <w:sz w:val="28"/>
                <w:szCs w:val="28"/>
                <w:lang w:val="kk-KZ"/>
              </w:rPr>
              <w:t>8</w:t>
            </w:r>
          </w:p>
        </w:tc>
      </w:tr>
      <w:tr w:rsidR="0018422B" w:rsidRPr="00916B3A" w14:paraId="7BC8D1B0"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7E115B6C" w14:textId="1335307E" w:rsidR="0018422B" w:rsidRPr="00916B3A" w:rsidRDefault="0018422B" w:rsidP="0018422B">
            <w:pPr>
              <w:rPr>
                <w:rFonts w:ascii="Times New Roman" w:hAnsi="Times New Roman" w:cs="Times New Roman"/>
                <w:b w:val="0"/>
                <w:bCs w:val="0"/>
                <w:sz w:val="28"/>
                <w:szCs w:val="28"/>
              </w:rPr>
            </w:pPr>
            <w:r w:rsidRPr="00997125">
              <w:rPr>
                <w:rFonts w:ascii="Times New Roman" w:hAnsi="Times New Roman" w:cs="Times New Roman"/>
                <w:sz w:val="28"/>
                <w:szCs w:val="28"/>
              </w:rPr>
              <w:t xml:space="preserve">4 </w:t>
            </w:r>
            <w:r w:rsidR="00EF7CFE" w:rsidRPr="00997125">
              <w:rPr>
                <w:rFonts w:ascii="Times New Roman" w:hAnsi="Times New Roman" w:cs="Times New Roman"/>
                <w:sz w:val="28"/>
                <w:szCs w:val="28"/>
              </w:rPr>
              <w:t>АЛГОРИТМ ВЕДЕНИЯ ПАЦИЕНТОК С НАРУШЕНИЯМИ РЕЦЕПТИВНОСТИ ЭНДОМЕТРИЯ</w:t>
            </w:r>
            <w:r w:rsidR="00EF7CFE" w:rsidRPr="00916B3A">
              <w:rPr>
                <w:rFonts w:ascii="Times New Roman" w:hAnsi="Times New Roman" w:cs="Times New Roman"/>
                <w:b w:val="0"/>
                <w:bCs w:val="0"/>
                <w:sz w:val="28"/>
                <w:szCs w:val="28"/>
              </w:rPr>
              <w:t xml:space="preserve"> </w:t>
            </w:r>
            <w:r w:rsidR="00896E23" w:rsidRPr="00916B3A">
              <w:rPr>
                <w:rFonts w:ascii="Times New Roman" w:hAnsi="Times New Roman" w:cs="Times New Roman"/>
                <w:b w:val="0"/>
                <w:bCs w:val="0"/>
                <w:sz w:val="28"/>
                <w:szCs w:val="28"/>
              </w:rPr>
              <w:t>………………………………</w:t>
            </w:r>
            <w:r w:rsidR="00997125">
              <w:rPr>
                <w:rFonts w:ascii="Times New Roman" w:hAnsi="Times New Roman" w:cs="Times New Roman"/>
                <w:b w:val="0"/>
                <w:bCs w:val="0"/>
                <w:sz w:val="28"/>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36840ED7" w14:textId="77777777" w:rsidR="00997125" w:rsidRDefault="00997125" w:rsidP="00BE5BD1">
            <w:pPr>
              <w:widowControl w:val="0"/>
              <w:jc w:val="center"/>
              <w:rPr>
                <w:rFonts w:ascii="Times New Roman" w:hAnsi="Times New Roman" w:cs="Times New Roman"/>
                <w:sz w:val="28"/>
                <w:szCs w:val="28"/>
                <w:lang w:val="kk-KZ"/>
              </w:rPr>
            </w:pPr>
          </w:p>
          <w:p w14:paraId="7AED46FA" w14:textId="047C7AEA" w:rsidR="0018422B" w:rsidRPr="00BC1756" w:rsidRDefault="00BC1756"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lang w:val="kk-KZ"/>
              </w:rPr>
              <w:t>77</w:t>
            </w:r>
          </w:p>
        </w:tc>
      </w:tr>
      <w:tr w:rsidR="0018422B" w:rsidRPr="00916B3A" w14:paraId="7FEB391F" w14:textId="77777777" w:rsidTr="00997125">
        <w:trPr>
          <w:trHeight w:val="898"/>
        </w:trPr>
        <w:tc>
          <w:tcPr>
            <w:cnfStyle w:val="001000000000" w:firstRow="0" w:lastRow="0" w:firstColumn="1" w:lastColumn="0" w:oddVBand="0" w:evenVBand="0" w:oddHBand="0" w:evenHBand="0" w:firstRowFirstColumn="0" w:firstRowLastColumn="0" w:lastRowFirstColumn="0" w:lastRowLastColumn="0"/>
            <w:tcW w:w="4645" w:type="pct"/>
          </w:tcPr>
          <w:p w14:paraId="0C2C4557" w14:textId="29347DF7" w:rsidR="0018422B" w:rsidRPr="00916B3A" w:rsidRDefault="00AE5878" w:rsidP="00896E23">
            <w:pPr>
              <w:pStyle w:val="aff6"/>
              <w:shd w:val="clear" w:color="auto" w:fill="FFFFFF" w:themeFill="background1"/>
              <w:spacing w:after="0"/>
              <w:ind w:left="0"/>
              <w:outlineLvl w:val="0"/>
              <w:rPr>
                <w:b w:val="0"/>
                <w:szCs w:val="28"/>
              </w:rPr>
            </w:pPr>
            <w:r w:rsidRPr="00916B3A">
              <w:rPr>
                <w:b w:val="0"/>
                <w:szCs w:val="28"/>
              </w:rPr>
              <w:t xml:space="preserve">4.1 </w:t>
            </w:r>
            <w:r w:rsidR="00CE0497" w:rsidRPr="00916B3A">
              <w:rPr>
                <w:b w:val="0"/>
                <w:szCs w:val="28"/>
              </w:rPr>
              <w:t>Совершенствование методов ведения пациенток с нарушениями рецептивности эндометрия</w:t>
            </w:r>
            <w:r w:rsidR="00CE0497" w:rsidRPr="00916B3A">
              <w:rPr>
                <w:b w:val="0"/>
                <w:szCs w:val="28"/>
                <w:lang w:val="kk-KZ"/>
              </w:rPr>
              <w:t xml:space="preserve"> путем создания </w:t>
            </w:r>
            <w:r w:rsidR="003B45FB" w:rsidRPr="00916B3A">
              <w:rPr>
                <w:b w:val="0"/>
                <w:szCs w:val="28"/>
                <w:lang w:val="kk-KZ"/>
              </w:rPr>
              <w:t>алгоритма ведения</w:t>
            </w:r>
            <w:r w:rsidR="00CE0497" w:rsidRPr="00916B3A">
              <w:rPr>
                <w:b w:val="0"/>
                <w:szCs w:val="28"/>
                <w:lang w:val="kk-KZ"/>
              </w:rPr>
              <w:t xml:space="preserve"> в прогнозировании успешности имплантаци</w:t>
            </w:r>
            <w:r w:rsidR="00896E23" w:rsidRPr="00916B3A">
              <w:rPr>
                <w:b w:val="0"/>
                <w:szCs w:val="28"/>
                <w:lang w:val="kk-KZ"/>
              </w:rPr>
              <w:t>и</w:t>
            </w:r>
            <w:r w:rsidR="00997125">
              <w:rPr>
                <w:b w:val="0"/>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6A998F62" w14:textId="77777777" w:rsidR="00997125" w:rsidRDefault="00997125" w:rsidP="00BE5BD1">
            <w:pPr>
              <w:widowControl w:val="0"/>
              <w:jc w:val="center"/>
              <w:rPr>
                <w:rFonts w:ascii="Times New Roman" w:hAnsi="Times New Roman" w:cs="Times New Roman"/>
                <w:sz w:val="28"/>
                <w:szCs w:val="28"/>
              </w:rPr>
            </w:pPr>
          </w:p>
          <w:p w14:paraId="50A0D54C" w14:textId="77777777" w:rsidR="00997125" w:rsidRDefault="00997125" w:rsidP="00BE5BD1">
            <w:pPr>
              <w:widowControl w:val="0"/>
              <w:jc w:val="center"/>
              <w:rPr>
                <w:rFonts w:ascii="Times New Roman" w:hAnsi="Times New Roman" w:cs="Times New Roman"/>
                <w:sz w:val="28"/>
                <w:szCs w:val="28"/>
              </w:rPr>
            </w:pPr>
          </w:p>
          <w:p w14:paraId="196CD9C6" w14:textId="201E9758" w:rsidR="0018422B" w:rsidRPr="00BC1756" w:rsidRDefault="0024019A"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7</w:t>
            </w:r>
            <w:r w:rsidR="00BC1756">
              <w:rPr>
                <w:rFonts w:ascii="Times New Roman" w:hAnsi="Times New Roman" w:cs="Times New Roman"/>
                <w:b w:val="0"/>
                <w:bCs w:val="0"/>
                <w:sz w:val="28"/>
                <w:szCs w:val="28"/>
                <w:lang w:val="kk-KZ"/>
              </w:rPr>
              <w:t>7</w:t>
            </w:r>
          </w:p>
        </w:tc>
      </w:tr>
      <w:tr w:rsidR="00CE0497" w:rsidRPr="00916B3A" w14:paraId="1DADCD35"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2B12A00F" w14:textId="16F54D50" w:rsidR="00CE0497" w:rsidRPr="00916B3A" w:rsidRDefault="00CE0497" w:rsidP="00CE0497">
            <w:pPr>
              <w:pStyle w:val="aff6"/>
              <w:shd w:val="clear" w:color="auto" w:fill="FFFFFF" w:themeFill="background1"/>
              <w:spacing w:after="0"/>
              <w:ind w:left="0"/>
              <w:outlineLvl w:val="0"/>
              <w:rPr>
                <w:b w:val="0"/>
                <w:szCs w:val="28"/>
              </w:rPr>
            </w:pPr>
            <w:r w:rsidRPr="00916B3A">
              <w:rPr>
                <w:b w:val="0"/>
                <w:szCs w:val="28"/>
              </w:rPr>
              <w:t>4.2 Обсуждение результатов исследования</w:t>
            </w:r>
            <w:r w:rsidR="00951C76" w:rsidRPr="00916B3A">
              <w:rPr>
                <w:b w:val="0"/>
                <w:szCs w:val="28"/>
              </w:rPr>
              <w:t>…………………………</w:t>
            </w:r>
            <w:r w:rsidR="00997125">
              <w:rPr>
                <w:b w:val="0"/>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0493303A" w14:textId="6B63D8BA" w:rsidR="00CE0497" w:rsidRPr="00BC1756" w:rsidRDefault="0024019A"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8</w:t>
            </w:r>
            <w:r w:rsidR="00BC1756">
              <w:rPr>
                <w:rFonts w:ascii="Times New Roman" w:hAnsi="Times New Roman" w:cs="Times New Roman"/>
                <w:b w:val="0"/>
                <w:bCs w:val="0"/>
                <w:sz w:val="28"/>
                <w:szCs w:val="28"/>
                <w:lang w:val="kk-KZ"/>
              </w:rPr>
              <w:t>1</w:t>
            </w:r>
          </w:p>
        </w:tc>
      </w:tr>
      <w:tr w:rsidR="003B45FB" w:rsidRPr="00916B3A" w14:paraId="6F9A54E0"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342EA7A0" w14:textId="0D8A889A" w:rsidR="003B45FB" w:rsidRPr="00916B3A" w:rsidRDefault="00896E23" w:rsidP="00CE0497">
            <w:pPr>
              <w:pStyle w:val="aff6"/>
              <w:shd w:val="clear" w:color="auto" w:fill="FFFFFF" w:themeFill="background1"/>
              <w:spacing w:after="0"/>
              <w:ind w:left="0"/>
              <w:outlineLvl w:val="0"/>
              <w:rPr>
                <w:b w:val="0"/>
                <w:bCs w:val="0"/>
                <w:szCs w:val="28"/>
              </w:rPr>
            </w:pPr>
            <w:r w:rsidRPr="00997125">
              <w:rPr>
                <w:szCs w:val="28"/>
              </w:rPr>
              <w:t>ЗАКЛЮЧЕНИЕ</w:t>
            </w:r>
            <w:r w:rsidR="004C4BC9" w:rsidRPr="00916B3A">
              <w:rPr>
                <w:b w:val="0"/>
                <w:bCs w:val="0"/>
                <w:szCs w:val="28"/>
              </w:rPr>
              <w:t>……………………………………………………….</w:t>
            </w:r>
            <w:r w:rsidR="00997125">
              <w:rPr>
                <w:b w:val="0"/>
                <w:bCs w:val="0"/>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7CE17033" w14:textId="39EE9932" w:rsidR="003B45FB" w:rsidRPr="00BC1756" w:rsidRDefault="00705F82" w:rsidP="00BE5BD1">
            <w:pPr>
              <w:widowControl w:val="0"/>
              <w:jc w:val="center"/>
              <w:rPr>
                <w:rFonts w:ascii="Times New Roman" w:hAnsi="Times New Roman" w:cs="Times New Roman"/>
                <w:b w:val="0"/>
                <w:bCs w:val="0"/>
                <w:sz w:val="28"/>
                <w:szCs w:val="28"/>
                <w:lang w:val="kk-KZ"/>
              </w:rPr>
            </w:pPr>
            <w:r w:rsidRPr="00916B3A">
              <w:rPr>
                <w:rFonts w:ascii="Times New Roman" w:hAnsi="Times New Roman" w:cs="Times New Roman"/>
                <w:b w:val="0"/>
                <w:bCs w:val="0"/>
                <w:sz w:val="28"/>
                <w:szCs w:val="28"/>
              </w:rPr>
              <w:t>8</w:t>
            </w:r>
            <w:r w:rsidR="00BC1756">
              <w:rPr>
                <w:rFonts w:ascii="Times New Roman" w:hAnsi="Times New Roman" w:cs="Times New Roman"/>
                <w:b w:val="0"/>
                <w:bCs w:val="0"/>
                <w:sz w:val="28"/>
                <w:szCs w:val="28"/>
                <w:lang w:val="kk-KZ"/>
              </w:rPr>
              <w:t>7</w:t>
            </w:r>
          </w:p>
        </w:tc>
      </w:tr>
      <w:tr w:rsidR="0018422B" w:rsidRPr="00916B3A" w14:paraId="18DB9352"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2E747F18" w14:textId="5AE2CFC8" w:rsidR="0018422B" w:rsidRPr="00916B3A" w:rsidRDefault="0018422B" w:rsidP="0018422B">
            <w:pPr>
              <w:widowControl w:val="0"/>
              <w:rPr>
                <w:rFonts w:ascii="Times New Roman" w:hAnsi="Times New Roman" w:cs="Times New Roman"/>
                <w:b w:val="0"/>
                <w:bCs w:val="0"/>
                <w:sz w:val="28"/>
                <w:szCs w:val="28"/>
              </w:rPr>
            </w:pPr>
            <w:r w:rsidRPr="00997125">
              <w:rPr>
                <w:rFonts w:ascii="Times New Roman" w:hAnsi="Times New Roman" w:cs="Times New Roman"/>
                <w:sz w:val="28"/>
                <w:szCs w:val="28"/>
              </w:rPr>
              <w:t>СПИСОК ИСПОЛЬЗОВАННЫХ ИСТОЧНИКОВ</w:t>
            </w:r>
            <w:r w:rsidR="004C4BC9" w:rsidRPr="00916B3A">
              <w:rPr>
                <w:rFonts w:ascii="Times New Roman" w:hAnsi="Times New Roman" w:cs="Times New Roman"/>
                <w:b w:val="0"/>
                <w:bCs w:val="0"/>
                <w:sz w:val="28"/>
                <w:szCs w:val="28"/>
              </w:rPr>
              <w:t>…………………</w:t>
            </w:r>
            <w:r w:rsidR="00997125">
              <w:rPr>
                <w:rFonts w:ascii="Times New Roman" w:hAnsi="Times New Roman" w:cs="Times New Roman"/>
                <w:b w:val="0"/>
                <w:bCs w:val="0"/>
                <w:sz w:val="28"/>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463C7830" w14:textId="21B0BB42" w:rsidR="0018422B" w:rsidRPr="00BC1756" w:rsidRDefault="0024019A"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9</w:t>
            </w:r>
            <w:r w:rsidR="00BC1756">
              <w:rPr>
                <w:rFonts w:ascii="Times New Roman" w:hAnsi="Times New Roman" w:cs="Times New Roman"/>
                <w:b w:val="0"/>
                <w:bCs w:val="0"/>
                <w:sz w:val="28"/>
                <w:szCs w:val="28"/>
                <w:lang w:val="kk-KZ"/>
              </w:rPr>
              <w:t>3</w:t>
            </w:r>
          </w:p>
        </w:tc>
      </w:tr>
      <w:tr w:rsidR="0018422B" w:rsidRPr="00916B3A" w14:paraId="130D28CD"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3AAF6803" w14:textId="07D8FC86" w:rsidR="0018422B" w:rsidRPr="00916B3A" w:rsidRDefault="0018422B" w:rsidP="0018422B">
            <w:pPr>
              <w:rPr>
                <w:rFonts w:ascii="Times New Roman" w:hAnsi="Times New Roman" w:cs="Times New Roman"/>
                <w:b w:val="0"/>
                <w:bCs w:val="0"/>
                <w:sz w:val="28"/>
                <w:szCs w:val="28"/>
              </w:rPr>
            </w:pPr>
            <w:r w:rsidRPr="00997125">
              <w:rPr>
                <w:rFonts w:ascii="Times New Roman" w:hAnsi="Times New Roman" w:cs="Times New Roman"/>
                <w:sz w:val="28"/>
                <w:szCs w:val="28"/>
              </w:rPr>
              <w:t>ПРИЛОЖЕНИЕ А</w:t>
            </w:r>
            <w:r w:rsidRPr="00916B3A">
              <w:rPr>
                <w:rFonts w:ascii="Times New Roman" w:hAnsi="Times New Roman" w:cs="Times New Roman"/>
                <w:b w:val="0"/>
                <w:bCs w:val="0"/>
                <w:sz w:val="28"/>
                <w:szCs w:val="28"/>
              </w:rPr>
              <w:t xml:space="preserve"> –</w:t>
            </w:r>
            <w:r w:rsidR="00896E23" w:rsidRPr="00916B3A">
              <w:rPr>
                <w:rFonts w:ascii="Times New Roman" w:hAnsi="Times New Roman" w:cs="Times New Roman"/>
                <w:b w:val="0"/>
                <w:bCs w:val="0"/>
                <w:sz w:val="28"/>
                <w:szCs w:val="28"/>
              </w:rPr>
              <w:t xml:space="preserve"> </w:t>
            </w:r>
            <w:r w:rsidRPr="00916B3A">
              <w:rPr>
                <w:rFonts w:ascii="Times New Roman" w:hAnsi="Times New Roman" w:cs="Times New Roman"/>
                <w:b w:val="0"/>
                <w:bCs w:val="0"/>
                <w:sz w:val="28"/>
                <w:szCs w:val="28"/>
              </w:rPr>
              <w:t xml:space="preserve">Информированное согласие для пациентов </w:t>
            </w:r>
            <w:r w:rsidR="00951C76" w:rsidRPr="00916B3A">
              <w:rPr>
                <w:rFonts w:ascii="Times New Roman" w:hAnsi="Times New Roman" w:cs="Times New Roman"/>
                <w:b w:val="0"/>
                <w:bCs w:val="0"/>
                <w:sz w:val="28"/>
                <w:szCs w:val="28"/>
                <w:lang w:val="kk-KZ"/>
              </w:rPr>
              <w:t>...</w:t>
            </w:r>
            <w:r w:rsidR="00997125">
              <w:rPr>
                <w:rFonts w:ascii="Times New Roman" w:hAnsi="Times New Roman" w:cs="Times New Roman"/>
                <w:b w:val="0"/>
                <w:bCs w:val="0"/>
                <w:sz w:val="28"/>
                <w:szCs w:val="28"/>
                <w:lang w:val="kk-KZ"/>
              </w:rPr>
              <w:t>..........</w:t>
            </w:r>
          </w:p>
        </w:tc>
        <w:tc>
          <w:tcPr>
            <w:cnfStyle w:val="000100000000" w:firstRow="0" w:lastRow="0" w:firstColumn="0" w:lastColumn="1" w:oddVBand="0" w:evenVBand="0" w:oddHBand="0" w:evenHBand="0" w:firstRowFirstColumn="0" w:firstRowLastColumn="0" w:lastRowFirstColumn="0" w:lastRowLastColumn="0"/>
            <w:tcW w:w="355" w:type="pct"/>
          </w:tcPr>
          <w:p w14:paraId="76360FE8" w14:textId="419FCA04" w:rsidR="0018422B" w:rsidRPr="00BC1756" w:rsidRDefault="00CC3EDF"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10</w:t>
            </w:r>
            <w:r w:rsidR="00BC1756">
              <w:rPr>
                <w:rFonts w:ascii="Times New Roman" w:hAnsi="Times New Roman" w:cs="Times New Roman"/>
                <w:b w:val="0"/>
                <w:bCs w:val="0"/>
                <w:sz w:val="28"/>
                <w:szCs w:val="28"/>
                <w:lang w:val="kk-KZ"/>
              </w:rPr>
              <w:t>4</w:t>
            </w:r>
          </w:p>
        </w:tc>
      </w:tr>
      <w:tr w:rsidR="0018422B" w:rsidRPr="00916B3A" w14:paraId="7BD53351" w14:textId="77777777" w:rsidTr="00997125">
        <w:tc>
          <w:tcPr>
            <w:cnfStyle w:val="001000000000" w:firstRow="0" w:lastRow="0" w:firstColumn="1" w:lastColumn="0" w:oddVBand="0" w:evenVBand="0" w:oddHBand="0" w:evenHBand="0" w:firstRowFirstColumn="0" w:firstRowLastColumn="0" w:lastRowFirstColumn="0" w:lastRowLastColumn="0"/>
            <w:tcW w:w="4645" w:type="pct"/>
          </w:tcPr>
          <w:p w14:paraId="7AE2FB23" w14:textId="641DCDF3" w:rsidR="0018422B" w:rsidRPr="00916B3A" w:rsidRDefault="0018422B" w:rsidP="0018422B">
            <w:pPr>
              <w:rPr>
                <w:rFonts w:ascii="Times New Roman" w:hAnsi="Times New Roman" w:cs="Times New Roman"/>
                <w:b w:val="0"/>
                <w:bCs w:val="0"/>
                <w:sz w:val="28"/>
                <w:szCs w:val="28"/>
              </w:rPr>
            </w:pPr>
            <w:r w:rsidRPr="00997125">
              <w:rPr>
                <w:rFonts w:ascii="Times New Roman" w:hAnsi="Times New Roman" w:cs="Times New Roman"/>
                <w:sz w:val="28"/>
                <w:szCs w:val="28"/>
              </w:rPr>
              <w:t>ПРИЛОЖЕНИЕ Б</w:t>
            </w:r>
            <w:r w:rsidRPr="00916B3A">
              <w:rPr>
                <w:rFonts w:ascii="Times New Roman" w:hAnsi="Times New Roman" w:cs="Times New Roman"/>
                <w:b w:val="0"/>
                <w:bCs w:val="0"/>
                <w:sz w:val="28"/>
                <w:szCs w:val="28"/>
              </w:rPr>
              <w:t xml:space="preserve"> – Акты внедрения …………………………</w:t>
            </w:r>
            <w:r w:rsidR="004C4BC9" w:rsidRPr="00916B3A">
              <w:rPr>
                <w:rFonts w:ascii="Times New Roman" w:hAnsi="Times New Roman" w:cs="Times New Roman"/>
                <w:b w:val="0"/>
                <w:bCs w:val="0"/>
                <w:sz w:val="28"/>
                <w:szCs w:val="28"/>
              </w:rPr>
              <w:t>…….</w:t>
            </w:r>
            <w:r w:rsidR="00997125">
              <w:rPr>
                <w:rFonts w:ascii="Times New Roman" w:hAnsi="Times New Roman" w:cs="Times New Roman"/>
                <w:b w:val="0"/>
                <w:bCs w:val="0"/>
                <w:sz w:val="28"/>
                <w:szCs w:val="28"/>
              </w:rPr>
              <w:t>.........</w:t>
            </w:r>
          </w:p>
        </w:tc>
        <w:tc>
          <w:tcPr>
            <w:cnfStyle w:val="000100000000" w:firstRow="0" w:lastRow="0" w:firstColumn="0" w:lastColumn="1" w:oddVBand="0" w:evenVBand="0" w:oddHBand="0" w:evenHBand="0" w:firstRowFirstColumn="0" w:firstRowLastColumn="0" w:lastRowFirstColumn="0" w:lastRowLastColumn="0"/>
            <w:tcW w:w="355" w:type="pct"/>
          </w:tcPr>
          <w:p w14:paraId="70C97688" w14:textId="23EC212D" w:rsidR="0018422B" w:rsidRPr="00BC1756" w:rsidRDefault="00CC3EDF"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10</w:t>
            </w:r>
            <w:r w:rsidR="00BC1756">
              <w:rPr>
                <w:rFonts w:ascii="Times New Roman" w:hAnsi="Times New Roman" w:cs="Times New Roman"/>
                <w:b w:val="0"/>
                <w:bCs w:val="0"/>
                <w:sz w:val="28"/>
                <w:szCs w:val="28"/>
                <w:lang w:val="kk-KZ"/>
              </w:rPr>
              <w:t>6</w:t>
            </w:r>
          </w:p>
        </w:tc>
      </w:tr>
      <w:tr w:rsidR="0018422B" w:rsidRPr="00916B3A" w14:paraId="591CFF6C" w14:textId="77777777" w:rsidTr="0099712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5" w:type="pct"/>
            <w:tcBorders>
              <w:top w:val="none" w:sz="0" w:space="0" w:color="auto"/>
            </w:tcBorders>
          </w:tcPr>
          <w:p w14:paraId="1A0DC2A3" w14:textId="082B996D" w:rsidR="0018422B" w:rsidRPr="00916B3A" w:rsidRDefault="0018422B" w:rsidP="0018422B">
            <w:pPr>
              <w:rPr>
                <w:rFonts w:ascii="Times New Roman" w:hAnsi="Times New Roman" w:cs="Times New Roman"/>
                <w:b w:val="0"/>
                <w:bCs w:val="0"/>
                <w:sz w:val="28"/>
                <w:szCs w:val="28"/>
              </w:rPr>
            </w:pPr>
            <w:r w:rsidRPr="00997125">
              <w:rPr>
                <w:rFonts w:ascii="Times New Roman" w:hAnsi="Times New Roman" w:cs="Times New Roman"/>
                <w:sz w:val="28"/>
                <w:szCs w:val="28"/>
              </w:rPr>
              <w:t>ПРИЛОЖЕНИЕ В</w:t>
            </w:r>
            <w:r w:rsidRPr="00916B3A">
              <w:rPr>
                <w:rFonts w:ascii="Times New Roman" w:hAnsi="Times New Roman" w:cs="Times New Roman"/>
                <w:b w:val="0"/>
                <w:bCs w:val="0"/>
                <w:sz w:val="28"/>
                <w:szCs w:val="28"/>
              </w:rPr>
              <w:t xml:space="preserve"> – </w:t>
            </w:r>
            <w:r w:rsidR="004C4BC9" w:rsidRPr="00916B3A">
              <w:rPr>
                <w:rFonts w:ascii="Times New Roman" w:hAnsi="Times New Roman" w:cs="Times New Roman"/>
                <w:b w:val="0"/>
                <w:sz w:val="28"/>
                <w:szCs w:val="28"/>
              </w:rPr>
              <w:t>Свидетельство на авторское право…………...</w:t>
            </w:r>
            <w:r w:rsidR="00997125">
              <w:rPr>
                <w:rFonts w:ascii="Times New Roman" w:hAnsi="Times New Roman" w:cs="Times New Roman"/>
                <w:b w:val="0"/>
                <w:bCs w:val="0"/>
                <w:sz w:val="28"/>
                <w:szCs w:val="28"/>
              </w:rPr>
              <w:t>.........</w:t>
            </w:r>
          </w:p>
        </w:tc>
        <w:tc>
          <w:tcPr>
            <w:cnfStyle w:val="000100000000" w:firstRow="0" w:lastRow="0" w:firstColumn="0" w:lastColumn="1" w:oddVBand="0" w:evenVBand="0" w:oddHBand="0" w:evenHBand="0" w:firstRowFirstColumn="0" w:firstRowLastColumn="0" w:lastRowFirstColumn="0" w:lastRowLastColumn="0"/>
            <w:tcW w:w="355" w:type="pct"/>
            <w:tcBorders>
              <w:top w:val="none" w:sz="0" w:space="0" w:color="auto"/>
            </w:tcBorders>
          </w:tcPr>
          <w:p w14:paraId="1CF0B358" w14:textId="1DB94AC7" w:rsidR="0018422B" w:rsidRPr="00BC1756" w:rsidRDefault="00031C19" w:rsidP="00BE5BD1">
            <w:pPr>
              <w:widowControl w:val="0"/>
              <w:jc w:val="center"/>
              <w:rPr>
                <w:rFonts w:ascii="Times New Roman" w:hAnsi="Times New Roman" w:cs="Times New Roman"/>
                <w:b w:val="0"/>
                <w:bCs w:val="0"/>
                <w:sz w:val="28"/>
                <w:szCs w:val="28"/>
                <w:lang w:val="kk-KZ"/>
              </w:rPr>
            </w:pPr>
            <w:r>
              <w:rPr>
                <w:rFonts w:ascii="Times New Roman" w:hAnsi="Times New Roman" w:cs="Times New Roman"/>
                <w:b w:val="0"/>
                <w:bCs w:val="0"/>
                <w:sz w:val="28"/>
                <w:szCs w:val="28"/>
              </w:rPr>
              <w:t>1</w:t>
            </w:r>
            <w:r w:rsidR="00BC1756">
              <w:rPr>
                <w:rFonts w:ascii="Times New Roman" w:hAnsi="Times New Roman" w:cs="Times New Roman"/>
                <w:b w:val="0"/>
                <w:bCs w:val="0"/>
                <w:sz w:val="28"/>
                <w:szCs w:val="28"/>
                <w:lang w:val="kk-KZ"/>
              </w:rPr>
              <w:t>10</w:t>
            </w:r>
          </w:p>
        </w:tc>
      </w:tr>
    </w:tbl>
    <w:p w14:paraId="0149901A" w14:textId="42CA77D0" w:rsidR="002A2E38" w:rsidRPr="00916B3A" w:rsidRDefault="00B52A34" w:rsidP="00982BAB">
      <w:pPr>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en-US"/>
        </w:rPr>
        <w:t xml:space="preserve"> </w:t>
      </w:r>
    </w:p>
    <w:p w14:paraId="2299B596" w14:textId="68539D06" w:rsidR="00F175C1" w:rsidRDefault="00F175C1" w:rsidP="00982BAB">
      <w:pPr>
        <w:spacing w:after="0" w:line="240" w:lineRule="auto"/>
        <w:rPr>
          <w:rFonts w:ascii="Times New Roman" w:hAnsi="Times New Roman" w:cs="Times New Roman"/>
          <w:b/>
          <w:bCs/>
          <w:sz w:val="28"/>
          <w:szCs w:val="28"/>
        </w:rPr>
      </w:pPr>
    </w:p>
    <w:p w14:paraId="6ABBCE1D" w14:textId="77777777" w:rsidR="00997125" w:rsidRDefault="00997125" w:rsidP="00982BAB">
      <w:pPr>
        <w:spacing w:after="0" w:line="240" w:lineRule="auto"/>
        <w:rPr>
          <w:rFonts w:ascii="Times New Roman" w:hAnsi="Times New Roman" w:cs="Times New Roman"/>
          <w:b/>
          <w:bCs/>
          <w:sz w:val="28"/>
          <w:szCs w:val="28"/>
        </w:rPr>
      </w:pPr>
    </w:p>
    <w:p w14:paraId="3565908E" w14:textId="14677A15" w:rsidR="00997125" w:rsidRDefault="00997125" w:rsidP="00982BAB">
      <w:pPr>
        <w:spacing w:after="0" w:line="240" w:lineRule="auto"/>
        <w:rPr>
          <w:rFonts w:ascii="Times New Roman" w:hAnsi="Times New Roman" w:cs="Times New Roman"/>
          <w:b/>
          <w:bCs/>
          <w:sz w:val="28"/>
          <w:szCs w:val="28"/>
        </w:rPr>
      </w:pPr>
    </w:p>
    <w:p w14:paraId="60C3355E" w14:textId="77777777" w:rsidR="00997125" w:rsidRDefault="00997125" w:rsidP="00982BAB">
      <w:pPr>
        <w:spacing w:after="0" w:line="240" w:lineRule="auto"/>
        <w:rPr>
          <w:rFonts w:ascii="Times New Roman" w:hAnsi="Times New Roman" w:cs="Times New Roman"/>
          <w:b/>
          <w:bCs/>
          <w:sz w:val="28"/>
          <w:szCs w:val="28"/>
        </w:rPr>
      </w:pPr>
    </w:p>
    <w:p w14:paraId="2AC2DDBB" w14:textId="77777777" w:rsidR="003C17B8" w:rsidRDefault="003C17B8" w:rsidP="00D120CD">
      <w:pPr>
        <w:spacing w:after="0" w:line="240" w:lineRule="auto"/>
        <w:jc w:val="center"/>
        <w:rPr>
          <w:rFonts w:ascii="Times New Roman" w:hAnsi="Times New Roman" w:cs="Times New Roman"/>
          <w:b/>
          <w:bCs/>
          <w:sz w:val="28"/>
          <w:szCs w:val="28"/>
        </w:rPr>
      </w:pPr>
    </w:p>
    <w:p w14:paraId="163521E0" w14:textId="08E7415A" w:rsidR="000C4CB2" w:rsidRPr="00916B3A" w:rsidRDefault="000C4CB2" w:rsidP="00D120CD">
      <w:pPr>
        <w:spacing w:after="0" w:line="240" w:lineRule="auto"/>
        <w:jc w:val="center"/>
        <w:rPr>
          <w:rFonts w:ascii="Times New Roman" w:hAnsi="Times New Roman" w:cs="Times New Roman"/>
          <w:b/>
          <w:bCs/>
          <w:sz w:val="28"/>
          <w:szCs w:val="28"/>
        </w:rPr>
      </w:pPr>
      <w:r w:rsidRPr="00916B3A">
        <w:rPr>
          <w:rFonts w:ascii="Times New Roman" w:hAnsi="Times New Roman" w:cs="Times New Roman"/>
          <w:b/>
          <w:bCs/>
          <w:sz w:val="28"/>
          <w:szCs w:val="28"/>
        </w:rPr>
        <w:t>НОРМАТИВНЫЕ ССЫЛКИ</w:t>
      </w:r>
    </w:p>
    <w:p w14:paraId="0F614DFE" w14:textId="77777777" w:rsidR="000C4CB2" w:rsidRPr="00916B3A" w:rsidRDefault="000C4CB2" w:rsidP="000B7B11">
      <w:pPr>
        <w:pStyle w:val="afa"/>
        <w:ind w:firstLine="709"/>
        <w:jc w:val="both"/>
        <w:rPr>
          <w:rFonts w:ascii="Times New Roman" w:hAnsi="Times New Roman" w:cs="Times New Roman"/>
          <w:bCs/>
          <w:sz w:val="28"/>
          <w:szCs w:val="28"/>
        </w:rPr>
      </w:pPr>
    </w:p>
    <w:p w14:paraId="22F9C4EB" w14:textId="75E807D2" w:rsidR="000C4CB2" w:rsidRPr="00916B3A" w:rsidRDefault="000C4CB2" w:rsidP="00123F5B">
      <w:pPr>
        <w:pStyle w:val="afa"/>
        <w:ind w:firstLine="426"/>
        <w:jc w:val="both"/>
        <w:rPr>
          <w:rFonts w:ascii="Times New Roman" w:hAnsi="Times New Roman" w:cs="Times New Roman"/>
          <w:bCs/>
          <w:sz w:val="28"/>
          <w:szCs w:val="28"/>
        </w:rPr>
      </w:pPr>
      <w:r w:rsidRPr="00916B3A">
        <w:rPr>
          <w:rFonts w:ascii="Times New Roman" w:hAnsi="Times New Roman" w:cs="Times New Roman"/>
          <w:bCs/>
          <w:sz w:val="28"/>
          <w:szCs w:val="28"/>
        </w:rPr>
        <w:t xml:space="preserve">В настоящей диссертации использованы ссылки на следующие </w:t>
      </w:r>
      <w:r w:rsidR="00F175C1" w:rsidRPr="00916B3A">
        <w:rPr>
          <w:rFonts w:ascii="Times New Roman" w:hAnsi="Times New Roman" w:cs="Times New Roman"/>
          <w:bCs/>
          <w:sz w:val="28"/>
          <w:szCs w:val="28"/>
        </w:rPr>
        <w:t>документы</w:t>
      </w:r>
      <w:r w:rsidRPr="00916B3A">
        <w:rPr>
          <w:rFonts w:ascii="Times New Roman" w:hAnsi="Times New Roman" w:cs="Times New Roman"/>
          <w:bCs/>
          <w:sz w:val="28"/>
          <w:szCs w:val="28"/>
        </w:rPr>
        <w:t>:</w:t>
      </w:r>
    </w:p>
    <w:p w14:paraId="63043553" w14:textId="77777777" w:rsidR="000C4CB2" w:rsidRPr="00916B3A" w:rsidRDefault="000C4CB2" w:rsidP="00123F5B">
      <w:pPr>
        <w:pStyle w:val="afa"/>
        <w:ind w:firstLine="426"/>
        <w:jc w:val="both"/>
        <w:rPr>
          <w:rFonts w:ascii="Times New Roman" w:hAnsi="Times New Roman" w:cs="Times New Roman"/>
          <w:sz w:val="28"/>
          <w:szCs w:val="28"/>
        </w:rPr>
      </w:pPr>
      <w:r w:rsidRPr="00916B3A">
        <w:rPr>
          <w:rFonts w:ascii="Times New Roman" w:hAnsi="Times New Roman" w:cs="Times New Roman"/>
          <w:sz w:val="28"/>
          <w:szCs w:val="28"/>
        </w:rPr>
        <w:t>Постановление Правительства Республики Казахстан. Об утверждении национального проекта «Качественное и доступное здравоохранение для каждого гражданина «Здоровая Нация»: утв. 12 октября 2021 года, №725.</w:t>
      </w:r>
    </w:p>
    <w:p w14:paraId="3D1073D8" w14:textId="39EFAE83" w:rsidR="00CA7051" w:rsidRPr="00916B3A" w:rsidRDefault="00CA7051" w:rsidP="00CA7051">
      <w:pPr>
        <w:pStyle w:val="afa"/>
        <w:ind w:firstLine="426"/>
        <w:jc w:val="both"/>
        <w:rPr>
          <w:rFonts w:ascii="Times New Roman" w:hAnsi="Times New Roman" w:cs="Times New Roman"/>
          <w:sz w:val="28"/>
          <w:szCs w:val="28"/>
        </w:rPr>
      </w:pPr>
      <w:r w:rsidRPr="00916B3A">
        <w:rPr>
          <w:rFonts w:ascii="Times New Roman" w:hAnsi="Times New Roman" w:cs="Times New Roman"/>
          <w:sz w:val="28"/>
          <w:szCs w:val="28"/>
        </w:rPr>
        <w:t>Кодекс Республики Казахстан «О здоровье народа и системе здравоохранения» № 360-VI ЗРК от 07 июля 2020 года.</w:t>
      </w:r>
    </w:p>
    <w:p w14:paraId="73A45AAA" w14:textId="77777777" w:rsidR="000C4CB2" w:rsidRPr="00916B3A" w:rsidRDefault="000C4CB2" w:rsidP="00123F5B">
      <w:pPr>
        <w:pStyle w:val="afa"/>
        <w:ind w:firstLine="426"/>
        <w:jc w:val="both"/>
        <w:rPr>
          <w:rFonts w:ascii="Times New Roman" w:hAnsi="Times New Roman" w:cs="Times New Roman"/>
          <w:bCs/>
          <w:sz w:val="28"/>
          <w:szCs w:val="28"/>
          <w:lang w:val="kk-KZ"/>
        </w:rPr>
      </w:pPr>
      <w:r w:rsidRPr="00916B3A">
        <w:rPr>
          <w:rFonts w:ascii="Times New Roman" w:hAnsi="Times New Roman" w:cs="Times New Roman"/>
          <w:bCs/>
          <w:sz w:val="28"/>
          <w:szCs w:val="28"/>
          <w:lang w:val="kk-KZ"/>
        </w:rPr>
        <w:t>Постановление Правительства Республики Казахстан. Об утверждении перечня гарантированного объема бесп</w:t>
      </w:r>
      <w:r w:rsidRPr="00916B3A">
        <w:rPr>
          <w:rFonts w:ascii="Times New Roman" w:hAnsi="Times New Roman" w:cs="Times New Roman"/>
          <w:bCs/>
          <w:sz w:val="28"/>
          <w:szCs w:val="28"/>
        </w:rPr>
        <w:t>л</w:t>
      </w:r>
      <w:r w:rsidRPr="00916B3A">
        <w:rPr>
          <w:rFonts w:ascii="Times New Roman" w:hAnsi="Times New Roman" w:cs="Times New Roman"/>
          <w:bCs/>
          <w:sz w:val="28"/>
          <w:szCs w:val="28"/>
          <w:lang w:val="kk-KZ"/>
        </w:rPr>
        <w:t>атной медицинской помощи: утв. 16 октября 2020 года, №672.</w:t>
      </w:r>
    </w:p>
    <w:p w14:paraId="03372F90" w14:textId="77777777" w:rsidR="000C4CB2" w:rsidRPr="00916B3A" w:rsidRDefault="000C4CB2" w:rsidP="00123F5B">
      <w:pPr>
        <w:pStyle w:val="afa"/>
        <w:ind w:firstLine="426"/>
        <w:jc w:val="both"/>
        <w:rPr>
          <w:rFonts w:ascii="Times New Roman" w:hAnsi="Times New Roman" w:cs="Times New Roman"/>
          <w:bCs/>
          <w:sz w:val="28"/>
          <w:szCs w:val="28"/>
        </w:rPr>
      </w:pPr>
      <w:r w:rsidRPr="00916B3A">
        <w:rPr>
          <w:rFonts w:ascii="Times New Roman" w:hAnsi="Times New Roman" w:cs="Times New Roman"/>
          <w:bCs/>
          <w:sz w:val="28"/>
          <w:szCs w:val="28"/>
        </w:rPr>
        <w:t>Приказ Министра здравоохранения Республики Казахстан. Об утверждении Правил оказания первичной медико-санитарной помощи: утв. 24 августа 2021 года, №ҚР ДСМ-90 (зарегистрирован в Министерстве юстиции Республики Казахстан 24 августа 2021 года, №24094).</w:t>
      </w:r>
      <w:r w:rsidRPr="00916B3A">
        <w:rPr>
          <w:rFonts w:ascii="Times New Roman" w:hAnsi="Times New Roman" w:cs="Times New Roman"/>
          <w:bCs/>
          <w:sz w:val="28"/>
          <w:szCs w:val="28"/>
          <w:lang w:val="kk-KZ"/>
        </w:rPr>
        <w:t xml:space="preserve"> </w:t>
      </w:r>
    </w:p>
    <w:p w14:paraId="797118F2" w14:textId="77777777" w:rsidR="000C4CB2" w:rsidRPr="00916B3A" w:rsidRDefault="000C4CB2" w:rsidP="00123F5B">
      <w:pPr>
        <w:pStyle w:val="afa"/>
        <w:ind w:firstLine="426"/>
        <w:jc w:val="both"/>
        <w:rPr>
          <w:rFonts w:ascii="Times New Roman" w:hAnsi="Times New Roman" w:cs="Times New Roman"/>
          <w:bCs/>
          <w:sz w:val="28"/>
          <w:szCs w:val="28"/>
        </w:rPr>
      </w:pPr>
      <w:r w:rsidRPr="00916B3A">
        <w:rPr>
          <w:rFonts w:ascii="Times New Roman" w:hAnsi="Times New Roman" w:cs="Times New Roman"/>
          <w:bCs/>
          <w:sz w:val="28"/>
          <w:szCs w:val="28"/>
        </w:rPr>
        <w:t>Приказ Министерства Здравоохранения Республики Казахстан. Об утверждении правил прикрепления физических лиц к организациям здравоохранения, оказывающим первичную медико-санитарную помощь: утв. 13 ноября 2020 года, №</w:t>
      </w:r>
      <w:r w:rsidRPr="00916B3A">
        <w:rPr>
          <w:rFonts w:ascii="Times New Roman" w:hAnsi="Times New Roman" w:cs="Times New Roman"/>
          <w:bCs/>
          <w:sz w:val="28"/>
          <w:szCs w:val="28"/>
          <w:lang w:val="kk-KZ"/>
        </w:rPr>
        <w:t>ҚР ДСМ-194/2020.</w:t>
      </w:r>
    </w:p>
    <w:p w14:paraId="5FD9833C" w14:textId="77777777" w:rsidR="00123F5B" w:rsidRPr="00916B3A" w:rsidRDefault="000C4CB2" w:rsidP="00123F5B">
      <w:pPr>
        <w:pStyle w:val="afa"/>
        <w:ind w:firstLine="426"/>
        <w:jc w:val="both"/>
        <w:rPr>
          <w:rFonts w:ascii="Times New Roman" w:hAnsi="Times New Roman" w:cs="Times New Roman"/>
          <w:sz w:val="28"/>
          <w:szCs w:val="28"/>
        </w:rPr>
      </w:pPr>
      <w:r w:rsidRPr="00916B3A">
        <w:rPr>
          <w:rFonts w:ascii="Times New Roman" w:hAnsi="Times New Roman" w:cs="Times New Roman"/>
          <w:sz w:val="28"/>
          <w:szCs w:val="28"/>
        </w:rPr>
        <w:t xml:space="preserve">Приказ Министра здравоохранения Республики Казахстан «Об утверждении правил и условий проведения вспомогательных репродуктивных методов и технологий» от 15 декабря 2020 года № ҚР ДСМ-272/2020. </w:t>
      </w:r>
    </w:p>
    <w:p w14:paraId="0C8FFCDA" w14:textId="363D119D" w:rsidR="000C4CB2" w:rsidRPr="00916B3A" w:rsidRDefault="000C4CB2" w:rsidP="00123F5B">
      <w:pPr>
        <w:pStyle w:val="afa"/>
        <w:ind w:firstLine="426"/>
        <w:jc w:val="both"/>
        <w:rPr>
          <w:rFonts w:ascii="Times New Roman" w:hAnsi="Times New Roman" w:cs="Times New Roman"/>
          <w:sz w:val="28"/>
          <w:szCs w:val="28"/>
        </w:rPr>
      </w:pPr>
      <w:r w:rsidRPr="00916B3A">
        <w:rPr>
          <w:rFonts w:ascii="Times New Roman" w:hAnsi="Times New Roman" w:cs="Times New Roman"/>
          <w:sz w:val="28"/>
          <w:szCs w:val="28"/>
        </w:rPr>
        <w:t>Приказ от 15 февраля 2023 года № 23 О внесении изменений в приказ Министра здравоохранения Республики Казахстан от 15 декабря 2020 года № ҚР ДСМ-272/2020 "Об утверждении правил и условий проведения вспомогательных репродуктивных методов и технологий".</w:t>
      </w:r>
    </w:p>
    <w:p w14:paraId="2D8F32EC" w14:textId="77777777" w:rsidR="00CA7051" w:rsidRPr="00916B3A" w:rsidRDefault="00CA7051" w:rsidP="00CA7051">
      <w:pPr>
        <w:pStyle w:val="afa"/>
        <w:ind w:firstLine="426"/>
        <w:jc w:val="both"/>
        <w:rPr>
          <w:rFonts w:ascii="Times New Roman" w:hAnsi="Times New Roman" w:cs="Times New Roman"/>
          <w:bCs/>
          <w:sz w:val="28"/>
          <w:szCs w:val="28"/>
        </w:rPr>
      </w:pPr>
      <w:r w:rsidRPr="00916B3A">
        <w:rPr>
          <w:rFonts w:ascii="Times New Roman" w:hAnsi="Times New Roman" w:cs="Times New Roman"/>
          <w:bCs/>
          <w:sz w:val="28"/>
          <w:szCs w:val="28"/>
        </w:rP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w:t>
      </w:r>
    </w:p>
    <w:p w14:paraId="0B8ECAB6" w14:textId="555FDD70" w:rsidR="000C4CB2" w:rsidRPr="00916B3A" w:rsidRDefault="000C4CB2" w:rsidP="000B7B11">
      <w:pPr>
        <w:pStyle w:val="afa"/>
        <w:ind w:firstLine="709"/>
        <w:jc w:val="both"/>
        <w:rPr>
          <w:rFonts w:ascii="Times New Roman" w:hAnsi="Times New Roman" w:cs="Times New Roman"/>
          <w:sz w:val="28"/>
          <w:szCs w:val="28"/>
        </w:rPr>
      </w:pPr>
    </w:p>
    <w:p w14:paraId="59BEF245" w14:textId="5F411156" w:rsidR="000C4CB2" w:rsidRPr="00916B3A" w:rsidRDefault="000C4CB2" w:rsidP="000B7B11">
      <w:pPr>
        <w:pStyle w:val="afa"/>
        <w:ind w:firstLine="709"/>
        <w:jc w:val="both"/>
        <w:rPr>
          <w:rFonts w:ascii="Times New Roman" w:hAnsi="Times New Roman" w:cs="Times New Roman"/>
          <w:sz w:val="28"/>
          <w:szCs w:val="28"/>
        </w:rPr>
      </w:pPr>
    </w:p>
    <w:p w14:paraId="5E4303C8" w14:textId="2A4681C5" w:rsidR="000C4CB2" w:rsidRDefault="000C4CB2" w:rsidP="000B7B11">
      <w:pPr>
        <w:pStyle w:val="afa"/>
        <w:ind w:firstLine="709"/>
        <w:jc w:val="both"/>
        <w:rPr>
          <w:rFonts w:ascii="Times New Roman" w:hAnsi="Times New Roman" w:cs="Times New Roman"/>
          <w:sz w:val="28"/>
          <w:szCs w:val="28"/>
        </w:rPr>
      </w:pPr>
    </w:p>
    <w:p w14:paraId="16DCEC0C" w14:textId="3B0A7C41" w:rsidR="000C4CB2" w:rsidRDefault="000C4CB2" w:rsidP="00481050">
      <w:pPr>
        <w:pStyle w:val="afa"/>
        <w:jc w:val="both"/>
        <w:rPr>
          <w:rFonts w:ascii="Times New Roman" w:hAnsi="Times New Roman" w:cs="Times New Roman"/>
          <w:sz w:val="28"/>
          <w:szCs w:val="28"/>
        </w:rPr>
      </w:pPr>
    </w:p>
    <w:p w14:paraId="1C4D9033" w14:textId="66A1AC0C" w:rsidR="00BC1756" w:rsidRDefault="00BC1756" w:rsidP="00481050">
      <w:pPr>
        <w:pStyle w:val="afa"/>
        <w:jc w:val="both"/>
        <w:rPr>
          <w:rFonts w:ascii="Times New Roman" w:hAnsi="Times New Roman" w:cs="Times New Roman"/>
          <w:sz w:val="28"/>
          <w:szCs w:val="28"/>
        </w:rPr>
      </w:pPr>
    </w:p>
    <w:p w14:paraId="6352390D" w14:textId="646388C1" w:rsidR="00BC1756" w:rsidRDefault="00BC1756" w:rsidP="00481050">
      <w:pPr>
        <w:pStyle w:val="afa"/>
        <w:jc w:val="both"/>
        <w:rPr>
          <w:rFonts w:ascii="Times New Roman" w:hAnsi="Times New Roman" w:cs="Times New Roman"/>
          <w:sz w:val="28"/>
          <w:szCs w:val="28"/>
        </w:rPr>
      </w:pPr>
    </w:p>
    <w:p w14:paraId="59823691" w14:textId="2F5C3491" w:rsidR="00BC1756" w:rsidRDefault="00BC1756" w:rsidP="00481050">
      <w:pPr>
        <w:pStyle w:val="afa"/>
        <w:jc w:val="both"/>
        <w:rPr>
          <w:rFonts w:ascii="Times New Roman" w:hAnsi="Times New Roman" w:cs="Times New Roman"/>
          <w:sz w:val="28"/>
          <w:szCs w:val="28"/>
        </w:rPr>
      </w:pPr>
    </w:p>
    <w:p w14:paraId="7F596388" w14:textId="234C55D7" w:rsidR="00B81DFD" w:rsidRDefault="00B81DFD" w:rsidP="00481050">
      <w:pPr>
        <w:pStyle w:val="afa"/>
        <w:jc w:val="both"/>
        <w:rPr>
          <w:rFonts w:ascii="Times New Roman" w:hAnsi="Times New Roman" w:cs="Times New Roman"/>
          <w:sz w:val="28"/>
          <w:szCs w:val="28"/>
        </w:rPr>
      </w:pPr>
    </w:p>
    <w:p w14:paraId="4285CF47" w14:textId="226DBD26" w:rsidR="00B81DFD" w:rsidRDefault="00B81DFD" w:rsidP="00481050">
      <w:pPr>
        <w:pStyle w:val="afa"/>
        <w:jc w:val="both"/>
        <w:rPr>
          <w:rFonts w:ascii="Times New Roman" w:hAnsi="Times New Roman" w:cs="Times New Roman"/>
          <w:sz w:val="28"/>
          <w:szCs w:val="28"/>
        </w:rPr>
      </w:pPr>
    </w:p>
    <w:p w14:paraId="66FE12ED" w14:textId="3C28E9CF" w:rsidR="00B81DFD" w:rsidRDefault="00B81DFD" w:rsidP="00481050">
      <w:pPr>
        <w:pStyle w:val="afa"/>
        <w:jc w:val="both"/>
        <w:rPr>
          <w:rFonts w:ascii="Times New Roman" w:hAnsi="Times New Roman" w:cs="Times New Roman"/>
          <w:sz w:val="28"/>
          <w:szCs w:val="28"/>
        </w:rPr>
      </w:pPr>
    </w:p>
    <w:p w14:paraId="089E90A1" w14:textId="0A753B9B" w:rsidR="00B81DFD" w:rsidRDefault="00997125" w:rsidP="00481050">
      <w:pPr>
        <w:pStyle w:val="afa"/>
        <w:jc w:val="both"/>
        <w:rPr>
          <w:rFonts w:ascii="Times New Roman" w:hAnsi="Times New Roman" w:cs="Times New Roman"/>
          <w:sz w:val="28"/>
          <w:szCs w:val="28"/>
        </w:rPr>
      </w:pPr>
      <w:r>
        <w:rPr>
          <w:rFonts w:ascii="Times New Roman" w:hAnsi="Times New Roman" w:cs="Times New Roman"/>
          <w:sz w:val="28"/>
          <w:szCs w:val="28"/>
        </w:rPr>
        <w:br/>
      </w:r>
    </w:p>
    <w:p w14:paraId="3571185C" w14:textId="4EC041DC" w:rsidR="00B81DFD" w:rsidRDefault="00B81DFD" w:rsidP="00481050">
      <w:pPr>
        <w:pStyle w:val="afa"/>
        <w:jc w:val="both"/>
        <w:rPr>
          <w:rFonts w:ascii="Times New Roman" w:hAnsi="Times New Roman" w:cs="Times New Roman"/>
          <w:sz w:val="28"/>
          <w:szCs w:val="28"/>
        </w:rPr>
      </w:pPr>
    </w:p>
    <w:p w14:paraId="40AB76DA" w14:textId="0CFB728C" w:rsidR="00B81DFD" w:rsidRDefault="00B81DFD" w:rsidP="00481050">
      <w:pPr>
        <w:pStyle w:val="afa"/>
        <w:jc w:val="both"/>
        <w:rPr>
          <w:rFonts w:ascii="Times New Roman" w:hAnsi="Times New Roman" w:cs="Times New Roman"/>
          <w:sz w:val="28"/>
          <w:szCs w:val="28"/>
        </w:rPr>
      </w:pPr>
    </w:p>
    <w:p w14:paraId="2566272C" w14:textId="5AF9934E" w:rsidR="00B81DFD" w:rsidRDefault="00B81DFD" w:rsidP="00481050">
      <w:pPr>
        <w:pStyle w:val="afa"/>
        <w:jc w:val="both"/>
        <w:rPr>
          <w:rFonts w:ascii="Times New Roman" w:hAnsi="Times New Roman" w:cs="Times New Roman"/>
          <w:sz w:val="28"/>
          <w:szCs w:val="28"/>
        </w:rPr>
      </w:pPr>
    </w:p>
    <w:p w14:paraId="2A6633C6" w14:textId="10C12614" w:rsidR="000439D0" w:rsidRPr="00B81DFD" w:rsidRDefault="000439D0" w:rsidP="007450C9">
      <w:pPr>
        <w:pStyle w:val="af7"/>
        <w:tabs>
          <w:tab w:val="left" w:pos="0"/>
        </w:tabs>
        <w:jc w:val="center"/>
        <w:rPr>
          <w:rFonts w:ascii="Times New Roman" w:hAnsi="Times New Roman" w:cs="Times New Roman"/>
          <w:b/>
          <w:bCs/>
          <w:sz w:val="28"/>
          <w:szCs w:val="28"/>
        </w:rPr>
      </w:pPr>
      <w:r w:rsidRPr="00B81DFD">
        <w:rPr>
          <w:rFonts w:ascii="Times New Roman" w:hAnsi="Times New Roman" w:cs="Times New Roman"/>
          <w:b/>
          <w:bCs/>
          <w:sz w:val="28"/>
          <w:szCs w:val="28"/>
        </w:rPr>
        <w:t>ОБОЗНАЧЕНИ</w:t>
      </w:r>
      <w:r w:rsidR="00F175C1" w:rsidRPr="00B81DFD">
        <w:rPr>
          <w:rFonts w:ascii="Times New Roman" w:hAnsi="Times New Roman" w:cs="Times New Roman"/>
          <w:b/>
          <w:bCs/>
          <w:sz w:val="28"/>
          <w:szCs w:val="28"/>
        </w:rPr>
        <w:t>Й</w:t>
      </w:r>
      <w:r w:rsidRPr="00B81DFD">
        <w:rPr>
          <w:rFonts w:ascii="Times New Roman" w:hAnsi="Times New Roman" w:cs="Times New Roman"/>
          <w:b/>
          <w:bCs/>
          <w:sz w:val="28"/>
          <w:szCs w:val="28"/>
        </w:rPr>
        <w:t xml:space="preserve"> И СОКРАЩЕНИ</w:t>
      </w:r>
      <w:r w:rsidR="00F175C1" w:rsidRPr="00B81DFD">
        <w:rPr>
          <w:rFonts w:ascii="Times New Roman" w:hAnsi="Times New Roman" w:cs="Times New Roman"/>
          <w:b/>
          <w:bCs/>
          <w:sz w:val="28"/>
          <w:szCs w:val="28"/>
        </w:rPr>
        <w:t>Й</w:t>
      </w:r>
    </w:p>
    <w:p w14:paraId="11DAB07C" w14:textId="77777777" w:rsidR="00ED624D" w:rsidRPr="00916B3A" w:rsidRDefault="00ED624D" w:rsidP="007450C9">
      <w:pPr>
        <w:pStyle w:val="af7"/>
        <w:tabs>
          <w:tab w:val="left" w:pos="0"/>
        </w:tabs>
        <w:jc w:val="center"/>
        <w:rPr>
          <w:rFonts w:ascii="Times New Roman" w:hAnsi="Times New Roman" w:cs="Times New Roman"/>
          <w:sz w:val="28"/>
          <w:szCs w:val="28"/>
        </w:rPr>
      </w:pPr>
    </w:p>
    <w:p w14:paraId="67868BBA" w14:textId="6E96FFE7" w:rsidR="00896E23" w:rsidRPr="00916B3A" w:rsidRDefault="00896E23" w:rsidP="000B7B11">
      <w:pPr>
        <w:pStyle w:val="af7"/>
        <w:tabs>
          <w:tab w:val="left" w:pos="0"/>
        </w:tabs>
        <w:rPr>
          <w:rFonts w:ascii="Times New Roman" w:hAnsi="Times New Roman" w:cs="Times New Roman"/>
          <w:color w:val="0D0D0D"/>
          <w:sz w:val="28"/>
          <w:szCs w:val="28"/>
          <w:shd w:val="clear" w:color="auto" w:fill="FFFFFF"/>
        </w:rPr>
      </w:pPr>
      <w:r w:rsidRPr="00916B3A">
        <w:rPr>
          <w:rFonts w:ascii="Times New Roman" w:hAnsi="Times New Roman" w:cs="Times New Roman"/>
          <w:color w:val="0D0D0D"/>
          <w:sz w:val="28"/>
          <w:szCs w:val="28"/>
          <w:shd w:val="clear" w:color="auto" w:fill="FFFFFF"/>
        </w:rPr>
        <w:t>ESHRE</w:t>
      </w:r>
      <w:r w:rsidRPr="00916B3A">
        <w:rPr>
          <w:rFonts w:ascii="Times New Roman" w:eastAsia="Batang" w:hAnsi="Times New Roman" w:cs="Times New Roman"/>
          <w:sz w:val="28"/>
          <w:szCs w:val="28"/>
          <w:lang w:eastAsia="ko-KR"/>
        </w:rPr>
        <w:t xml:space="preserve"> - </w:t>
      </w:r>
      <w:r w:rsidRPr="00916B3A">
        <w:rPr>
          <w:rFonts w:ascii="Times New Roman" w:hAnsi="Times New Roman" w:cs="Times New Roman"/>
          <w:color w:val="0D0D0D"/>
          <w:sz w:val="28"/>
          <w:szCs w:val="28"/>
          <w:shd w:val="clear" w:color="auto" w:fill="FFFFFF"/>
        </w:rPr>
        <w:t xml:space="preserve">Европейское общество репродукции человека и эмбриологии </w:t>
      </w:r>
    </w:p>
    <w:p w14:paraId="52AF45FC" w14:textId="589F8ECC" w:rsidR="00F03219" w:rsidRPr="00916B3A" w:rsidRDefault="00F03219" w:rsidP="000B7B11">
      <w:pPr>
        <w:pStyle w:val="af7"/>
        <w:tabs>
          <w:tab w:val="left" w:pos="0"/>
        </w:tabs>
        <w:rPr>
          <w:rFonts w:ascii="Times New Roman" w:eastAsia="Batang" w:hAnsi="Times New Roman" w:cs="Times New Roman"/>
          <w:sz w:val="28"/>
          <w:szCs w:val="28"/>
          <w:lang w:eastAsia="ko-KR"/>
        </w:rPr>
      </w:pPr>
      <w:r w:rsidRPr="00916B3A">
        <w:rPr>
          <w:rFonts w:ascii="Times New Roman" w:eastAsia="Batang" w:hAnsi="Times New Roman" w:cs="Times New Roman"/>
          <w:sz w:val="28"/>
          <w:szCs w:val="28"/>
          <w:lang w:eastAsia="ko-KR"/>
        </w:rPr>
        <w:t>ЭКО – экстракорпоральное оплодотворение</w:t>
      </w:r>
    </w:p>
    <w:p w14:paraId="434DBF01" w14:textId="244DEFA1" w:rsidR="00ED512A" w:rsidRPr="00916B3A" w:rsidRDefault="00ED512A" w:rsidP="000B7B11">
      <w:pPr>
        <w:pStyle w:val="af7"/>
        <w:tabs>
          <w:tab w:val="left" w:pos="0"/>
        </w:tabs>
        <w:rPr>
          <w:rFonts w:ascii="Times New Roman" w:eastAsia="Batang" w:hAnsi="Times New Roman" w:cs="Times New Roman"/>
          <w:sz w:val="28"/>
          <w:szCs w:val="28"/>
          <w:lang w:eastAsia="ko-KR"/>
        </w:rPr>
      </w:pPr>
      <w:r w:rsidRPr="00916B3A">
        <w:rPr>
          <w:rFonts w:ascii="Times New Roman" w:eastAsia="Batang" w:hAnsi="Times New Roman" w:cs="Times New Roman"/>
          <w:sz w:val="28"/>
          <w:szCs w:val="28"/>
          <w:lang w:eastAsia="ko-KR"/>
        </w:rPr>
        <w:t>NGS - next generation sequencing </w:t>
      </w:r>
    </w:p>
    <w:p w14:paraId="291CA53F" w14:textId="7507B23D" w:rsidR="00F03219" w:rsidRPr="00916B3A" w:rsidRDefault="00F03219" w:rsidP="000B7B11">
      <w:pPr>
        <w:pStyle w:val="af7"/>
        <w:tabs>
          <w:tab w:val="left" w:pos="0"/>
        </w:tabs>
        <w:rPr>
          <w:rFonts w:ascii="Times New Roman" w:eastAsia="Calibri" w:hAnsi="Times New Roman" w:cs="Times New Roman"/>
          <w:sz w:val="28"/>
          <w:szCs w:val="28"/>
          <w:lang w:eastAsia="ko-KR"/>
        </w:rPr>
      </w:pPr>
      <w:r w:rsidRPr="00916B3A">
        <w:rPr>
          <w:rFonts w:ascii="Times New Roman" w:eastAsia="Calibri" w:hAnsi="Times New Roman" w:cs="Times New Roman"/>
          <w:sz w:val="28"/>
          <w:szCs w:val="28"/>
          <w:lang w:eastAsia="ko-KR"/>
        </w:rPr>
        <w:t>ВРТ - вспомогательные репродуктивные технологии</w:t>
      </w:r>
    </w:p>
    <w:p w14:paraId="4AFC2D6A" w14:textId="77777777" w:rsidR="00F03219" w:rsidRPr="00EF72B1" w:rsidRDefault="00F03219" w:rsidP="000B7B11">
      <w:pPr>
        <w:spacing w:after="0" w:line="240" w:lineRule="auto"/>
        <w:rPr>
          <w:rFonts w:ascii="Times New Roman" w:hAnsi="Times New Roman" w:cs="Times New Roman"/>
          <w:color w:val="000000"/>
          <w:sz w:val="28"/>
          <w:szCs w:val="28"/>
          <w:lang w:eastAsia="de-DE" w:bidi="en-US"/>
        </w:rPr>
      </w:pPr>
      <w:r w:rsidRPr="00916B3A">
        <w:rPr>
          <w:rFonts w:ascii="Times New Roman" w:hAnsi="Times New Roman" w:cs="Times New Roman"/>
          <w:color w:val="000000"/>
          <w:sz w:val="28"/>
          <w:szCs w:val="28"/>
          <w:lang w:val="en-US" w:eastAsia="de-DE" w:bidi="en-US"/>
        </w:rPr>
        <w:t>IFV</w:t>
      </w:r>
      <w:r w:rsidRPr="00EF72B1">
        <w:rPr>
          <w:rFonts w:ascii="Times New Roman" w:hAnsi="Times New Roman" w:cs="Times New Roman"/>
          <w:color w:val="000000"/>
          <w:sz w:val="28"/>
          <w:szCs w:val="28"/>
          <w:lang w:eastAsia="de-DE" w:bidi="en-US"/>
        </w:rPr>
        <w:t xml:space="preserve"> - </w:t>
      </w:r>
      <w:r w:rsidRPr="00916B3A">
        <w:rPr>
          <w:rFonts w:ascii="Times New Roman" w:hAnsi="Times New Roman" w:cs="Times New Roman"/>
          <w:color w:val="000000"/>
          <w:sz w:val="28"/>
          <w:szCs w:val="28"/>
          <w:lang w:val="en-US" w:eastAsia="de-DE" w:bidi="en-US"/>
        </w:rPr>
        <w:t>in</w:t>
      </w:r>
      <w:r w:rsidRPr="00EF72B1">
        <w:rPr>
          <w:rFonts w:ascii="Times New Roman" w:hAnsi="Times New Roman" w:cs="Times New Roman"/>
          <w:color w:val="000000"/>
          <w:sz w:val="28"/>
          <w:szCs w:val="28"/>
          <w:lang w:eastAsia="de-DE" w:bidi="en-US"/>
        </w:rPr>
        <w:t>-</w:t>
      </w:r>
      <w:r w:rsidRPr="00916B3A">
        <w:rPr>
          <w:rFonts w:ascii="Times New Roman" w:hAnsi="Times New Roman" w:cs="Times New Roman"/>
          <w:color w:val="000000"/>
          <w:sz w:val="28"/>
          <w:szCs w:val="28"/>
          <w:lang w:val="en-US" w:eastAsia="de-DE" w:bidi="en-US"/>
        </w:rPr>
        <w:t>vitro</w:t>
      </w:r>
      <w:r w:rsidRPr="00EF72B1">
        <w:rPr>
          <w:rFonts w:ascii="Times New Roman" w:hAnsi="Times New Roman" w:cs="Times New Roman"/>
          <w:color w:val="000000"/>
          <w:sz w:val="28"/>
          <w:szCs w:val="28"/>
          <w:lang w:eastAsia="de-DE" w:bidi="en-US"/>
        </w:rPr>
        <w:t xml:space="preserve"> </w:t>
      </w:r>
      <w:r w:rsidRPr="00916B3A">
        <w:rPr>
          <w:rFonts w:ascii="Times New Roman" w:hAnsi="Times New Roman" w:cs="Times New Roman"/>
          <w:color w:val="000000"/>
          <w:sz w:val="28"/>
          <w:szCs w:val="28"/>
          <w:lang w:val="en-US" w:eastAsia="de-DE" w:bidi="en-US"/>
        </w:rPr>
        <w:t>fertilization</w:t>
      </w:r>
    </w:p>
    <w:p w14:paraId="476718F1" w14:textId="77777777" w:rsidR="00F03219" w:rsidRPr="00EF72B1" w:rsidRDefault="00F03219" w:rsidP="000B7B11">
      <w:pPr>
        <w:spacing w:after="0" w:line="240" w:lineRule="auto"/>
        <w:rPr>
          <w:rFonts w:ascii="Times New Roman" w:hAnsi="Times New Roman" w:cs="Times New Roman"/>
          <w:color w:val="000000"/>
          <w:sz w:val="28"/>
          <w:szCs w:val="28"/>
          <w:lang w:eastAsia="de-DE" w:bidi="en-US"/>
        </w:rPr>
      </w:pPr>
      <w:r w:rsidRPr="00916B3A">
        <w:rPr>
          <w:rFonts w:ascii="Times New Roman" w:hAnsi="Times New Roman" w:cs="Times New Roman"/>
          <w:color w:val="000000"/>
          <w:sz w:val="28"/>
          <w:szCs w:val="28"/>
          <w:lang w:eastAsia="de-DE" w:bidi="en-US"/>
        </w:rPr>
        <w:t>ПЭ</w:t>
      </w:r>
      <w:r w:rsidRPr="00EF72B1">
        <w:rPr>
          <w:rFonts w:ascii="Times New Roman" w:hAnsi="Times New Roman" w:cs="Times New Roman"/>
          <w:color w:val="000000"/>
          <w:sz w:val="28"/>
          <w:szCs w:val="28"/>
          <w:lang w:eastAsia="de-DE" w:bidi="en-US"/>
        </w:rPr>
        <w:t xml:space="preserve"> – </w:t>
      </w:r>
      <w:r w:rsidRPr="00916B3A">
        <w:rPr>
          <w:rFonts w:ascii="Times New Roman" w:hAnsi="Times New Roman" w:cs="Times New Roman"/>
          <w:color w:val="000000"/>
          <w:sz w:val="28"/>
          <w:szCs w:val="28"/>
          <w:lang w:eastAsia="de-DE" w:bidi="en-US"/>
        </w:rPr>
        <w:t>перенос</w:t>
      </w:r>
      <w:r w:rsidRPr="00EF72B1">
        <w:rPr>
          <w:rFonts w:ascii="Times New Roman" w:hAnsi="Times New Roman" w:cs="Times New Roman"/>
          <w:color w:val="000000"/>
          <w:sz w:val="28"/>
          <w:szCs w:val="28"/>
          <w:lang w:eastAsia="de-DE" w:bidi="en-US"/>
        </w:rPr>
        <w:t xml:space="preserve"> </w:t>
      </w:r>
      <w:r w:rsidRPr="00916B3A">
        <w:rPr>
          <w:rFonts w:ascii="Times New Roman" w:hAnsi="Times New Roman" w:cs="Times New Roman"/>
          <w:color w:val="000000"/>
          <w:sz w:val="28"/>
          <w:szCs w:val="28"/>
          <w:lang w:eastAsia="de-DE" w:bidi="en-US"/>
        </w:rPr>
        <w:t>эмбриона</w:t>
      </w:r>
    </w:p>
    <w:p w14:paraId="5934C2CC" w14:textId="77777777" w:rsidR="00F03219" w:rsidRPr="00916B3A" w:rsidRDefault="00F03219" w:rsidP="000B7B11">
      <w:pPr>
        <w:spacing w:after="0" w:line="240" w:lineRule="auto"/>
        <w:rPr>
          <w:rFonts w:ascii="Times New Roman" w:eastAsia="Calibri" w:hAnsi="Times New Roman" w:cs="Times New Roman"/>
          <w:sz w:val="28"/>
          <w:szCs w:val="28"/>
          <w:lang w:eastAsia="ko-KR"/>
        </w:rPr>
      </w:pPr>
      <w:r w:rsidRPr="00916B3A">
        <w:rPr>
          <w:rFonts w:ascii="Times New Roman" w:eastAsia="Calibri" w:hAnsi="Times New Roman" w:cs="Times New Roman"/>
          <w:sz w:val="28"/>
          <w:szCs w:val="28"/>
          <w:lang w:eastAsia="ko-KR"/>
        </w:rPr>
        <w:t>ОСМС - обязательное социальное медицинское страхование</w:t>
      </w:r>
    </w:p>
    <w:p w14:paraId="5821DF81" w14:textId="1481AECC" w:rsidR="00F03219" w:rsidRPr="00916B3A" w:rsidRDefault="00F03219" w:rsidP="000B7B11">
      <w:pPr>
        <w:spacing w:after="0" w:line="240" w:lineRule="auto"/>
        <w:rPr>
          <w:rFonts w:ascii="Times New Roman" w:eastAsia="Calibri" w:hAnsi="Times New Roman" w:cs="Times New Roman"/>
          <w:sz w:val="28"/>
          <w:szCs w:val="28"/>
          <w:lang w:eastAsia="ko-KR"/>
        </w:rPr>
      </w:pPr>
      <w:r w:rsidRPr="00916B3A">
        <w:rPr>
          <w:rFonts w:ascii="Times New Roman" w:eastAsia="Calibri" w:hAnsi="Times New Roman" w:cs="Times New Roman"/>
          <w:sz w:val="28"/>
          <w:szCs w:val="28"/>
          <w:lang w:eastAsia="ko-KR"/>
        </w:rPr>
        <w:t>ХГЧ - хорионическ</w:t>
      </w:r>
      <w:r w:rsidR="00D120CD" w:rsidRPr="00916B3A">
        <w:rPr>
          <w:rFonts w:ascii="Times New Roman" w:eastAsia="Calibri" w:hAnsi="Times New Roman" w:cs="Times New Roman"/>
          <w:sz w:val="28"/>
          <w:szCs w:val="28"/>
          <w:lang w:eastAsia="ko-KR"/>
        </w:rPr>
        <w:t>ий</w:t>
      </w:r>
      <w:r w:rsidRPr="00916B3A">
        <w:rPr>
          <w:rFonts w:ascii="Times New Roman" w:eastAsia="Calibri" w:hAnsi="Times New Roman" w:cs="Times New Roman"/>
          <w:sz w:val="28"/>
          <w:szCs w:val="28"/>
          <w:lang w:eastAsia="ko-KR"/>
        </w:rPr>
        <w:t xml:space="preserve"> гонадотропин человека</w:t>
      </w:r>
    </w:p>
    <w:p w14:paraId="056BD105" w14:textId="77777777" w:rsidR="00F03219" w:rsidRPr="00EF72B1" w:rsidRDefault="00F03219" w:rsidP="000B7B11">
      <w:pPr>
        <w:pStyle w:val="af7"/>
        <w:tabs>
          <w:tab w:val="left" w:pos="0"/>
        </w:tabs>
        <w:rPr>
          <w:rFonts w:ascii="Times New Roman" w:eastAsia="Batang" w:hAnsi="Times New Roman" w:cs="Times New Roman"/>
          <w:sz w:val="28"/>
          <w:szCs w:val="28"/>
          <w:lang w:eastAsia="ko-KR"/>
        </w:rPr>
      </w:pPr>
      <w:r w:rsidRPr="00916B3A">
        <w:rPr>
          <w:rFonts w:ascii="Times New Roman" w:eastAsia="Batang" w:hAnsi="Times New Roman" w:cs="Times New Roman"/>
          <w:sz w:val="28"/>
          <w:szCs w:val="28"/>
          <w:lang w:val="en-US" w:eastAsia="ko-KR"/>
        </w:rPr>
        <w:t>GLP</w:t>
      </w:r>
      <w:r w:rsidRPr="00EF72B1">
        <w:rPr>
          <w:rFonts w:ascii="Times New Roman" w:eastAsia="Batang" w:hAnsi="Times New Roman" w:cs="Times New Roman"/>
          <w:sz w:val="28"/>
          <w:szCs w:val="28"/>
          <w:lang w:eastAsia="ko-KR"/>
        </w:rPr>
        <w:t xml:space="preserve"> – </w:t>
      </w:r>
      <w:r w:rsidRPr="00916B3A">
        <w:rPr>
          <w:rFonts w:ascii="Times New Roman" w:eastAsia="Batang" w:hAnsi="Times New Roman" w:cs="Times New Roman"/>
          <w:sz w:val="28"/>
          <w:szCs w:val="28"/>
          <w:lang w:val="en-US" w:eastAsia="ko-KR"/>
        </w:rPr>
        <w:t>Good</w:t>
      </w:r>
      <w:r w:rsidRPr="00EF72B1">
        <w:rPr>
          <w:rFonts w:ascii="Times New Roman" w:eastAsia="Batang" w:hAnsi="Times New Roman" w:cs="Times New Roman"/>
          <w:sz w:val="28"/>
          <w:szCs w:val="28"/>
          <w:lang w:eastAsia="ko-KR"/>
        </w:rPr>
        <w:t xml:space="preserve"> </w:t>
      </w:r>
      <w:r w:rsidRPr="00916B3A">
        <w:rPr>
          <w:rFonts w:ascii="Times New Roman" w:eastAsia="Batang" w:hAnsi="Times New Roman" w:cs="Times New Roman"/>
          <w:sz w:val="28"/>
          <w:szCs w:val="28"/>
          <w:lang w:val="en-US" w:eastAsia="ko-KR"/>
        </w:rPr>
        <w:t>Laboratory</w:t>
      </w:r>
      <w:r w:rsidRPr="00EF72B1">
        <w:rPr>
          <w:rFonts w:ascii="Times New Roman" w:eastAsia="Batang" w:hAnsi="Times New Roman" w:cs="Times New Roman"/>
          <w:sz w:val="28"/>
          <w:szCs w:val="28"/>
          <w:lang w:eastAsia="ko-KR"/>
        </w:rPr>
        <w:t xml:space="preserve"> </w:t>
      </w:r>
      <w:r w:rsidRPr="00916B3A">
        <w:rPr>
          <w:rFonts w:ascii="Times New Roman" w:eastAsia="Batang" w:hAnsi="Times New Roman" w:cs="Times New Roman"/>
          <w:sz w:val="28"/>
          <w:szCs w:val="28"/>
          <w:lang w:val="en-US" w:eastAsia="ko-KR"/>
        </w:rPr>
        <w:t>Practic</w:t>
      </w:r>
    </w:p>
    <w:p w14:paraId="143E5FB2" w14:textId="77777777" w:rsidR="00F03219" w:rsidRPr="00916B3A" w:rsidRDefault="00F03219" w:rsidP="000B7B11">
      <w:pPr>
        <w:pStyle w:val="af7"/>
        <w:tabs>
          <w:tab w:val="left" w:pos="0"/>
        </w:tabs>
        <w:rPr>
          <w:rFonts w:ascii="Times New Roman" w:eastAsia="Batang" w:hAnsi="Times New Roman" w:cs="Times New Roman"/>
          <w:sz w:val="28"/>
          <w:szCs w:val="28"/>
          <w:lang w:val="en-US" w:eastAsia="ko-KR"/>
        </w:rPr>
      </w:pPr>
      <w:r w:rsidRPr="00916B3A">
        <w:rPr>
          <w:rFonts w:ascii="Times New Roman" w:eastAsia="Batang" w:hAnsi="Times New Roman" w:cs="Times New Roman"/>
          <w:sz w:val="28"/>
          <w:szCs w:val="28"/>
          <w:lang w:val="en-US" w:eastAsia="ko-KR"/>
        </w:rPr>
        <w:t>GCP - Good Clinical Practic</w:t>
      </w:r>
    </w:p>
    <w:p w14:paraId="37E9EFF4" w14:textId="77777777" w:rsidR="00F03219" w:rsidRPr="00916B3A" w:rsidRDefault="00F03219" w:rsidP="000B7B11">
      <w:pPr>
        <w:pStyle w:val="af7"/>
        <w:tabs>
          <w:tab w:val="left" w:pos="0"/>
        </w:tabs>
        <w:rPr>
          <w:rFonts w:ascii="Times New Roman" w:eastAsia="Batang" w:hAnsi="Times New Roman" w:cs="Times New Roman"/>
          <w:sz w:val="28"/>
          <w:szCs w:val="28"/>
          <w:lang w:val="en-US" w:eastAsia="ko-KR"/>
        </w:rPr>
      </w:pPr>
      <w:r w:rsidRPr="00916B3A">
        <w:rPr>
          <w:rFonts w:ascii="Times New Roman" w:eastAsia="Batang" w:hAnsi="Times New Roman" w:cs="Times New Roman"/>
          <w:sz w:val="28"/>
          <w:szCs w:val="28"/>
          <w:lang w:eastAsia="ko-KR"/>
        </w:rPr>
        <w:t>РПБ</w:t>
      </w:r>
      <w:r w:rsidRPr="00916B3A">
        <w:rPr>
          <w:rFonts w:ascii="Times New Roman" w:eastAsia="Batang" w:hAnsi="Times New Roman" w:cs="Times New Roman"/>
          <w:sz w:val="28"/>
          <w:szCs w:val="28"/>
          <w:lang w:val="en-US" w:eastAsia="ko-KR"/>
        </w:rPr>
        <w:t xml:space="preserve"> – </w:t>
      </w:r>
      <w:r w:rsidRPr="00916B3A">
        <w:rPr>
          <w:rFonts w:ascii="Times New Roman" w:eastAsia="Batang" w:hAnsi="Times New Roman" w:cs="Times New Roman"/>
          <w:sz w:val="28"/>
          <w:szCs w:val="28"/>
          <w:lang w:eastAsia="ko-KR"/>
        </w:rPr>
        <w:t>рецидив</w:t>
      </w:r>
      <w:r w:rsidRPr="00916B3A">
        <w:rPr>
          <w:rFonts w:ascii="Times New Roman" w:eastAsia="Batang" w:hAnsi="Times New Roman" w:cs="Times New Roman"/>
          <w:sz w:val="28"/>
          <w:szCs w:val="28"/>
          <w:lang w:val="en-US" w:eastAsia="ko-KR"/>
        </w:rPr>
        <w:t xml:space="preserve"> </w:t>
      </w:r>
      <w:r w:rsidRPr="00916B3A">
        <w:rPr>
          <w:rFonts w:ascii="Times New Roman" w:eastAsia="Batang" w:hAnsi="Times New Roman" w:cs="Times New Roman"/>
          <w:sz w:val="28"/>
          <w:szCs w:val="28"/>
          <w:lang w:eastAsia="ko-KR"/>
        </w:rPr>
        <w:t>потери</w:t>
      </w:r>
      <w:r w:rsidRPr="00916B3A">
        <w:rPr>
          <w:rFonts w:ascii="Times New Roman" w:eastAsia="Batang" w:hAnsi="Times New Roman" w:cs="Times New Roman"/>
          <w:sz w:val="28"/>
          <w:szCs w:val="28"/>
          <w:lang w:val="en-US" w:eastAsia="ko-KR"/>
        </w:rPr>
        <w:t xml:space="preserve"> </w:t>
      </w:r>
      <w:r w:rsidRPr="00916B3A">
        <w:rPr>
          <w:rFonts w:ascii="Times New Roman" w:eastAsia="Batang" w:hAnsi="Times New Roman" w:cs="Times New Roman"/>
          <w:sz w:val="28"/>
          <w:szCs w:val="28"/>
          <w:lang w:eastAsia="ko-KR"/>
        </w:rPr>
        <w:t>беременности</w:t>
      </w:r>
      <w:r w:rsidRPr="00916B3A">
        <w:rPr>
          <w:rFonts w:ascii="Times New Roman" w:eastAsia="Batang" w:hAnsi="Times New Roman" w:cs="Times New Roman"/>
          <w:sz w:val="28"/>
          <w:szCs w:val="28"/>
          <w:lang w:val="en-US" w:eastAsia="ko-KR"/>
        </w:rPr>
        <w:t xml:space="preserve"> (RPL – recurrent pregnancy loss)</w:t>
      </w:r>
    </w:p>
    <w:p w14:paraId="24A737A3" w14:textId="77777777" w:rsidR="00F03219" w:rsidRPr="00916B3A" w:rsidRDefault="00F03219" w:rsidP="000B7B11">
      <w:pPr>
        <w:pStyle w:val="af7"/>
        <w:tabs>
          <w:tab w:val="left" w:pos="0"/>
        </w:tabs>
        <w:rPr>
          <w:rFonts w:ascii="Times New Roman" w:eastAsia="Batang" w:hAnsi="Times New Roman" w:cs="Times New Roman"/>
          <w:sz w:val="28"/>
          <w:szCs w:val="28"/>
          <w:lang w:val="en-US" w:eastAsia="ko-KR"/>
        </w:rPr>
      </w:pPr>
      <w:r w:rsidRPr="00916B3A">
        <w:rPr>
          <w:rFonts w:ascii="Times New Roman" w:eastAsia="Batang" w:hAnsi="Times New Roman" w:cs="Times New Roman"/>
          <w:sz w:val="28"/>
          <w:szCs w:val="28"/>
          <w:lang w:eastAsia="ko-KR"/>
        </w:rPr>
        <w:t>РНИ</w:t>
      </w:r>
      <w:r w:rsidRPr="00916B3A">
        <w:rPr>
          <w:rFonts w:ascii="Times New Roman" w:eastAsia="Batang" w:hAnsi="Times New Roman" w:cs="Times New Roman"/>
          <w:sz w:val="28"/>
          <w:szCs w:val="28"/>
          <w:lang w:val="en-US" w:eastAsia="ko-KR"/>
        </w:rPr>
        <w:t xml:space="preserve"> – </w:t>
      </w:r>
      <w:r w:rsidRPr="00916B3A">
        <w:rPr>
          <w:rFonts w:ascii="Times New Roman" w:eastAsia="Batang" w:hAnsi="Times New Roman" w:cs="Times New Roman"/>
          <w:sz w:val="28"/>
          <w:szCs w:val="28"/>
          <w:lang w:eastAsia="ko-KR"/>
        </w:rPr>
        <w:t>рецидив</w:t>
      </w:r>
      <w:r w:rsidRPr="00916B3A">
        <w:rPr>
          <w:rFonts w:ascii="Times New Roman" w:eastAsia="Batang" w:hAnsi="Times New Roman" w:cs="Times New Roman"/>
          <w:sz w:val="28"/>
          <w:szCs w:val="28"/>
          <w:lang w:val="en-US" w:eastAsia="ko-KR"/>
        </w:rPr>
        <w:t xml:space="preserve"> </w:t>
      </w:r>
      <w:r w:rsidRPr="00916B3A">
        <w:rPr>
          <w:rFonts w:ascii="Times New Roman" w:eastAsia="Batang" w:hAnsi="Times New Roman" w:cs="Times New Roman"/>
          <w:sz w:val="28"/>
          <w:szCs w:val="28"/>
          <w:lang w:eastAsia="ko-KR"/>
        </w:rPr>
        <w:t>неудач</w:t>
      </w:r>
      <w:r w:rsidRPr="00916B3A">
        <w:rPr>
          <w:rFonts w:ascii="Times New Roman" w:eastAsia="Batang" w:hAnsi="Times New Roman" w:cs="Times New Roman"/>
          <w:sz w:val="28"/>
          <w:szCs w:val="28"/>
          <w:lang w:val="en-US" w:eastAsia="ko-KR"/>
        </w:rPr>
        <w:t xml:space="preserve"> </w:t>
      </w:r>
      <w:r w:rsidRPr="00916B3A">
        <w:rPr>
          <w:rFonts w:ascii="Times New Roman" w:eastAsia="Batang" w:hAnsi="Times New Roman" w:cs="Times New Roman"/>
          <w:sz w:val="28"/>
          <w:szCs w:val="28"/>
          <w:lang w:eastAsia="ko-KR"/>
        </w:rPr>
        <w:t>имплантации</w:t>
      </w:r>
      <w:r w:rsidRPr="00916B3A">
        <w:rPr>
          <w:rFonts w:ascii="Times New Roman" w:eastAsia="Batang" w:hAnsi="Times New Roman" w:cs="Times New Roman"/>
          <w:sz w:val="28"/>
          <w:szCs w:val="28"/>
          <w:lang w:val="en-US" w:eastAsia="ko-KR"/>
        </w:rPr>
        <w:t xml:space="preserve"> (RIF – recurrent implantation failure)</w:t>
      </w:r>
    </w:p>
    <w:p w14:paraId="3E0E3371" w14:textId="77777777" w:rsidR="00F03219" w:rsidRPr="00916B3A" w:rsidRDefault="00F03219" w:rsidP="000B7B11">
      <w:pPr>
        <w:spacing w:after="0" w:line="240" w:lineRule="auto"/>
        <w:rPr>
          <w:rFonts w:ascii="Times New Roman" w:hAnsi="Times New Roman" w:cs="Times New Roman"/>
          <w:iCs/>
          <w:color w:val="000000"/>
          <w:sz w:val="28"/>
          <w:szCs w:val="28"/>
          <w:lang w:val="en-US" w:eastAsia="de-DE" w:bidi="en-US"/>
        </w:rPr>
      </w:pPr>
      <w:r w:rsidRPr="00916B3A">
        <w:rPr>
          <w:rFonts w:ascii="Times New Roman" w:hAnsi="Times New Roman" w:cs="Times New Roman"/>
          <w:iCs/>
          <w:color w:val="000000"/>
          <w:sz w:val="28"/>
          <w:szCs w:val="28"/>
          <w:lang w:val="en-US" w:eastAsia="de-DE" w:bidi="en-US"/>
        </w:rPr>
        <w:t>CXCL8 - C-X-C motif chemokine ligand 8</w:t>
      </w:r>
    </w:p>
    <w:p w14:paraId="41D85DFA" w14:textId="77777777" w:rsidR="00F03219" w:rsidRPr="00916B3A" w:rsidRDefault="00F03219" w:rsidP="000B7B11">
      <w:pPr>
        <w:spacing w:after="0" w:line="240" w:lineRule="auto"/>
        <w:rPr>
          <w:rFonts w:ascii="Times New Roman" w:hAnsi="Times New Roman" w:cs="Times New Roman"/>
          <w:iCs/>
          <w:color w:val="000000"/>
          <w:sz w:val="28"/>
          <w:szCs w:val="28"/>
          <w:lang w:val="en-US" w:eastAsia="de-DE" w:bidi="en-US"/>
        </w:rPr>
      </w:pPr>
      <w:r w:rsidRPr="00916B3A">
        <w:rPr>
          <w:rFonts w:ascii="Times New Roman" w:hAnsi="Times New Roman" w:cs="Times New Roman"/>
          <w:iCs/>
          <w:color w:val="000000"/>
          <w:sz w:val="28"/>
          <w:szCs w:val="28"/>
          <w:lang w:val="en-US" w:eastAsia="de-DE" w:bidi="en-US"/>
        </w:rPr>
        <w:t xml:space="preserve">CXCL1 - C-X-C motif chemokine ligand 1 </w:t>
      </w:r>
    </w:p>
    <w:p w14:paraId="249A1730" w14:textId="77777777" w:rsidR="00F03219" w:rsidRPr="00916B3A" w:rsidRDefault="00F03219" w:rsidP="000B7B11">
      <w:pPr>
        <w:spacing w:after="0" w:line="240" w:lineRule="auto"/>
        <w:rPr>
          <w:rFonts w:ascii="Times New Roman" w:hAnsi="Times New Roman" w:cs="Times New Roman"/>
          <w:iCs/>
          <w:color w:val="000000"/>
          <w:sz w:val="28"/>
          <w:szCs w:val="28"/>
          <w:lang w:val="en-US" w:eastAsia="de-DE" w:bidi="en-US"/>
        </w:rPr>
      </w:pPr>
      <w:r w:rsidRPr="00916B3A">
        <w:rPr>
          <w:rFonts w:ascii="Times New Roman" w:hAnsi="Times New Roman" w:cs="Times New Roman"/>
          <w:iCs/>
          <w:color w:val="000000"/>
          <w:sz w:val="28"/>
          <w:szCs w:val="28"/>
          <w:lang w:val="en-US" w:eastAsia="de-DE" w:bidi="en-US"/>
        </w:rPr>
        <w:t xml:space="preserve">C4BPA - Complement Component 4 Binding Protein Alpha </w:t>
      </w:r>
    </w:p>
    <w:p w14:paraId="095A7D7F" w14:textId="77777777" w:rsidR="00F03219" w:rsidRPr="00916B3A" w:rsidRDefault="00F03219" w:rsidP="000B7B11">
      <w:pPr>
        <w:spacing w:after="0" w:line="240" w:lineRule="auto"/>
        <w:rPr>
          <w:rFonts w:ascii="Times New Roman" w:hAnsi="Times New Roman" w:cs="Times New Roman"/>
          <w:iCs/>
          <w:color w:val="000000"/>
          <w:sz w:val="28"/>
          <w:szCs w:val="28"/>
          <w:lang w:val="en-US" w:eastAsia="de-DE" w:bidi="en-US"/>
        </w:rPr>
      </w:pPr>
      <w:r w:rsidRPr="00916B3A">
        <w:rPr>
          <w:rFonts w:ascii="Times New Roman" w:hAnsi="Times New Roman" w:cs="Times New Roman"/>
          <w:iCs/>
          <w:color w:val="000000"/>
          <w:sz w:val="28"/>
          <w:szCs w:val="28"/>
          <w:lang w:val="en-US" w:eastAsia="de-DE" w:bidi="en-US"/>
        </w:rPr>
        <w:t xml:space="preserve">VEGF-B - Vascular endothelial growth factor B </w:t>
      </w:r>
    </w:p>
    <w:p w14:paraId="16D914A8" w14:textId="77777777" w:rsidR="00F03219" w:rsidRPr="00916B3A" w:rsidRDefault="00F03219" w:rsidP="000B7B11">
      <w:pPr>
        <w:spacing w:after="0" w:line="240" w:lineRule="auto"/>
        <w:rPr>
          <w:rFonts w:ascii="Times New Roman" w:hAnsi="Times New Roman" w:cs="Times New Roman"/>
          <w:iCs/>
          <w:color w:val="000000"/>
          <w:sz w:val="28"/>
          <w:szCs w:val="28"/>
          <w:lang w:val="en-US" w:eastAsia="de-DE" w:bidi="en-US"/>
        </w:rPr>
      </w:pPr>
      <w:r w:rsidRPr="00916B3A">
        <w:rPr>
          <w:rFonts w:ascii="Times New Roman" w:hAnsi="Times New Roman" w:cs="Times New Roman"/>
          <w:iCs/>
          <w:color w:val="000000"/>
          <w:sz w:val="28"/>
          <w:szCs w:val="28"/>
          <w:lang w:val="en-US" w:eastAsia="de-DE" w:bidi="en-US"/>
        </w:rPr>
        <w:t xml:space="preserve">HAND2 - Heart- and neural crest derivatives-expressed transcript 2 </w:t>
      </w:r>
    </w:p>
    <w:p w14:paraId="20FA24CF" w14:textId="77777777" w:rsidR="00F03219" w:rsidRPr="00916B3A" w:rsidRDefault="00F03219" w:rsidP="000B7B11">
      <w:pPr>
        <w:spacing w:after="0" w:line="240" w:lineRule="auto"/>
        <w:rPr>
          <w:rFonts w:ascii="Times New Roman" w:hAnsi="Times New Roman" w:cs="Times New Roman"/>
          <w:iCs/>
          <w:color w:val="000000"/>
          <w:sz w:val="28"/>
          <w:szCs w:val="28"/>
          <w:lang w:eastAsia="de-DE" w:bidi="en-US"/>
        </w:rPr>
      </w:pPr>
      <w:r w:rsidRPr="00916B3A">
        <w:rPr>
          <w:rFonts w:ascii="Times New Roman" w:hAnsi="Times New Roman" w:cs="Times New Roman"/>
          <w:iCs/>
          <w:color w:val="000000"/>
          <w:sz w:val="28"/>
          <w:szCs w:val="28"/>
          <w:lang w:val="de-DE" w:eastAsia="de-DE" w:bidi="en-US"/>
        </w:rPr>
        <w:t>IL</w:t>
      </w:r>
      <w:r w:rsidRPr="00916B3A">
        <w:rPr>
          <w:rFonts w:ascii="Times New Roman" w:hAnsi="Times New Roman" w:cs="Times New Roman"/>
          <w:iCs/>
          <w:color w:val="000000"/>
          <w:sz w:val="28"/>
          <w:szCs w:val="28"/>
          <w:lang w:eastAsia="de-DE" w:bidi="en-US"/>
        </w:rPr>
        <w:t>-15 -</w:t>
      </w:r>
      <w:r w:rsidRPr="00916B3A">
        <w:rPr>
          <w:rFonts w:ascii="Times New Roman" w:hAnsi="Times New Roman" w:cs="Times New Roman"/>
          <w:iCs/>
          <w:color w:val="000000"/>
          <w:sz w:val="28"/>
          <w:szCs w:val="28"/>
          <w:lang w:val="de-DE" w:eastAsia="de-DE" w:bidi="en-US"/>
        </w:rPr>
        <w:t>Interleukin</w:t>
      </w:r>
      <w:r w:rsidRPr="00916B3A">
        <w:rPr>
          <w:rFonts w:ascii="Times New Roman" w:hAnsi="Times New Roman" w:cs="Times New Roman"/>
          <w:iCs/>
          <w:color w:val="000000"/>
          <w:sz w:val="28"/>
          <w:szCs w:val="28"/>
          <w:lang w:eastAsia="de-DE" w:bidi="en-US"/>
        </w:rPr>
        <w:t xml:space="preserve"> 15</w:t>
      </w:r>
    </w:p>
    <w:p w14:paraId="23ECC2F4" w14:textId="77777777" w:rsidR="00F03219" w:rsidRPr="00916B3A" w:rsidRDefault="00F03219" w:rsidP="000B7B11">
      <w:pPr>
        <w:tabs>
          <w:tab w:val="left" w:pos="0"/>
        </w:tabs>
        <w:spacing w:after="0" w:line="240" w:lineRule="auto"/>
        <w:rPr>
          <w:rFonts w:ascii="Times New Roman" w:hAnsi="Times New Roman" w:cs="Times New Roman"/>
          <w:sz w:val="28"/>
          <w:szCs w:val="28"/>
        </w:rPr>
      </w:pPr>
      <w:r w:rsidRPr="00916B3A">
        <w:rPr>
          <w:rFonts w:ascii="Times New Roman" w:hAnsi="Times New Roman" w:cs="Times New Roman"/>
          <w:sz w:val="28"/>
          <w:szCs w:val="28"/>
        </w:rPr>
        <w:t>ТВ - тромбиновое время</w:t>
      </w:r>
    </w:p>
    <w:p w14:paraId="4CFFC84E" w14:textId="77777777" w:rsidR="00F03219" w:rsidRPr="00916B3A" w:rsidRDefault="00F03219" w:rsidP="000B7B11">
      <w:pPr>
        <w:tabs>
          <w:tab w:val="left" w:pos="0"/>
        </w:tabs>
        <w:spacing w:after="0" w:line="240" w:lineRule="auto"/>
        <w:rPr>
          <w:rFonts w:ascii="Times New Roman" w:hAnsi="Times New Roman" w:cs="Times New Roman"/>
          <w:sz w:val="28"/>
          <w:szCs w:val="28"/>
        </w:rPr>
      </w:pPr>
      <w:r w:rsidRPr="00916B3A">
        <w:rPr>
          <w:rFonts w:ascii="Times New Roman" w:hAnsi="Times New Roman" w:cs="Times New Roman"/>
          <w:sz w:val="28"/>
          <w:szCs w:val="28"/>
        </w:rPr>
        <w:t>ПТИ - протромбиновый индекс</w:t>
      </w:r>
    </w:p>
    <w:p w14:paraId="0BB444FC" w14:textId="77777777" w:rsidR="00F03219" w:rsidRPr="00916B3A" w:rsidRDefault="00F03219" w:rsidP="000B7B11">
      <w:pPr>
        <w:tabs>
          <w:tab w:val="left" w:pos="0"/>
        </w:tabs>
        <w:spacing w:after="0" w:line="240" w:lineRule="auto"/>
        <w:rPr>
          <w:rFonts w:ascii="Times New Roman" w:hAnsi="Times New Roman" w:cs="Times New Roman"/>
          <w:sz w:val="28"/>
          <w:szCs w:val="28"/>
        </w:rPr>
      </w:pPr>
      <w:r w:rsidRPr="00916B3A">
        <w:rPr>
          <w:rFonts w:ascii="Times New Roman" w:hAnsi="Times New Roman" w:cs="Times New Roman"/>
          <w:sz w:val="28"/>
          <w:szCs w:val="28"/>
        </w:rPr>
        <w:t>АЧТВ - активированное частичное тромбопластиновое время</w:t>
      </w:r>
    </w:p>
    <w:p w14:paraId="1DC73990" w14:textId="77777777" w:rsidR="00F03219" w:rsidRPr="00916B3A" w:rsidRDefault="00F03219" w:rsidP="000B7B11">
      <w:pPr>
        <w:spacing w:after="0" w:line="240" w:lineRule="auto"/>
        <w:rPr>
          <w:rFonts w:ascii="Times New Roman" w:hAnsi="Times New Roman" w:cs="Times New Roman"/>
          <w:color w:val="000000"/>
          <w:sz w:val="28"/>
          <w:szCs w:val="28"/>
          <w:lang w:eastAsia="de-DE" w:bidi="en-US"/>
        </w:rPr>
      </w:pPr>
      <w:r w:rsidRPr="00916B3A">
        <w:rPr>
          <w:rFonts w:ascii="Times New Roman" w:hAnsi="Times New Roman" w:cs="Times New Roman"/>
          <w:color w:val="000000"/>
          <w:sz w:val="28"/>
          <w:szCs w:val="28"/>
          <w:lang w:val="en-US" w:eastAsia="de-DE" w:bidi="en-US"/>
        </w:rPr>
        <w:t>LH</w:t>
      </w:r>
      <w:r w:rsidRPr="00916B3A">
        <w:rPr>
          <w:rFonts w:ascii="Times New Roman" w:hAnsi="Times New Roman" w:cs="Times New Roman"/>
          <w:color w:val="000000"/>
          <w:sz w:val="28"/>
          <w:szCs w:val="28"/>
          <w:lang w:eastAsia="de-DE" w:bidi="en-US"/>
        </w:rPr>
        <w:t xml:space="preserve"> - </w:t>
      </w:r>
      <w:r w:rsidRPr="00916B3A">
        <w:rPr>
          <w:rFonts w:ascii="Times New Roman" w:hAnsi="Times New Roman" w:cs="Times New Roman"/>
          <w:color w:val="000000"/>
          <w:sz w:val="28"/>
          <w:szCs w:val="28"/>
          <w:lang w:val="en-US" w:eastAsia="de-DE" w:bidi="en-US"/>
        </w:rPr>
        <w:t>luteinizing</w:t>
      </w:r>
      <w:r w:rsidRPr="00916B3A">
        <w:rPr>
          <w:rFonts w:ascii="Times New Roman" w:hAnsi="Times New Roman" w:cs="Times New Roman"/>
          <w:color w:val="000000"/>
          <w:sz w:val="28"/>
          <w:szCs w:val="28"/>
          <w:lang w:eastAsia="de-DE" w:bidi="en-US"/>
        </w:rPr>
        <w:t xml:space="preserve"> </w:t>
      </w:r>
      <w:r w:rsidRPr="00916B3A">
        <w:rPr>
          <w:rFonts w:ascii="Times New Roman" w:hAnsi="Times New Roman" w:cs="Times New Roman"/>
          <w:color w:val="000000"/>
          <w:sz w:val="28"/>
          <w:szCs w:val="28"/>
          <w:lang w:val="en-US" w:eastAsia="de-DE" w:bidi="en-US"/>
        </w:rPr>
        <w:t>hormone</w:t>
      </w:r>
      <w:r w:rsidRPr="00916B3A">
        <w:rPr>
          <w:rFonts w:ascii="Times New Roman" w:hAnsi="Times New Roman" w:cs="Times New Roman"/>
          <w:color w:val="000000"/>
          <w:sz w:val="28"/>
          <w:szCs w:val="28"/>
          <w:lang w:eastAsia="de-DE" w:bidi="en-US"/>
        </w:rPr>
        <w:t xml:space="preserve"> </w:t>
      </w:r>
    </w:p>
    <w:p w14:paraId="7EF7FDC2" w14:textId="77777777" w:rsidR="00F03219" w:rsidRPr="00916B3A" w:rsidRDefault="00F03219" w:rsidP="000B7B11">
      <w:pPr>
        <w:spacing w:after="0" w:line="240" w:lineRule="auto"/>
        <w:rPr>
          <w:rFonts w:ascii="Times New Roman" w:hAnsi="Times New Roman" w:cs="Times New Roman"/>
          <w:color w:val="000000"/>
          <w:sz w:val="28"/>
          <w:szCs w:val="28"/>
          <w:lang w:val="en-US" w:eastAsia="de-DE" w:bidi="en-US"/>
        </w:rPr>
      </w:pPr>
      <w:r w:rsidRPr="00916B3A">
        <w:rPr>
          <w:rFonts w:ascii="Times New Roman" w:hAnsi="Times New Roman" w:cs="Times New Roman"/>
          <w:color w:val="000000"/>
          <w:sz w:val="28"/>
          <w:szCs w:val="28"/>
          <w:lang w:val="en-US" w:eastAsia="de-DE" w:bidi="en-US"/>
        </w:rPr>
        <w:t>FSH - follicle stimulating hormone</w:t>
      </w:r>
    </w:p>
    <w:p w14:paraId="0ACF0161" w14:textId="77777777" w:rsidR="00F03219" w:rsidRPr="00916B3A" w:rsidRDefault="00F03219" w:rsidP="000B7B11">
      <w:pPr>
        <w:spacing w:after="0" w:line="240" w:lineRule="auto"/>
        <w:rPr>
          <w:rFonts w:ascii="Times New Roman" w:hAnsi="Times New Roman" w:cs="Times New Roman"/>
          <w:color w:val="000000"/>
          <w:sz w:val="28"/>
          <w:szCs w:val="28"/>
          <w:lang w:val="en-US" w:eastAsia="de-DE" w:bidi="en-US"/>
        </w:rPr>
      </w:pPr>
      <w:r w:rsidRPr="00916B3A">
        <w:rPr>
          <w:rFonts w:ascii="Times New Roman" w:hAnsi="Times New Roman" w:cs="Times New Roman"/>
          <w:color w:val="000000"/>
          <w:sz w:val="28"/>
          <w:szCs w:val="28"/>
          <w:lang w:val="en-US" w:eastAsia="de-DE" w:bidi="en-US"/>
        </w:rPr>
        <w:t>TSH - thyroid stimulating hormone</w:t>
      </w:r>
    </w:p>
    <w:p w14:paraId="42748A21" w14:textId="77777777" w:rsidR="00F03219" w:rsidRPr="00916B3A" w:rsidRDefault="00F03219" w:rsidP="000B7B11">
      <w:pPr>
        <w:spacing w:after="0" w:line="240" w:lineRule="auto"/>
        <w:rPr>
          <w:rFonts w:ascii="Times New Roman" w:hAnsi="Times New Roman" w:cs="Times New Roman"/>
          <w:color w:val="000000"/>
          <w:sz w:val="28"/>
          <w:szCs w:val="28"/>
          <w:lang w:val="en-US" w:eastAsia="de-DE" w:bidi="en-US"/>
        </w:rPr>
      </w:pPr>
      <w:r w:rsidRPr="00916B3A">
        <w:rPr>
          <w:rFonts w:ascii="Times New Roman" w:hAnsi="Times New Roman" w:cs="Times New Roman"/>
          <w:color w:val="000000"/>
          <w:sz w:val="28"/>
          <w:szCs w:val="28"/>
          <w:lang w:val="en-US" w:eastAsia="de-DE" w:bidi="en-US"/>
        </w:rPr>
        <w:t xml:space="preserve">RNA - </w:t>
      </w:r>
      <w:bookmarkStart w:id="3" w:name="_Hlk175874348"/>
      <w:r w:rsidRPr="00916B3A">
        <w:rPr>
          <w:rFonts w:ascii="Times New Roman" w:hAnsi="Times New Roman" w:cs="Times New Roman"/>
          <w:color w:val="000000"/>
          <w:sz w:val="28"/>
          <w:szCs w:val="28"/>
          <w:lang w:val="en-US" w:eastAsia="de-DE" w:bidi="en-US"/>
        </w:rPr>
        <w:t>Ribonucleic acid</w:t>
      </w:r>
    </w:p>
    <w:bookmarkEnd w:id="3"/>
    <w:p w14:paraId="0BE3EE0E" w14:textId="77777777" w:rsidR="00F03219" w:rsidRPr="00916B3A" w:rsidRDefault="00F03219" w:rsidP="000B7B11">
      <w:pPr>
        <w:spacing w:after="0" w:line="240" w:lineRule="auto"/>
        <w:rPr>
          <w:rFonts w:ascii="Times New Roman" w:hAnsi="Times New Roman" w:cs="Times New Roman"/>
          <w:color w:val="000000"/>
          <w:sz w:val="28"/>
          <w:szCs w:val="28"/>
          <w:lang w:val="en-US" w:eastAsia="de-DE" w:bidi="en-US"/>
        </w:rPr>
      </w:pPr>
      <w:r w:rsidRPr="00916B3A">
        <w:rPr>
          <w:rFonts w:ascii="Times New Roman" w:hAnsi="Times New Roman" w:cs="Times New Roman"/>
          <w:color w:val="000000"/>
          <w:sz w:val="28"/>
          <w:szCs w:val="28"/>
          <w:lang w:val="en-US" w:eastAsia="de-DE" w:bidi="en-US"/>
        </w:rPr>
        <w:t xml:space="preserve">DNA - </w:t>
      </w:r>
      <w:bookmarkStart w:id="4" w:name="_Hlk175874319"/>
      <w:r w:rsidRPr="00916B3A">
        <w:rPr>
          <w:rFonts w:ascii="Times New Roman" w:hAnsi="Times New Roman" w:cs="Times New Roman"/>
          <w:color w:val="000000"/>
          <w:sz w:val="28"/>
          <w:szCs w:val="28"/>
          <w:lang w:val="en-US" w:eastAsia="de-DE" w:bidi="en-US"/>
        </w:rPr>
        <w:t>Deoxyribonucleic acid</w:t>
      </w:r>
    </w:p>
    <w:bookmarkEnd w:id="4"/>
    <w:p w14:paraId="42304F4D" w14:textId="77777777" w:rsidR="00F03219" w:rsidRPr="00916B3A" w:rsidRDefault="00F03219" w:rsidP="000B7B11">
      <w:pPr>
        <w:spacing w:after="0" w:line="240" w:lineRule="auto"/>
        <w:rPr>
          <w:rFonts w:ascii="Times New Roman" w:hAnsi="Times New Roman" w:cs="Times New Roman"/>
          <w:color w:val="000000"/>
          <w:sz w:val="28"/>
          <w:szCs w:val="28"/>
          <w:lang w:val="en-US" w:eastAsia="de-DE" w:bidi="en-US"/>
        </w:rPr>
      </w:pPr>
      <w:r w:rsidRPr="00916B3A">
        <w:rPr>
          <w:rFonts w:ascii="Times New Roman" w:hAnsi="Times New Roman" w:cs="Times New Roman"/>
          <w:color w:val="000000"/>
          <w:sz w:val="28"/>
          <w:szCs w:val="28"/>
          <w:lang w:val="en-US" w:eastAsia="de-DE" w:bidi="en-US"/>
        </w:rPr>
        <w:t>PCR - polymerase chain reaction</w:t>
      </w:r>
    </w:p>
    <w:p w14:paraId="525F0A00" w14:textId="77777777" w:rsidR="00F03219" w:rsidRPr="00916B3A" w:rsidRDefault="00F03219" w:rsidP="000B7B11">
      <w:pPr>
        <w:spacing w:after="0" w:line="240" w:lineRule="auto"/>
        <w:rPr>
          <w:rFonts w:ascii="Times New Roman" w:hAnsi="Times New Roman" w:cs="Times New Roman"/>
          <w:color w:val="000000"/>
          <w:sz w:val="28"/>
          <w:szCs w:val="28"/>
          <w:lang w:val="en-US" w:eastAsia="de-DE" w:bidi="en-US"/>
        </w:rPr>
      </w:pPr>
      <w:r w:rsidRPr="00916B3A">
        <w:rPr>
          <w:rFonts w:ascii="Times New Roman" w:hAnsi="Times New Roman" w:cs="Times New Roman"/>
          <w:color w:val="000000"/>
          <w:sz w:val="28"/>
          <w:szCs w:val="28"/>
          <w:lang w:val="en-US" w:eastAsia="de-DE" w:bidi="en-US"/>
        </w:rPr>
        <w:t>BMI – body mass index</w:t>
      </w:r>
    </w:p>
    <w:p w14:paraId="230F715A" w14:textId="77777777" w:rsidR="00F03219" w:rsidRPr="00916B3A" w:rsidRDefault="00F03219" w:rsidP="000B7B11">
      <w:pPr>
        <w:spacing w:after="0" w:line="240" w:lineRule="auto"/>
        <w:rPr>
          <w:rFonts w:ascii="Times New Roman" w:hAnsi="Times New Roman" w:cs="Times New Roman"/>
          <w:color w:val="000000"/>
          <w:sz w:val="28"/>
          <w:szCs w:val="28"/>
          <w:lang w:val="en-US" w:eastAsia="de-DE" w:bidi="en-US"/>
        </w:rPr>
      </w:pPr>
      <w:r w:rsidRPr="00916B3A">
        <w:rPr>
          <w:rFonts w:ascii="Times New Roman" w:hAnsi="Times New Roman" w:cs="Times New Roman"/>
          <w:color w:val="000000"/>
          <w:sz w:val="28"/>
          <w:szCs w:val="28"/>
          <w:lang w:val="en-US" w:eastAsia="de-DE" w:bidi="en-US"/>
        </w:rPr>
        <w:t xml:space="preserve">ROC - </w:t>
      </w:r>
      <w:bookmarkStart w:id="5" w:name="_Hlk175874782"/>
      <w:bookmarkStart w:id="6" w:name="_Hlk175874764"/>
      <w:r w:rsidRPr="00916B3A">
        <w:rPr>
          <w:rFonts w:ascii="Times New Roman" w:hAnsi="Times New Roman" w:cs="Times New Roman"/>
          <w:color w:val="000000"/>
          <w:sz w:val="28"/>
          <w:szCs w:val="28"/>
          <w:lang w:val="en-US" w:eastAsia="de-DE" w:bidi="en-US"/>
        </w:rPr>
        <w:t>receiver operating characteristic</w:t>
      </w:r>
      <w:bookmarkEnd w:id="5"/>
    </w:p>
    <w:bookmarkEnd w:id="6"/>
    <w:p w14:paraId="0183C112" w14:textId="77777777" w:rsidR="00F03219" w:rsidRPr="00916B3A" w:rsidRDefault="00F03219" w:rsidP="000B7B11">
      <w:pPr>
        <w:tabs>
          <w:tab w:val="left" w:pos="0"/>
        </w:tabs>
        <w:spacing w:after="0" w:line="240" w:lineRule="auto"/>
        <w:rPr>
          <w:rFonts w:ascii="Times New Roman" w:hAnsi="Times New Roman" w:cs="Times New Roman"/>
          <w:sz w:val="28"/>
          <w:szCs w:val="28"/>
          <w:lang w:val="en-US"/>
        </w:rPr>
      </w:pPr>
      <w:r w:rsidRPr="00916B3A">
        <w:rPr>
          <w:rFonts w:ascii="Times New Roman" w:hAnsi="Times New Roman" w:cs="Times New Roman"/>
          <w:sz w:val="28"/>
          <w:szCs w:val="28"/>
          <w:lang w:val="en-US"/>
        </w:rPr>
        <w:t xml:space="preserve">VEGF – </w:t>
      </w:r>
      <w:r w:rsidRPr="00916B3A">
        <w:rPr>
          <w:rFonts w:ascii="Times New Roman" w:hAnsi="Times New Roman" w:cs="Times New Roman"/>
          <w:sz w:val="28"/>
          <w:szCs w:val="28"/>
        </w:rPr>
        <w:t>сосудистый</w:t>
      </w:r>
      <w:r w:rsidRPr="00916B3A">
        <w:rPr>
          <w:rFonts w:ascii="Times New Roman" w:hAnsi="Times New Roman" w:cs="Times New Roman"/>
          <w:sz w:val="28"/>
          <w:szCs w:val="28"/>
          <w:lang w:val="en-US"/>
        </w:rPr>
        <w:t xml:space="preserve"> </w:t>
      </w:r>
      <w:r w:rsidRPr="00916B3A">
        <w:rPr>
          <w:rFonts w:ascii="Times New Roman" w:hAnsi="Times New Roman" w:cs="Times New Roman"/>
          <w:sz w:val="28"/>
          <w:szCs w:val="28"/>
        </w:rPr>
        <w:t>эндотелиальный</w:t>
      </w:r>
      <w:r w:rsidRPr="00916B3A">
        <w:rPr>
          <w:rFonts w:ascii="Times New Roman" w:hAnsi="Times New Roman" w:cs="Times New Roman"/>
          <w:sz w:val="28"/>
          <w:szCs w:val="28"/>
          <w:lang w:val="en-US"/>
        </w:rPr>
        <w:t xml:space="preserve"> </w:t>
      </w:r>
      <w:r w:rsidRPr="00916B3A">
        <w:rPr>
          <w:rFonts w:ascii="Times New Roman" w:hAnsi="Times New Roman" w:cs="Times New Roman"/>
          <w:sz w:val="28"/>
          <w:szCs w:val="28"/>
        </w:rPr>
        <w:t>фактор</w:t>
      </w:r>
      <w:r w:rsidRPr="00916B3A">
        <w:rPr>
          <w:rFonts w:ascii="Times New Roman" w:hAnsi="Times New Roman" w:cs="Times New Roman"/>
          <w:sz w:val="28"/>
          <w:szCs w:val="28"/>
          <w:lang w:val="en-US"/>
        </w:rPr>
        <w:t xml:space="preserve"> </w:t>
      </w:r>
      <w:r w:rsidRPr="00916B3A">
        <w:rPr>
          <w:rFonts w:ascii="Times New Roman" w:hAnsi="Times New Roman" w:cs="Times New Roman"/>
          <w:sz w:val="28"/>
          <w:szCs w:val="28"/>
        </w:rPr>
        <w:t>роста</w:t>
      </w:r>
    </w:p>
    <w:p w14:paraId="36928650" w14:textId="072DFC7E" w:rsidR="00F03219" w:rsidRPr="00916B3A" w:rsidRDefault="00F03219" w:rsidP="000B7B11">
      <w:pPr>
        <w:tabs>
          <w:tab w:val="left" w:pos="0"/>
        </w:tabs>
        <w:spacing w:after="0" w:line="240" w:lineRule="auto"/>
        <w:rPr>
          <w:rFonts w:ascii="Times New Roman" w:hAnsi="Times New Roman" w:cs="Times New Roman"/>
          <w:sz w:val="28"/>
          <w:szCs w:val="28"/>
        </w:rPr>
      </w:pPr>
      <w:r w:rsidRPr="00916B3A">
        <w:rPr>
          <w:rFonts w:ascii="Times New Roman" w:hAnsi="Times New Roman" w:cs="Times New Roman"/>
          <w:sz w:val="28"/>
          <w:szCs w:val="28"/>
        </w:rPr>
        <w:t>РФМК - растворимы</w:t>
      </w:r>
      <w:r w:rsidR="00896E23" w:rsidRPr="00916B3A">
        <w:rPr>
          <w:rFonts w:ascii="Times New Roman" w:hAnsi="Times New Roman" w:cs="Times New Roman"/>
          <w:sz w:val="28"/>
          <w:szCs w:val="28"/>
        </w:rPr>
        <w:t>й</w:t>
      </w:r>
      <w:r w:rsidRPr="00916B3A">
        <w:rPr>
          <w:rFonts w:ascii="Times New Roman" w:hAnsi="Times New Roman" w:cs="Times New Roman"/>
          <w:sz w:val="28"/>
          <w:szCs w:val="28"/>
        </w:rPr>
        <w:t xml:space="preserve"> фибрин-мономерны</w:t>
      </w:r>
      <w:r w:rsidR="00896E23" w:rsidRPr="00916B3A">
        <w:rPr>
          <w:rFonts w:ascii="Times New Roman" w:hAnsi="Times New Roman" w:cs="Times New Roman"/>
          <w:sz w:val="28"/>
          <w:szCs w:val="28"/>
        </w:rPr>
        <w:t>й</w:t>
      </w:r>
      <w:r w:rsidRPr="00916B3A">
        <w:rPr>
          <w:rFonts w:ascii="Times New Roman" w:hAnsi="Times New Roman" w:cs="Times New Roman"/>
          <w:sz w:val="28"/>
          <w:szCs w:val="28"/>
        </w:rPr>
        <w:t xml:space="preserve"> комплекс</w:t>
      </w:r>
    </w:p>
    <w:p w14:paraId="2E377C70" w14:textId="3D9B3F87" w:rsidR="00F03219" w:rsidRPr="00916B3A" w:rsidRDefault="00F03219" w:rsidP="000B7B11">
      <w:pPr>
        <w:tabs>
          <w:tab w:val="left" w:pos="0"/>
        </w:tabs>
        <w:spacing w:after="0" w:line="240" w:lineRule="auto"/>
        <w:rPr>
          <w:rFonts w:ascii="Times New Roman" w:hAnsi="Times New Roman" w:cs="Times New Roman"/>
          <w:sz w:val="28"/>
          <w:szCs w:val="28"/>
        </w:rPr>
      </w:pPr>
      <w:r w:rsidRPr="00916B3A">
        <w:rPr>
          <w:rFonts w:ascii="Times New Roman" w:hAnsi="Times New Roman" w:cs="Times New Roman"/>
          <w:sz w:val="28"/>
          <w:szCs w:val="28"/>
        </w:rPr>
        <w:t>РИФ - реакци</w:t>
      </w:r>
      <w:r w:rsidR="00896E23" w:rsidRPr="00916B3A">
        <w:rPr>
          <w:rFonts w:ascii="Times New Roman" w:hAnsi="Times New Roman" w:cs="Times New Roman"/>
          <w:sz w:val="28"/>
          <w:szCs w:val="28"/>
        </w:rPr>
        <w:t>я</w:t>
      </w:r>
      <w:r w:rsidRPr="00916B3A">
        <w:rPr>
          <w:rFonts w:ascii="Times New Roman" w:hAnsi="Times New Roman" w:cs="Times New Roman"/>
          <w:sz w:val="28"/>
          <w:szCs w:val="28"/>
        </w:rPr>
        <w:t xml:space="preserve"> иммунофлюоресценции</w:t>
      </w:r>
    </w:p>
    <w:p w14:paraId="21AD9DAB" w14:textId="77777777" w:rsidR="00F03219" w:rsidRPr="00916B3A" w:rsidRDefault="00F03219" w:rsidP="000B7B11">
      <w:pPr>
        <w:tabs>
          <w:tab w:val="left" w:pos="0"/>
        </w:tabs>
        <w:spacing w:after="0" w:line="240" w:lineRule="auto"/>
        <w:rPr>
          <w:rFonts w:ascii="Times New Roman" w:hAnsi="Times New Roman" w:cs="Times New Roman"/>
          <w:sz w:val="28"/>
          <w:szCs w:val="28"/>
        </w:rPr>
      </w:pPr>
      <w:r w:rsidRPr="00916B3A">
        <w:rPr>
          <w:rFonts w:ascii="Times New Roman" w:hAnsi="Times New Roman" w:cs="Times New Roman"/>
          <w:sz w:val="28"/>
          <w:szCs w:val="28"/>
        </w:rPr>
        <w:t>КОКСОН - Комитет по надзору в сфере образования и науки</w:t>
      </w:r>
    </w:p>
    <w:p w14:paraId="1C867FD1" w14:textId="77777777" w:rsidR="00F03219" w:rsidRPr="00916B3A" w:rsidRDefault="00F03219" w:rsidP="000B7B11">
      <w:pPr>
        <w:tabs>
          <w:tab w:val="left" w:pos="0"/>
        </w:tabs>
        <w:spacing w:after="0" w:line="240" w:lineRule="auto"/>
        <w:rPr>
          <w:rFonts w:ascii="Times New Roman" w:eastAsia="Calibri" w:hAnsi="Times New Roman" w:cs="Times New Roman"/>
          <w:sz w:val="28"/>
          <w:szCs w:val="28"/>
          <w:lang w:val="en-US" w:eastAsia="ko-KR"/>
        </w:rPr>
      </w:pPr>
      <w:r w:rsidRPr="00916B3A">
        <w:rPr>
          <w:rFonts w:ascii="Times New Roman" w:eastAsia="Calibri" w:hAnsi="Times New Roman" w:cs="Times New Roman"/>
          <w:sz w:val="28"/>
          <w:szCs w:val="28"/>
          <w:lang w:val="en-US" w:eastAsia="ko-KR"/>
        </w:rPr>
        <w:t>ERA - Endometrial Receptive Array</w:t>
      </w:r>
    </w:p>
    <w:p w14:paraId="6EE22E78" w14:textId="77777777" w:rsidR="00F03219" w:rsidRPr="00916B3A" w:rsidRDefault="00F03219" w:rsidP="000B7B11">
      <w:pPr>
        <w:tabs>
          <w:tab w:val="left" w:pos="0"/>
        </w:tabs>
        <w:spacing w:after="0" w:line="240" w:lineRule="auto"/>
        <w:rPr>
          <w:rFonts w:ascii="Times New Roman" w:eastAsia="Calibri" w:hAnsi="Times New Roman" w:cs="Times New Roman"/>
          <w:sz w:val="28"/>
          <w:szCs w:val="28"/>
          <w:lang w:val="en-US" w:eastAsia="ko-KR"/>
        </w:rPr>
      </w:pPr>
      <w:r w:rsidRPr="00916B3A">
        <w:rPr>
          <w:rFonts w:ascii="Times New Roman" w:eastAsia="Calibri" w:hAnsi="Times New Roman" w:cs="Times New Roman"/>
          <w:sz w:val="28"/>
          <w:szCs w:val="28"/>
          <w:lang w:val="en-US" w:eastAsia="ko-KR"/>
        </w:rPr>
        <w:t>RAGs - Receptivity Associated Genes</w:t>
      </w:r>
    </w:p>
    <w:p w14:paraId="761D9E9D" w14:textId="77777777" w:rsidR="00F03219" w:rsidRPr="00916B3A" w:rsidRDefault="00F03219" w:rsidP="000B7B11">
      <w:pPr>
        <w:tabs>
          <w:tab w:val="left" w:pos="0"/>
        </w:tabs>
        <w:spacing w:after="0" w:line="240" w:lineRule="auto"/>
        <w:rPr>
          <w:rFonts w:ascii="Times New Roman" w:eastAsia="Calibri" w:hAnsi="Times New Roman" w:cs="Times New Roman"/>
          <w:sz w:val="28"/>
          <w:szCs w:val="28"/>
          <w:lang w:val="en-US" w:eastAsia="ko-KR"/>
        </w:rPr>
      </w:pPr>
      <w:r w:rsidRPr="00916B3A">
        <w:rPr>
          <w:rFonts w:ascii="Times New Roman" w:eastAsia="Calibri" w:hAnsi="Times New Roman" w:cs="Times New Roman"/>
          <w:sz w:val="28"/>
          <w:szCs w:val="28"/>
          <w:lang w:val="en-US" w:eastAsia="ko-KR"/>
        </w:rPr>
        <w:t xml:space="preserve">WOI - window of implantation </w:t>
      </w:r>
    </w:p>
    <w:p w14:paraId="695AD1F6" w14:textId="77777777" w:rsidR="00F03219" w:rsidRPr="00916B3A" w:rsidRDefault="00F03219" w:rsidP="000B7B11">
      <w:pPr>
        <w:tabs>
          <w:tab w:val="left" w:pos="0"/>
        </w:tabs>
        <w:spacing w:after="0" w:line="240" w:lineRule="auto"/>
        <w:rPr>
          <w:rFonts w:ascii="Times New Roman" w:hAnsi="Times New Roman" w:cs="Times New Roman"/>
          <w:sz w:val="28"/>
          <w:szCs w:val="28"/>
          <w:lang w:val="en-US"/>
        </w:rPr>
      </w:pPr>
      <w:r w:rsidRPr="00916B3A">
        <w:rPr>
          <w:rFonts w:ascii="Times New Roman" w:eastAsia="Calibri" w:hAnsi="Times New Roman" w:cs="Times New Roman"/>
          <w:sz w:val="28"/>
          <w:szCs w:val="28"/>
          <w:lang w:val="en-US" w:eastAsia="ko-KR"/>
        </w:rPr>
        <w:t>KEGG - Kyoto Encyclopedia of Genes and Genomes</w:t>
      </w:r>
    </w:p>
    <w:p w14:paraId="6FE894E8" w14:textId="3E400D81" w:rsidR="007F1431" w:rsidRPr="00916B3A" w:rsidRDefault="007F1431" w:rsidP="000B7B11">
      <w:pPr>
        <w:pStyle w:val="afa"/>
        <w:jc w:val="both"/>
        <w:rPr>
          <w:rFonts w:ascii="Times New Roman" w:hAnsi="Times New Roman" w:cs="Times New Roman"/>
          <w:sz w:val="28"/>
          <w:szCs w:val="28"/>
          <w:lang w:val="en-US"/>
        </w:rPr>
      </w:pPr>
    </w:p>
    <w:p w14:paraId="229F59F9" w14:textId="77777777" w:rsidR="00B81DFD" w:rsidRPr="00997125" w:rsidRDefault="00B81DFD" w:rsidP="007450C9">
      <w:pPr>
        <w:pStyle w:val="1"/>
        <w:spacing w:before="0" w:beforeAutospacing="0" w:after="0" w:afterAutospacing="0"/>
        <w:jc w:val="center"/>
        <w:rPr>
          <w:b w:val="0"/>
          <w:bCs w:val="0"/>
          <w:sz w:val="28"/>
          <w:szCs w:val="28"/>
          <w:shd w:val="clear" w:color="auto" w:fill="FFFFFF"/>
          <w:lang w:val="en-US"/>
        </w:rPr>
      </w:pPr>
    </w:p>
    <w:p w14:paraId="254EC719" w14:textId="67DCF645" w:rsidR="00B81DFD" w:rsidRDefault="00B81DFD" w:rsidP="007450C9">
      <w:pPr>
        <w:pStyle w:val="1"/>
        <w:spacing w:before="0" w:beforeAutospacing="0" w:after="0" w:afterAutospacing="0"/>
        <w:jc w:val="center"/>
        <w:rPr>
          <w:b w:val="0"/>
          <w:bCs w:val="0"/>
          <w:sz w:val="28"/>
          <w:szCs w:val="28"/>
          <w:shd w:val="clear" w:color="auto" w:fill="FFFFFF"/>
          <w:lang w:val="en-US"/>
        </w:rPr>
      </w:pPr>
    </w:p>
    <w:p w14:paraId="22E09128" w14:textId="77777777" w:rsidR="00997125" w:rsidRPr="00997125" w:rsidRDefault="00997125" w:rsidP="007450C9">
      <w:pPr>
        <w:pStyle w:val="1"/>
        <w:spacing w:before="0" w:beforeAutospacing="0" w:after="0" w:afterAutospacing="0"/>
        <w:jc w:val="center"/>
        <w:rPr>
          <w:b w:val="0"/>
          <w:bCs w:val="0"/>
          <w:sz w:val="28"/>
          <w:szCs w:val="28"/>
          <w:shd w:val="clear" w:color="auto" w:fill="FFFFFF"/>
          <w:lang w:val="en-US"/>
        </w:rPr>
      </w:pPr>
    </w:p>
    <w:p w14:paraId="52D4AEAF" w14:textId="77777777" w:rsidR="00B81DFD" w:rsidRPr="00997125" w:rsidRDefault="00B81DFD" w:rsidP="007450C9">
      <w:pPr>
        <w:pStyle w:val="1"/>
        <w:spacing w:before="0" w:beforeAutospacing="0" w:after="0" w:afterAutospacing="0"/>
        <w:jc w:val="center"/>
        <w:rPr>
          <w:b w:val="0"/>
          <w:bCs w:val="0"/>
          <w:sz w:val="28"/>
          <w:szCs w:val="28"/>
          <w:shd w:val="clear" w:color="auto" w:fill="FFFFFF"/>
          <w:lang w:val="en-US"/>
        </w:rPr>
      </w:pPr>
    </w:p>
    <w:p w14:paraId="4ABEEB86" w14:textId="17C47EC2" w:rsidR="007F1431" w:rsidRPr="00B81DFD" w:rsidRDefault="007F1431" w:rsidP="007450C9">
      <w:pPr>
        <w:pStyle w:val="1"/>
        <w:spacing w:before="0" w:beforeAutospacing="0" w:after="0" w:afterAutospacing="0"/>
        <w:jc w:val="center"/>
        <w:rPr>
          <w:sz w:val="28"/>
          <w:szCs w:val="28"/>
          <w:shd w:val="clear" w:color="auto" w:fill="FFFFFF"/>
        </w:rPr>
      </w:pPr>
      <w:r w:rsidRPr="00B81DFD">
        <w:rPr>
          <w:sz w:val="28"/>
          <w:szCs w:val="28"/>
          <w:shd w:val="clear" w:color="auto" w:fill="FFFFFF"/>
        </w:rPr>
        <w:t>ВВЕДЕНИЕ</w:t>
      </w:r>
      <w:bookmarkStart w:id="7" w:name="_Hlk103593129"/>
    </w:p>
    <w:p w14:paraId="148871E0" w14:textId="77777777" w:rsidR="007450C9" w:rsidRPr="00916B3A" w:rsidRDefault="007450C9" w:rsidP="007450C9">
      <w:pPr>
        <w:pStyle w:val="1"/>
        <w:spacing w:before="0" w:beforeAutospacing="0" w:after="0" w:afterAutospacing="0"/>
        <w:jc w:val="center"/>
        <w:rPr>
          <w:b w:val="0"/>
          <w:bCs w:val="0"/>
          <w:sz w:val="28"/>
          <w:szCs w:val="28"/>
          <w:shd w:val="clear" w:color="auto" w:fill="FFFFFF"/>
        </w:rPr>
      </w:pPr>
    </w:p>
    <w:p w14:paraId="2CB2B3E5" w14:textId="4610F86A" w:rsidR="00ED624D" w:rsidRPr="00916B3A" w:rsidRDefault="007F1431" w:rsidP="00997125">
      <w:pPr>
        <w:widowControl w:val="0"/>
        <w:autoSpaceDE w:val="0"/>
        <w:autoSpaceDN w:val="0"/>
        <w:adjustRightInd w:val="0"/>
        <w:spacing w:after="0" w:line="240" w:lineRule="auto"/>
        <w:ind w:firstLine="567"/>
        <w:jc w:val="both"/>
        <w:rPr>
          <w:rFonts w:ascii="Times New Roman" w:hAnsi="Times New Roman" w:cs="Times New Roman"/>
          <w:color w:val="0D0D0D"/>
          <w:sz w:val="28"/>
          <w:szCs w:val="28"/>
          <w:shd w:val="clear" w:color="auto" w:fill="FFFFFF"/>
          <w:lang w:val="kk-KZ"/>
        </w:rPr>
      </w:pPr>
      <w:r w:rsidRPr="00916B3A">
        <w:rPr>
          <w:rFonts w:ascii="Times New Roman" w:hAnsi="Times New Roman" w:cs="Times New Roman"/>
          <w:b/>
          <w:bCs/>
          <w:sz w:val="28"/>
          <w:szCs w:val="28"/>
          <w:shd w:val="clear" w:color="auto" w:fill="FFFFFF"/>
        </w:rPr>
        <w:t xml:space="preserve">Актуальность темы. </w:t>
      </w:r>
      <w:bookmarkEnd w:id="7"/>
      <w:r w:rsidR="00097BF3" w:rsidRPr="00916B3A">
        <w:rPr>
          <w:rFonts w:ascii="Times New Roman" w:hAnsi="Times New Roman" w:cs="Times New Roman"/>
          <w:color w:val="0D0D0D"/>
          <w:sz w:val="28"/>
          <w:szCs w:val="28"/>
          <w:shd w:val="clear" w:color="auto" w:fill="FFFFFF"/>
        </w:rPr>
        <w:t>Согласно данным Европейского общества репродукции человека и эмбриологии (ESHRE) глобальной проблемой, затрагивающей около одной шестой всех пар репродуктивного</w:t>
      </w:r>
      <w:r w:rsidR="008A39EA" w:rsidRPr="00916B3A">
        <w:rPr>
          <w:rFonts w:ascii="Times New Roman" w:hAnsi="Times New Roman" w:cs="Times New Roman"/>
          <w:color w:val="0D0D0D"/>
          <w:sz w:val="28"/>
          <w:szCs w:val="28"/>
          <w:shd w:val="clear" w:color="auto" w:fill="FFFFFF"/>
        </w:rPr>
        <w:t xml:space="preserve"> </w:t>
      </w:r>
      <w:r w:rsidR="008A39EA" w:rsidRPr="00916B3A">
        <w:rPr>
          <w:rFonts w:ascii="Times New Roman" w:hAnsi="Times New Roman" w:cs="Times New Roman"/>
          <w:color w:val="0D0D0D"/>
          <w:sz w:val="28"/>
          <w:szCs w:val="28"/>
          <w:shd w:val="clear" w:color="auto" w:fill="FFFFFF"/>
          <w:lang w:val="kk-KZ"/>
        </w:rPr>
        <w:t>возраста</w:t>
      </w:r>
      <w:r w:rsidR="00F175C1" w:rsidRPr="00916B3A">
        <w:rPr>
          <w:rFonts w:ascii="Times New Roman" w:hAnsi="Times New Roman" w:cs="Times New Roman"/>
          <w:color w:val="0D0D0D"/>
          <w:sz w:val="28"/>
          <w:szCs w:val="28"/>
          <w:shd w:val="clear" w:color="auto" w:fill="FFFFFF"/>
        </w:rPr>
        <w:t>, являются репродуктивные потери</w:t>
      </w:r>
      <w:r w:rsidR="00293A56">
        <w:rPr>
          <w:rFonts w:ascii="Times New Roman" w:hAnsi="Times New Roman" w:cs="Times New Roman"/>
          <w:color w:val="0D0D0D"/>
          <w:sz w:val="28"/>
          <w:szCs w:val="28"/>
          <w:shd w:val="clear" w:color="auto" w:fill="FFFFFF"/>
        </w:rPr>
        <w:fldChar w:fldCharType="begin" w:fldLock="1"/>
      </w:r>
      <w:r w:rsidR="008C6800">
        <w:rPr>
          <w:rFonts w:ascii="Times New Roman" w:hAnsi="Times New Roman" w:cs="Times New Roman"/>
          <w:color w:val="0D0D0D"/>
          <w:sz w:val="28"/>
          <w:szCs w:val="28"/>
          <w:shd w:val="clear" w:color="auto" w:fill="FFFFFF"/>
        </w:rPr>
        <w:instrText>ADDIN CSL_CITATION {"citationItems":[{"id":"ITEM-1","itemData":{"DOI":"10.1093/humrep/der092","ISBN":"3951307307","ISSN":"0268-1161","abstract":"The definition presented here represents the first realistic attempt by the scientific community to standardize the definition of poor ovarian response (POR) in a simple and reproducible manner. POR to ovarian stimulation usually indicates a reduction in follicular response, resulting in a reduced number of retrieved oocytes. It has been recognized that, in order to define the poor response in IVF, at least two of the following three features must be present: (i) advanced maternal age or any other risk factor for POR; (ii) a previous POR; and (iii) an abnormal ovarian reserve test (ORT). Two episodes of POR after maximal stimulation are sufficient to define a patient as poor responder in the absence of advanced maternal age or abnormal ORT. By definition, the term POR refers to the ovarian response, and therefore, one stimulated cycle is considered essential for the diagnosis of POR. However, patients of advanced age with an abnormal ORT may be classified as poor responders since both advanced age and an abnormal ORT may indicate reduced ovarian reserve and act as a surrogate of ovarian stimulation cycle outcome. In this case, the patients should be more properly defined as 'expected poor responder'. If this definition of POR is uniformly adapted as the 'minimal criteria needed to select patients for future clinical trials, more homogeneous populations will be tested for any new protocols. Finally, by reducing bias caused by spurious POR definitions, it will be possible to compare Results: and to draw reliable conclusions. © 2011 The Author.","author":[{"dropping-particle":"","family":"Ferraretti","given":"A. P.","non-dropping-particle":"","parse-names":false,"suffix":""},{"dropping-particle":"","family":"Marca","given":"A.","non-dropping-particle":"La","parse-names":false,"suffix":""},{"dropping-particle":"","family":"Fauser","given":"B. C. J. M.","non-dropping-particle":"","parse-names":false,"suffix":""},{"dropping-particle":"","family":"Tarlatzis","given":"B.","non-dropping-particle":"","parse-names":false,"suffix":""},{"dropping-particle":"","family":"Nargund","given":"G.","non-dropping-particle":"","parse-names":false,"suffix":""},{"dropping-particle":"","family":"Gianaroli","given":"L.","non-dropping-particle":"","parse-names":false,"suffix":""}],"container-title":"Human Reproduction","id":"ITEM-1","issue":"7","issued":{"date-parts":[["2011","7","1"]]},"page":"1616-1624","title":"ESHRE consensus on the definition of 'poor response' to ovarian stimulation for in vitro fertilization: the Bologna criteria","type":"article-journal","volume":"26"},"uris":["http://www.mendeley.com/documents/?uuid=55289a63-e0a3-4c55-9cbb-652020896db5"]}],"mendeley":{"formattedCitation":"[1]","plainTextFormattedCitation":"[1]","previouslyFormattedCitation":"(1)"},"properties":{"noteIndex":0},"schema":"https://github.com/citation-style-language/schema/raw/master/csl-citation.json"}</w:instrText>
      </w:r>
      <w:r w:rsidR="00293A56">
        <w:rPr>
          <w:rFonts w:ascii="Times New Roman" w:hAnsi="Times New Roman" w:cs="Times New Roman"/>
          <w:color w:val="0D0D0D"/>
          <w:sz w:val="28"/>
          <w:szCs w:val="28"/>
          <w:shd w:val="clear" w:color="auto" w:fill="FFFFFF"/>
        </w:rPr>
        <w:fldChar w:fldCharType="separate"/>
      </w:r>
      <w:r w:rsidR="008C6800" w:rsidRPr="008C6800">
        <w:rPr>
          <w:rFonts w:ascii="Times New Roman" w:hAnsi="Times New Roman" w:cs="Times New Roman"/>
          <w:noProof/>
          <w:color w:val="0D0D0D"/>
          <w:sz w:val="28"/>
          <w:szCs w:val="28"/>
          <w:shd w:val="clear" w:color="auto" w:fill="FFFFFF"/>
        </w:rPr>
        <w:t>[1</w:t>
      </w:r>
      <w:r w:rsidR="00355F98">
        <w:rPr>
          <w:rFonts w:ascii="Times New Roman" w:hAnsi="Times New Roman" w:cs="Times New Roman"/>
          <w:noProof/>
          <w:color w:val="0D0D0D"/>
          <w:sz w:val="28"/>
          <w:szCs w:val="28"/>
          <w:shd w:val="clear" w:color="auto" w:fill="FFFFFF"/>
        </w:rPr>
        <w:t>,</w:t>
      </w:r>
      <w:r w:rsidR="00355F98" w:rsidRPr="008C6800">
        <w:rPr>
          <w:rFonts w:ascii="Times New Roman" w:hAnsi="Times New Roman" w:cs="Times New Roman"/>
          <w:noProof/>
          <w:color w:val="0D0D0D"/>
          <w:sz w:val="28"/>
          <w:szCs w:val="28"/>
          <w:shd w:val="clear" w:color="auto" w:fill="FFFFFF"/>
        </w:rPr>
        <w:t>2</w:t>
      </w:r>
      <w:r w:rsidR="008C6800" w:rsidRPr="008C6800">
        <w:rPr>
          <w:rFonts w:ascii="Times New Roman" w:hAnsi="Times New Roman" w:cs="Times New Roman"/>
          <w:noProof/>
          <w:color w:val="0D0D0D"/>
          <w:sz w:val="28"/>
          <w:szCs w:val="28"/>
          <w:shd w:val="clear" w:color="auto" w:fill="FFFFFF"/>
        </w:rPr>
        <w:t>]</w:t>
      </w:r>
      <w:r w:rsidR="00293A56">
        <w:rPr>
          <w:rFonts w:ascii="Times New Roman" w:hAnsi="Times New Roman" w:cs="Times New Roman"/>
          <w:color w:val="0D0D0D"/>
          <w:sz w:val="28"/>
          <w:szCs w:val="28"/>
          <w:shd w:val="clear" w:color="auto" w:fill="FFFFFF"/>
        </w:rPr>
        <w:fldChar w:fldCharType="end"/>
      </w:r>
      <w:r w:rsidR="00EF679F" w:rsidRPr="00916B3A">
        <w:rPr>
          <w:rFonts w:ascii="Times New Roman" w:hAnsi="Times New Roman" w:cs="Times New Roman"/>
          <w:color w:val="0D0D0D"/>
          <w:sz w:val="28"/>
          <w:szCs w:val="28"/>
          <w:shd w:val="clear" w:color="auto" w:fill="FFFFFF"/>
        </w:rPr>
        <w:t>.</w:t>
      </w:r>
      <w:r w:rsidR="001A5C62" w:rsidRPr="00916B3A">
        <w:rPr>
          <w:rFonts w:ascii="Times New Roman" w:hAnsi="Times New Roman" w:cs="Times New Roman"/>
          <w:sz w:val="28"/>
          <w:szCs w:val="28"/>
        </w:rPr>
        <w:t xml:space="preserve"> </w:t>
      </w:r>
      <w:r w:rsidR="00601743" w:rsidRPr="00916B3A">
        <w:rPr>
          <w:rFonts w:ascii="Times New Roman" w:hAnsi="Times New Roman" w:cs="Times New Roman"/>
          <w:sz w:val="28"/>
          <w:szCs w:val="28"/>
        </w:rPr>
        <w:t xml:space="preserve">Репродуктивные потери вследствие самопроизвольного выкидыша или рецидива неудач имплантации в программах </w:t>
      </w:r>
      <w:r w:rsidR="00601743" w:rsidRPr="00916B3A">
        <w:rPr>
          <w:rFonts w:ascii="Times New Roman" w:eastAsia="Arial Unicode MS" w:hAnsi="Times New Roman" w:cs="Times New Roman"/>
          <w:color w:val="000000"/>
          <w:sz w:val="28"/>
          <w:szCs w:val="28"/>
          <w:u w:color="000000"/>
          <w:bdr w:val="nil"/>
        </w:rPr>
        <w:t xml:space="preserve">экстракорпорального оплодотворения (ЭКО), в две трети случаев связаны с </w:t>
      </w:r>
      <w:r w:rsidR="00601743" w:rsidRPr="00916B3A">
        <w:rPr>
          <w:rFonts w:ascii="Times New Roman" w:hAnsi="Times New Roman" w:cs="Times New Roman"/>
          <w:sz w:val="28"/>
          <w:szCs w:val="28"/>
        </w:rPr>
        <w:t xml:space="preserve">нарушением рецептивности эндометрия </w:t>
      </w:r>
      <w:r w:rsidR="00293A56">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{"citationItems":[{"id":"ITEM-1","itemData":{"DOI":"10.4103/0974-1208.178632","ISSN":"19984766","PMID":"27110071","abstract":"A thin endometrium is encountered infrequently (2.4%) in assisted reproductive technology cycles. When it does occur it is a cause of concern as it is associated with lower implantation rate and pregnancy rate. Though pregnancies have been reported at 4 and 5 mm it is apparent that an endometrial thickness &lt;6 mm is associated with a trend toward lower probability of pregnancy. Hormone replacement therapy - frozen embryo transfer (FET) cycles appear to give better results due to an improvement in endometrial receptivity (ER). The etiology of thin endometrium plays a significant part in its receptivity. A number of treatments have been tried to improve endometrial growth, but none has been validated so far. Confirming ER of a thin endometrium by an ER array test before FET offers reassurance.","author":[{"dropping-particle":"","family":"Mahajan","given":"Nalini","non-dropping-particle":"","parse-names":false,"suffix":""},{"dropping-particle":"","family":"Sharma","given":"S.","non-dropping-particle":"","parse-names":false,"suffix":""}],"container-title":"Journal of Human Reproductive Sciences","id":"ITEM-1","issue":"1","issued":{"date-parts":[["2016"]]},"page":"3-8","title":"The endometrium in assisted reproductive technology: How thin is thin?","type":"article-journal","volume":"9"},"uris":["http://www.mendeley.com/documents/?uuid=ff01b41b-f988-4542-b886-fede261b184f"]}],"mendeley":{"formattedCitation":"[3]","plainTextFormattedCitation":"[3]","previouslyFormattedCitation":"(3)"},"properties":{"noteIndex":0},"schema":"https://github.com/citation-style-language/schema/raw/master/csl-citation.json"}</w:instrText>
      </w:r>
      <w:r w:rsidR="00293A56">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w:t>
      </w:r>
      <w:r w:rsidR="00293A56">
        <w:rPr>
          <w:rFonts w:ascii="Times New Roman" w:hAnsi="Times New Roman" w:cs="Times New Roman"/>
          <w:sz w:val="28"/>
          <w:szCs w:val="28"/>
        </w:rPr>
        <w:fldChar w:fldCharType="end"/>
      </w:r>
      <w:r w:rsidR="00601743" w:rsidRPr="00916B3A">
        <w:rPr>
          <w:rFonts w:ascii="Times New Roman" w:hAnsi="Times New Roman" w:cs="Times New Roman"/>
          <w:color w:val="0D0D0D"/>
          <w:sz w:val="28"/>
          <w:szCs w:val="28"/>
          <w:shd w:val="clear" w:color="auto" w:fill="FFFFFF"/>
          <w:lang w:val="kk-KZ"/>
        </w:rPr>
        <w:t>.</w:t>
      </w:r>
    </w:p>
    <w:p w14:paraId="61ACFB1C" w14:textId="2FD88C28" w:rsidR="00601743" w:rsidRPr="00293A56" w:rsidRDefault="00601743" w:rsidP="00997125">
      <w:pPr>
        <w:widowControl w:val="0"/>
        <w:autoSpaceDE w:val="0"/>
        <w:autoSpaceDN w:val="0"/>
        <w:adjustRightInd w:val="0"/>
        <w:spacing w:after="0" w:line="240" w:lineRule="auto"/>
        <w:ind w:firstLine="567"/>
        <w:jc w:val="both"/>
        <w:rPr>
          <w:rFonts w:ascii="Times New Roman" w:hAnsi="Times New Roman" w:cs="Times New Roman"/>
          <w:color w:val="0D0D0D"/>
          <w:sz w:val="28"/>
          <w:szCs w:val="28"/>
          <w:shd w:val="clear" w:color="auto" w:fill="FFFFFF"/>
          <w:lang w:val="kk-KZ"/>
        </w:rPr>
      </w:pPr>
      <w:r w:rsidRPr="00916B3A">
        <w:rPr>
          <w:rFonts w:ascii="Times New Roman" w:hAnsi="Times New Roman" w:cs="Times New Roman"/>
          <w:sz w:val="28"/>
          <w:szCs w:val="28"/>
        </w:rPr>
        <w:t xml:space="preserve">Среди причин ранних репродуктивных потерь значительная роль отводится хроническому эндометриту, при котором происходит истончение эндометрия, нарушения рецептивности и гемодинамики сосудов матки, что приводит к нарушению процессов имплантации </w:t>
      </w:r>
      <w:r w:rsidR="00293A56">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{"citationItems":[{"id":"ITEM-1","itemData":{"DOI":"10.1016/S1472-6483(10)61039-5","ISSN":"14726483","PMID":"17169215","abstract":"Implantation processes are highly complex involving the actions of numerous hormones, immunoglobulins, cytokines and other factors in the endometrium. They are also essential matters for the success of assisted reproduction. The nature of early embryonic development is of equal significance. It involves ovarian follicle growth, ovulation, fertilization and preimplantation growth. These processes are affected by imbalanced chromosomal constitutions or slow developmental periods. Post-implantation death is also a significant factor in cases of placental insufficiency or recurrent abortion. Clearly, many of these matters can significantly affect birth rates. This review is concerned primarily with the oocyte, the early embryo and its chromosomal anomalies, and the nature of factors involved in implantation. These are clearly among the most important features in determining successful embryonic and fetal growth. Successive sections cover the endocrine stimulation of follicle growth in mice and humans, growth of human embryos in vitro, their apposition and attachment to the uterus, factors involved in embryo attachment to uterine epithelium and later stages of implantation, and understanding the gene control of polarities and other aspects of preimplantation embryo differentiation. New aspects of knowledge include the use of human oocyte maturation in vitro as an approach to simpler forms of IVF, and new concepts in developmental genetics.","author":[{"dropping-particle":"","family":"Edwards","given":"Robert G.","non-dropping-particle":"","parse-names":false,"suffix":""}],"container-title":"Reproductive BioMedicine Online","id":"ITEM-1","issue":"6","issued":{"date-parts":[["2006"]]},"page":"887-904","publisher":"Reproductive Healthcare Ltd, Duck End Farm, Dry Drayton, Cambridge CB23 8DB, UK","title":"Human implantation: The last barrier in assisted reproduction technologies?","type":"article-journal","volume":"13"},"uris":["http://www.mendeley.com/documents/?uuid=b66eb902-c5e6-4798-9b92-c0f015d6b479"]}],"mendeley":{"formattedCitation":"[5]","plainTextFormattedCitation":"[5]","previouslyFormattedCitation":"(5)"},"properties":{"noteIndex":0},"schema":"https://github.com/citation-style-language/schema/raw/master/csl-citation.json"}</w:instrText>
      </w:r>
      <w:r w:rsidR="00293A56">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w:t>
      </w:r>
      <w:r w:rsidR="003341C3" w:rsidRPr="00B8095C">
        <w:rPr>
          <w:rFonts w:ascii="Times New Roman" w:hAnsi="Times New Roman" w:cs="Times New Roman"/>
          <w:noProof/>
          <w:sz w:val="28"/>
          <w:szCs w:val="28"/>
        </w:rPr>
        <w:t>4</w:t>
      </w:r>
      <w:r w:rsidR="003341C3" w:rsidRPr="003341C3">
        <w:rPr>
          <w:rFonts w:ascii="Times New Roman" w:hAnsi="Times New Roman" w:cs="Times New Roman"/>
          <w:noProof/>
          <w:sz w:val="28"/>
          <w:szCs w:val="28"/>
        </w:rPr>
        <w:t>-</w:t>
      </w:r>
      <w:r w:rsidR="00355F98" w:rsidRPr="008C6800">
        <w:rPr>
          <w:rFonts w:ascii="Times New Roman" w:hAnsi="Times New Roman" w:cs="Times New Roman"/>
          <w:noProof/>
          <w:sz w:val="28"/>
          <w:szCs w:val="28"/>
        </w:rPr>
        <w:t>6</w:t>
      </w:r>
      <w:r w:rsidR="008C6800" w:rsidRPr="008C6800">
        <w:rPr>
          <w:rFonts w:ascii="Times New Roman" w:hAnsi="Times New Roman" w:cs="Times New Roman"/>
          <w:noProof/>
          <w:sz w:val="28"/>
          <w:szCs w:val="28"/>
        </w:rPr>
        <w:t>]</w:t>
      </w:r>
      <w:r w:rsidR="00293A56">
        <w:rPr>
          <w:rFonts w:ascii="Times New Roman" w:hAnsi="Times New Roman" w:cs="Times New Roman"/>
          <w:sz w:val="28"/>
          <w:szCs w:val="28"/>
        </w:rPr>
        <w:fldChar w:fldCharType="end"/>
      </w:r>
      <w:r w:rsidRPr="00916B3A">
        <w:rPr>
          <w:rFonts w:ascii="Times New Roman" w:hAnsi="Times New Roman" w:cs="Times New Roman"/>
          <w:color w:val="0D0D0D"/>
          <w:sz w:val="28"/>
          <w:szCs w:val="28"/>
          <w:shd w:val="clear" w:color="auto" w:fill="FFFFFF"/>
        </w:rPr>
        <w:t>.</w:t>
      </w:r>
      <w:r w:rsidRPr="00916B3A">
        <w:rPr>
          <w:rFonts w:ascii="Times New Roman" w:eastAsia="Arial Unicode MS" w:hAnsi="Times New Roman" w:cs="Times New Roman"/>
          <w:color w:val="000000"/>
          <w:sz w:val="28"/>
          <w:szCs w:val="28"/>
          <w:u w:color="000000"/>
          <w:bdr w:val="nil"/>
        </w:rPr>
        <w:t xml:space="preserve"> </w:t>
      </w:r>
      <w:r w:rsidRPr="00916B3A">
        <w:rPr>
          <w:rFonts w:ascii="Times New Roman" w:hAnsi="Times New Roman" w:cs="Times New Roman"/>
          <w:sz w:val="28"/>
          <w:szCs w:val="28"/>
          <w:lang w:val="kk-KZ"/>
        </w:rPr>
        <w:t>Выраженные отклонения морфологических, гемодинамических, ультраструктурных, иммунологических и молекулярно-генетических параметров, характеризующих нормальное прегравидарное состояние эндометрия, могут обусловливать снижение его рецептивности</w:t>
      </w:r>
      <w:r w:rsidR="00293A56">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{"citationItems":[{"id":"ITEM-1","itemData":{"DOI":"10.1093/humupd/dmu011","ISSN":"14602369","abstract":"Background: Thin endometrium on ultrasound in the course of ovarian hyperstimulation has been thought to be associated with poor success rates after IVF, even in the absence of prior intrauterine surgery or infection. To assess the clinical significance of endometrial thickness (EMT) for IVF outcome, we performed a systematic review and meta-analysis. Methods: The electronic databases Pubmed, Cochrane and Embase were searched up to October 2013 for articles that studied the association between EMT and IVF outcome. The articles had to be written in the English or Dutch language. Studies were included if two-by-two tables for EMT and pregnancy rates could be constructed. Study quality was scored using the Strengthening the Reporting of Observational Studies in Epidemiology (STROBE) checklist. Summary receiver operating characteristic (sROC) curves were estimated to assess the accuracy of EMT in the prediction of pregnancy. In addition, odds ratios (ORs) with 95% confidence intervals (CIs) were calculated using a Mantel-Haenszel random effect model expressing the association between EMT and pregnancy chances. Meta-regression was performed to determine if female age and number of oocytes at retrieval interacted in the estimated effect of EMT on IVF outcome. Results: A total of 1170 studies was retrieved by the search. The overall quality of the 22 studies included in the review and meta-analysis was moderate. The estimated sROC curve indicated a virtually absent discriminatory capacity of EMT in the prediction of pregnancy. A thin endometrium (≤7 mm) was observed in only 2.4% of the reported cases (260/10 724). In these cases a trend towards lower ongoing pregnancy and live birth rates for women with EMT ≤7 mm was observed [OR 0.38 (95% CI 0.09-1.5)]. The probability of clinical pregnancy for an EMT ≤7 mm was significantly lower compared with cases with EMT &gt; 7 mm [23.3% versus 48.1%, OR 0.42 (95% CI 0.27-0.67)]. Positive and negative predictive values for the outcome of clinical pregnancy 77 and 48%, respectively. The relationship between the number of oocytes and female age on the one hand and pregnancy on the other hand was very weak making correction for these variables unfeasible. Conclusions: Current data indicate that EMT has a limited capacity to identify women who have a low chance to conceive after IVF. The frequently reported cut-off of 7 mm is related to a lower chance of pregnancy, but occurs infrequently. The use of EMT as a tool to decide on …","author":[{"dropping-particle":"","family":"Kasius","given":"Annemieke","non-dropping-particle":"","parse-names":false,"suffix":""},{"dropping-particle":"","family":"Smit","given":"Janine G.","non-dropping-particle":"","parse-names":false,"suffix":""},{"dropping-particle":"","family":"Torrance","given":"Helen L.","non-dropping-particle":"","parse-names":false,"suffix":""},{"dropping-particle":"","family":"Eijkemans","given":"Marinus J.C.","non-dropping-particle":"","parse-names":false,"suffix":""},{"dropping-particle":"","family":"Mol","given":"Ben Willem","non-dropping-particle":"","parse-names":false,"suffix":""},{"dropping-particle":"","family":"Opmeer","given":"Brent C.","non-dropping-particle":"","parse-names":false,"suffix":""},{"dropping-particle":"","family":"Broekmans","given":"Frank J.M.","non-dropping-particle":"","parse-names":false,"suffix":""}],"container-title":"Human Reproduction Update","id":"ITEM-1","issue":"4","issued":{"date-parts":[["2014"]]},"page":"530-541","title":"Endometrial thickness and pregnancy rates after IVF: A systematic review and meta-analysis","type":"article-journal","volume":"20"},"uris":["http://www.mendeley.com/documents/?uuid=7638c948-18f4-34e3-b96c-ab5f50ca8d1d"]}],"mendeley":{"formattedCitation":"[7]","plainTextFormattedCitation":"[7]","previouslyFormattedCitation":"(7)"},"properties":{"noteIndex":0},"schema":"https://github.com/citation-style-language/schema/raw/master/csl-citation.json"}</w:instrText>
      </w:r>
      <w:r w:rsidR="00293A56">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[7</w:t>
      </w:r>
      <w:r w:rsidR="00355F98">
        <w:rPr>
          <w:rFonts w:ascii="Times New Roman" w:hAnsi="Times New Roman" w:cs="Times New Roman"/>
          <w:noProof/>
          <w:sz w:val="28"/>
          <w:szCs w:val="28"/>
          <w:lang w:val="kk-KZ"/>
        </w:rPr>
        <w:t>-</w:t>
      </w:r>
      <w:r w:rsidR="00355F98" w:rsidRPr="008C6800">
        <w:rPr>
          <w:rFonts w:ascii="Times New Roman" w:hAnsi="Times New Roman" w:cs="Times New Roman"/>
          <w:noProof/>
          <w:sz w:val="28"/>
          <w:szCs w:val="28"/>
          <w:lang w:val="kk-KZ"/>
        </w:rPr>
        <w:t>9</w:t>
      </w:r>
      <w:r w:rsidR="008C6800" w:rsidRPr="008C6800">
        <w:rPr>
          <w:rFonts w:ascii="Times New Roman" w:hAnsi="Times New Roman" w:cs="Times New Roman"/>
          <w:noProof/>
          <w:sz w:val="28"/>
          <w:szCs w:val="28"/>
          <w:lang w:val="kk-KZ"/>
        </w:rPr>
        <w:t>]</w:t>
      </w:r>
      <w:r w:rsidR="00293A56">
        <w:rPr>
          <w:rFonts w:ascii="Times New Roman" w:hAnsi="Times New Roman" w:cs="Times New Roman"/>
          <w:sz w:val="28"/>
          <w:szCs w:val="28"/>
          <w:lang w:val="kk-KZ"/>
        </w:rPr>
        <w:fldChar w:fldCharType="end"/>
      </w:r>
      <w:r w:rsidRPr="00293A56">
        <w:rPr>
          <w:rFonts w:ascii="Times New Roman" w:hAnsi="Times New Roman" w:cs="Times New Roman"/>
          <w:color w:val="0D0D0D"/>
          <w:sz w:val="28"/>
          <w:szCs w:val="28"/>
          <w:shd w:val="clear" w:color="auto" w:fill="FFFFFF"/>
          <w:lang w:val="kk-KZ"/>
        </w:rPr>
        <w:t xml:space="preserve">. </w:t>
      </w:r>
    </w:p>
    <w:p w14:paraId="1B85F79C" w14:textId="2BEE114B" w:rsidR="00C87F33" w:rsidRPr="007E3E67" w:rsidRDefault="00F20163" w:rsidP="007E3E67">
      <w:pPr>
        <w:widowControl w:val="0"/>
        <w:autoSpaceDE w:val="0"/>
        <w:autoSpaceDN w:val="0"/>
        <w:adjustRightInd w:val="0"/>
        <w:spacing w:after="0" w:line="240" w:lineRule="auto"/>
        <w:ind w:firstLine="567"/>
        <w:jc w:val="both"/>
        <w:rPr>
          <w:rFonts w:ascii="Times New Roman" w:hAnsi="Times New Roman" w:cs="Times New Roman"/>
          <w:color w:val="0D0D0D"/>
          <w:sz w:val="28"/>
          <w:szCs w:val="28"/>
          <w:shd w:val="clear" w:color="auto" w:fill="FFFFFF"/>
        </w:rPr>
      </w:pPr>
      <w:r w:rsidRPr="00916B3A">
        <w:rPr>
          <w:rFonts w:ascii="Times New Roman" w:hAnsi="Times New Roman" w:cs="Times New Roman"/>
          <w:sz w:val="28"/>
          <w:szCs w:val="28"/>
          <w:lang w:val="kk-KZ"/>
        </w:rPr>
        <w:t>Для прогнозирования имплантационной способности матки роль ультразвуковой диагностики возросла благодаря использованию ультрасонографической технологии высокого разрешения. В качестве неинвазивных маркеров рецептивности эндометрия предложены измерение толщины эндометрия, структуры эндометрия, цветная до</w:t>
      </w:r>
      <w:r w:rsidR="007E3E67">
        <w:rPr>
          <w:rFonts w:ascii="Times New Roman" w:hAnsi="Times New Roman" w:cs="Times New Roman"/>
          <w:sz w:val="28"/>
          <w:szCs w:val="28"/>
          <w:lang w:val="kk-KZ"/>
        </w:rPr>
        <w:t>пплерометрия и измерение объема</w:t>
      </w:r>
      <w:r w:rsidR="007E3E67" w:rsidRPr="007E3E67">
        <w:rPr>
          <w:rFonts w:ascii="Times New Roman" w:hAnsi="Times New Roman" w:cs="Times New Roman"/>
          <w:sz w:val="28"/>
          <w:szCs w:val="28"/>
        </w:rPr>
        <w:t xml:space="preserve">. </w:t>
      </w:r>
      <w:r w:rsidR="007E3E67" w:rsidRPr="00916B3A">
        <w:rPr>
          <w:rFonts w:ascii="Times New Roman" w:hAnsi="Times New Roman" w:cs="Times New Roman"/>
          <w:sz w:val="28"/>
          <w:szCs w:val="28"/>
        </w:rPr>
        <w:t xml:space="preserve">Патофизиологические особенности «тонкого» эндометрия состоят в недостаточном росте железистого эпителия, обеднении сосудов с высоким уровнем импеданса кровотока в сосудах матки, как следствие, нарушении экспрессии ряда регуляторных цитокинов, ростовых факторов иммунокомпетентными клетками, что в свою очередь, снижает имплантационную способность эмбрионов </w:t>
      </w:r>
      <w:r w:rsidR="007E3E67">
        <w:rPr>
          <w:rFonts w:ascii="Times New Roman" w:hAnsi="Times New Roman" w:cs="Times New Roman"/>
          <w:sz w:val="28"/>
          <w:szCs w:val="28"/>
        </w:rPr>
        <w:fldChar w:fldCharType="begin" w:fldLock="1"/>
      </w:r>
      <w:r w:rsidR="007E3E67">
        <w:rPr>
          <w:rFonts w:ascii="Times New Roman" w:hAnsi="Times New Roman" w:cs="Times New Roman"/>
          <w:sz w:val="28"/>
          <w:szCs w:val="28"/>
        </w:rPr>
        <w:instrText>ADDIN CSL_CITATION {"citationItems":[{"id":"ITEM-1","itemData":{"DOI":"10.1016/j.rbmo.2017.12.016","ISSN":"14726491","PMID":"29361452","abstract":"The evaluation of endometrial thickness (EMT) is still part of standard cycle monitoring during IVF, despite the lack of robust evidence of any value of this measurement to predict little revalidation in contemporary medical practice; other tools, however, such as endocrine profile monitoring, have become increasingly popular. The aim of this study was to reassess whether EMT affects the outcome of a fresh embryo transfer in modern-day medicine, using a retrospective, single-centre cohort of 3350 IVF cycles (2827 women) carried out between 2010 and 2014. In the multivariate regression analysis, EMT was non-linearly associated with live birth, with live birth rates being the lowest with an EMT less than 7.0 mm (21.6%; P &lt; 0.001) and then between 7.0 mm and 9.0 mm (30.2%; P = 0.008). An EMT less than 7.0 mm was also associated with a decrease in neonatal birthweight z-scores (−0.40; 95% CI −0.69 to −0.12). In conclusion, these results reaffirm the use of EMT as a potential prognostic tool for live birth rates and neonatal birthweight in contemporary IVF, namely when considered together with other ovarian stimulation monitoring methods, such as the late-follicular endocrine profile.","author":[{"dropping-particle":"","family":"Ribeiro","given":"Vânia Costa","non-dropping-particle":"","parse-names":false,"suffix":""},{"dropping-particle":"","family":"Santos-Ribeiro","given":"Samuel","non-dropping-particle":"","parse-names":false,"suffix":""},{"dropping-particle":"","family":"Munck","given":"Neelke","non-dropping-particle":"De","parse-names":false,"suffix":""},{"dropping-particle":"","family":"Drakopoulos","given":"Panagiotis","non-dropping-particle":"","parse-names":false,"suffix":""},{"dropping-particle":"","family":"Polyzos","given":"Nikolaos P.","non-dropping-particle":"","parse-names":false,"suffix":""},{"dropping-particle":"","family":"Schutyser","given":"Valerie","non-dropping-particle":"","parse-names":false,"suffix":""},{"dropping-particle":"","family":"Verheyen","given":"Greta","non-dropping-particle":"","parse-names":false,"suffix":""},{"dropping-particle":"","family":"Tournaye","given":"Herman","non-dropping-particle":"","parse-names":false,"suffix":""},{"dropping-particle":"","family":"Blockeel","given":"Christophe","non-dropping-particle":"","parse-names":false,"suffix":""}],"container-title":"Reproductive BioMedicine Online","id":"ITEM-1","issue":"4","issued":{"date-parts":[["2018"]]},"page":"416-426","publisher":"Elsevier Ltd","title":"Should we continue to measure endometrial thickness in modern-day medicine? The effect on live birth rates and birth weight","type":"article-journal","volume":"36"},"uris":["http://www.mendeley.com/documents/?uuid=1bea1569-9b2f-4bcf-9317-ab191ec49a3f"]}],"mendeley":{"formattedCitation":"[10]","plainTextFormattedCitation":"[10]","previouslyFormattedCitation":"(10)"},"properties":{"noteIndex":0},"schema":"https://github.com/citation-style-language/schema/raw/master/csl-citation.json"}</w:instrText>
      </w:r>
      <w:r w:rsidR="007E3E67">
        <w:rPr>
          <w:rFonts w:ascii="Times New Roman" w:hAnsi="Times New Roman" w:cs="Times New Roman"/>
          <w:sz w:val="28"/>
          <w:szCs w:val="28"/>
        </w:rPr>
        <w:fldChar w:fldCharType="separate"/>
      </w:r>
      <w:r w:rsidR="007E3E67" w:rsidRPr="008C6800">
        <w:rPr>
          <w:rFonts w:ascii="Times New Roman" w:hAnsi="Times New Roman" w:cs="Times New Roman"/>
          <w:noProof/>
          <w:sz w:val="28"/>
          <w:szCs w:val="28"/>
        </w:rPr>
        <w:t>[10]</w:t>
      </w:r>
      <w:r w:rsidR="007E3E67">
        <w:rPr>
          <w:rFonts w:ascii="Times New Roman" w:hAnsi="Times New Roman" w:cs="Times New Roman"/>
          <w:sz w:val="28"/>
          <w:szCs w:val="28"/>
        </w:rPr>
        <w:fldChar w:fldCharType="end"/>
      </w:r>
      <w:r w:rsidRPr="00916B3A">
        <w:rPr>
          <w:rFonts w:ascii="Times New Roman" w:hAnsi="Times New Roman" w:cs="Times New Roman"/>
          <w:color w:val="0D0D0D"/>
          <w:sz w:val="28"/>
          <w:szCs w:val="28"/>
          <w:shd w:val="clear" w:color="auto" w:fill="FFFFFF"/>
        </w:rPr>
        <w:t xml:space="preserve">. </w:t>
      </w:r>
      <w:r w:rsidR="00097BF3" w:rsidRPr="00916B3A">
        <w:rPr>
          <w:rFonts w:ascii="Times New Roman" w:hAnsi="Times New Roman" w:cs="Times New Roman"/>
          <w:sz w:val="28"/>
          <w:szCs w:val="28"/>
        </w:rPr>
        <w:t>Принято считать, что толщина эндометрия в период предполагаемого «имплантационного окна» менее 7 мм дает минимальные шансы на продуктивное зачатие. В настоящее время под понятием «тонкого» эндометрия подразумевается эндометрий с толщиной менее 7 мм к моменту завершения естественной и искусственной (при применении индукторов фолликулогенеза) или имитируемой фолликулярной фазы</w:t>
      </w:r>
      <w:r w:rsidR="002F588F">
        <w:rPr>
          <w:rFonts w:ascii="Times New Roman" w:hAnsi="Times New Roman" w:cs="Times New Roman"/>
          <w:sz w:val="28"/>
          <w:szCs w:val="28"/>
        </w:rPr>
        <w:fldChar w:fldCharType="begin" w:fldLock="1"/>
      </w:r>
      <w:r w:rsidR="002F588F">
        <w:rPr>
          <w:rFonts w:ascii="Times New Roman" w:hAnsi="Times New Roman" w:cs="Times New Roman"/>
          <w:sz w:val="28"/>
          <w:szCs w:val="28"/>
        </w:rPr>
        <w:instrText>ADDIN CSL_CITATION {"citationItems":[{"id":"ITEM-1","itemData":{"DOI":"10.4103/0974-1208.178632","ISSN":"19984766","PMID":"27110071","abstract":"A thin endometrium is encountered infrequently (2.4%) in assisted reproductive technology cycles. When it does occur it is a cause of concern as it is associated with lower implantation rate and pregnancy rate. Though pregnancies have been reported at 4 and 5 mm it is apparent that an endometrial thickness &lt;6 mm is associated with a trend toward lower probability of pregnancy. Hormone replacement therapy - frozen embryo transfer (FET) cycles appear to give better results due to an improvement in endometrial receptivity (ER). The etiology of thin endometrium plays a significant part in its receptivity. A number of treatments have been tried to improve endometrial growth, but none has been validated so far. Confirming ER of a thin endometrium by an ER array test before FET offers reassurance.","author":[{"dropping-particle":"","family":"Mahajan","given":"Nalini","non-dropping-particle":"","parse-names":false,"suffix":""},{"dropping-particle":"","family":"Sharma","given":"S.","non-dropping-particle":"","parse-names":false,"suffix":""}],"container-title":"Journal of Human Reproductive Sciences","id":"ITEM-1","issue":"1","issued":{"date-parts":[["2016"]]},"page":"3-8","title":"The endometrium in assisted reproductive technology: How thin is thin?","type":"article-journal","volume":"9"},"uris":["http://www.mendeley.com/documents/?uuid=ff01b41b-f988-4542-b886-fede261b184f"]}],"mendeley":{"formattedCitation":"[3]","manualFormatting":"[3, с.7]","plainTextFormattedCitation":"[3]","previouslyFormattedCitation":"(3)"},"properties":{"noteIndex":0},"schema":"https://github.com/citation-style-language/schema/raw/master/csl-citation.json"}</w:instrText>
      </w:r>
      <w:r w:rsidR="002F588F">
        <w:rPr>
          <w:rFonts w:ascii="Times New Roman" w:hAnsi="Times New Roman" w:cs="Times New Roman"/>
          <w:sz w:val="28"/>
          <w:szCs w:val="28"/>
        </w:rPr>
        <w:fldChar w:fldCharType="separate"/>
      </w:r>
      <w:r w:rsidR="002F588F" w:rsidRPr="008C6800">
        <w:rPr>
          <w:rFonts w:ascii="Times New Roman" w:hAnsi="Times New Roman" w:cs="Times New Roman"/>
          <w:noProof/>
          <w:sz w:val="28"/>
          <w:szCs w:val="28"/>
        </w:rPr>
        <w:t>[3</w:t>
      </w:r>
      <w:r w:rsidR="002F588F">
        <w:rPr>
          <w:rFonts w:ascii="Times New Roman" w:hAnsi="Times New Roman" w:cs="Times New Roman"/>
          <w:noProof/>
          <w:sz w:val="28"/>
          <w:szCs w:val="28"/>
        </w:rPr>
        <w:t>, с.7</w:t>
      </w:r>
      <w:r w:rsidR="002F588F" w:rsidRPr="008C6800">
        <w:rPr>
          <w:rFonts w:ascii="Times New Roman" w:hAnsi="Times New Roman" w:cs="Times New Roman"/>
          <w:noProof/>
          <w:sz w:val="28"/>
          <w:szCs w:val="28"/>
        </w:rPr>
        <w:t>]</w:t>
      </w:r>
      <w:r w:rsidR="002F588F">
        <w:rPr>
          <w:rFonts w:ascii="Times New Roman" w:hAnsi="Times New Roman" w:cs="Times New Roman"/>
          <w:sz w:val="28"/>
          <w:szCs w:val="28"/>
        </w:rPr>
        <w:fldChar w:fldCharType="end"/>
      </w:r>
      <w:r w:rsidRPr="00916B3A">
        <w:rPr>
          <w:rFonts w:ascii="Times New Roman" w:hAnsi="Times New Roman" w:cs="Times New Roman"/>
          <w:color w:val="0D0D0D"/>
          <w:sz w:val="28"/>
          <w:szCs w:val="28"/>
          <w:shd w:val="clear" w:color="auto" w:fill="FFFFFF"/>
        </w:rPr>
        <w:t xml:space="preserve">. </w:t>
      </w:r>
      <w:r w:rsidR="00097BF3" w:rsidRPr="00916B3A">
        <w:rPr>
          <w:rFonts w:ascii="Times New Roman" w:hAnsi="Times New Roman" w:cs="Times New Roman"/>
          <w:sz w:val="28"/>
          <w:szCs w:val="28"/>
        </w:rPr>
        <w:t>Однако, есть сообщения об успешной имплантации с минимальными пороговыми значениями эндометрия 4-5 мм и 6 мм, демонстрирующие, что «тонкий» эндометрий не обязательно исключает вероятность наступления беременности. Тем не менее, вероятность клинической беременности при толщине эндометрия ≤ 7 мм была значительно ниже по сравнению со случаями толщины эндометрия &gt; 7 мм (</w:t>
      </w:r>
      <w:r w:rsidR="00C1581F" w:rsidRPr="00916B3A">
        <w:rPr>
          <w:rFonts w:ascii="Times New Roman" w:hAnsi="Times New Roman" w:cs="Times New Roman"/>
          <w:sz w:val="28"/>
          <w:szCs w:val="28"/>
        </w:rPr>
        <w:t>23,3 и 48,1% соответственно)</w:t>
      </w:r>
      <w:r w:rsidR="00F74A0D">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{"citationItems":[{"id":"ITEM-1","itemData":{"DOI":"10.1093/humupd/dmu011","ISSN":"14602369","abstract":"Background: Thin endometrium on ultrasound in the course of ovarian hyperstimulation has been thought to be associated with poor success rates after IVF, even in the absence of prior intrauterine surgery or infection. To assess the clinical significance of endometrial thickness (EMT) for IVF outcome, we performed a systematic review and meta-analysis. Methods: The electronic databases Pubmed, Cochrane and Embase were searched up to October 2013 for articles that studied the association between EMT and IVF outcome. The articles had to be written in the English or Dutch language. Studies were included if two-by-two tables for EMT and pregnancy rates could be constructed. Study quality was scored using the Strengthening the Reporting of Observational Studies in Epidemiology (STROBE) checklist. Summary receiver operating characteristic (sROC) curves were estimated to assess the accuracy of EMT in the prediction of pregnancy. In addition, odds ratios (ORs) with 95% confidence intervals (CIs) were calculated using a Mantel-Haenszel random effect model expressing the association between EMT and pregnancy chances. Meta-regression was performed to determine if female age and number of oocytes at retrieval interacted in the estimated effect of EMT on IVF outcome. Results: A total of 1170 studies was retrieved by the search. The overall quality of the 22 studies included in the review and meta-analysis was moderate. The estimated sROC curve indicated a virtually absent discriminatory capacity of EMT in the prediction of pregnancy. A thin endometrium (≤7 mm) was observed in only 2.4% of the reported cases (260/10 724). In these cases a trend towards lower ongoing pregnancy and live birth rates for women with EMT ≤7 mm was observed [OR 0.38 (95% CI 0.09-1.5)]. The probability of clinical pregnancy for an EMT ≤7 mm was significantly lower compared with cases with EMT &gt; 7 mm [23.3% versus 48.1%, OR 0.42 (95% CI 0.27-0.67)]. Positive and negative predictive values for the outcome of clinical pregnancy 77 and 48%, respectively. The relationship between the number of oocytes and female age on the one hand and pregnancy on the other hand was very weak making correction for these variables unfeasible. Conclusions: Current data indicate that EMT has a limited capacity to identify women who have a low chance to conceive after IVF. The frequently reported cut-off of 7 mm is related to a lower chance of pregnancy, but occurs infrequently. The use of EMT as a tool to decide on …","author":[{"dropping-particle":"","family":"Kasius","given":"Annemieke","non-dropping-particle":"","parse-names":false,"suffix":""},{"dropping-particle":"","family":"Smit","given":"Janine G.","non-dropping-particle":"","parse-names":false,"suffix":""},{"dropping-particle":"","family":"Torrance","given":"Helen L.","non-dropping-particle":"","parse-names":false,"suffix":""},{"dropping-particle":"","family":"Eijkemans","given":"Marinus J.C.","non-dropping-particle":"","parse-names":false,"suffix":""},{"dropping-particle":"","family":"Mol","given":"Ben Willem","non-dropping-particle":"","parse-names":false,"suffix":""},{"dropping-particle":"","family":"Opmeer","given":"Brent C.","non-dropping-particle":"","parse-names":false,"suffix":""},{"dropping-particle":"","family":"Broekmans","given":"Frank J.M.","non-dropping-particle":"","parse-names":false,"suffix":""}],"container-title":"Human Reproduction Update","id":"ITEM-1","issue":"4","issued":{"date-parts":[["2014"]]},"page":"530-541","title":"Endometrial thickness and pregnancy rates after IVF: A systematic review and meta-analysis","type":"article-journal","volume":"20"},"uris":["http://www.mendeley.com/documents/?uuid=7638c948-18f4-34e3-b96c-ab5f50ca8d1d"]}],"mendeley":{"formattedCitation":"[7]","plainTextFormattedCitation":"[7]","previouslyFormattedCitation":"(7)"},"properties":{"noteIndex":0},"schema":"https://github.com/citation-style-language/schema/raw/master/csl-citation.json"}</w:instrText>
      </w:r>
      <w:r w:rsidR="00F74A0D">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[7</w:t>
      </w:r>
      <w:r w:rsidR="002F588F">
        <w:rPr>
          <w:rFonts w:ascii="Times New Roman" w:hAnsi="Times New Roman" w:cs="Times New Roman"/>
          <w:noProof/>
          <w:sz w:val="28"/>
          <w:szCs w:val="28"/>
        </w:rPr>
        <w:t>, с. 6</w:t>
      </w:r>
      <w:r w:rsidR="008C6800" w:rsidRPr="008C6800">
        <w:rPr>
          <w:rFonts w:ascii="Times New Roman" w:hAnsi="Times New Roman" w:cs="Times New Roman"/>
          <w:noProof/>
          <w:sz w:val="28"/>
          <w:szCs w:val="28"/>
        </w:rPr>
        <w:t>]</w:t>
      </w:r>
      <w:r w:rsidR="00F74A0D">
        <w:rPr>
          <w:rFonts w:ascii="Times New Roman" w:hAnsi="Times New Roman" w:cs="Times New Roman"/>
          <w:sz w:val="28"/>
          <w:szCs w:val="28"/>
        </w:rPr>
        <w:fldChar w:fldCharType="end"/>
      </w:r>
      <w:r w:rsidRPr="00916B3A">
        <w:rPr>
          <w:rFonts w:ascii="Times New Roman" w:hAnsi="Times New Roman" w:cs="Times New Roman"/>
          <w:color w:val="0D0D0D"/>
          <w:sz w:val="28"/>
          <w:szCs w:val="28"/>
          <w:shd w:val="clear" w:color="auto" w:fill="FFFFFF"/>
        </w:rPr>
        <w:t>.</w:t>
      </w:r>
      <w:r w:rsidR="00C20214" w:rsidRPr="00916B3A">
        <w:rPr>
          <w:rFonts w:ascii="Times New Roman" w:hAnsi="Times New Roman" w:cs="Times New Roman"/>
          <w:sz w:val="28"/>
          <w:szCs w:val="28"/>
        </w:rPr>
        <w:t xml:space="preserve"> </w:t>
      </w:r>
    </w:p>
    <w:p w14:paraId="6E8338DE" w14:textId="3B249942" w:rsidR="00097BF3" w:rsidRPr="00916B3A" w:rsidRDefault="00097BF3" w:rsidP="00997125">
      <w:pPr>
        <w:pStyle w:val="afa"/>
        <w:ind w:firstLine="567"/>
        <w:jc w:val="both"/>
        <w:rPr>
          <w:rFonts w:ascii="Times New Roman" w:hAnsi="Times New Roman" w:cs="Times New Roman"/>
          <w:sz w:val="28"/>
          <w:szCs w:val="28"/>
        </w:rPr>
      </w:pPr>
      <w:r w:rsidRPr="00916B3A">
        <w:rPr>
          <w:rFonts w:ascii="Times New Roman" w:hAnsi="Times New Roman" w:cs="Times New Roman"/>
          <w:sz w:val="28"/>
          <w:szCs w:val="28"/>
        </w:rPr>
        <w:t>Факторы роста и цитокины имеют способность связываться со специфическими рецепторами клеточных поверхностей и выступать в качестве потенциальных внутриклеточных сигналов, регулирующи</w:t>
      </w:r>
      <w:r w:rsidR="006A4829" w:rsidRPr="00916B3A">
        <w:rPr>
          <w:rFonts w:ascii="Times New Roman" w:hAnsi="Times New Roman" w:cs="Times New Roman"/>
          <w:sz w:val="28"/>
          <w:szCs w:val="28"/>
        </w:rPr>
        <w:t>е</w:t>
      </w:r>
      <w:r w:rsidRPr="00916B3A">
        <w:rPr>
          <w:rFonts w:ascii="Times New Roman" w:hAnsi="Times New Roman" w:cs="Times New Roman"/>
          <w:sz w:val="28"/>
          <w:szCs w:val="28"/>
        </w:rPr>
        <w:t xml:space="preserve"> функции клеток эндометрия</w:t>
      </w:r>
      <w:r w:rsidR="00F74A0D">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{"citationItems":[{"id":"ITEM-1","itemData":{"DOI":"10.1093/hropen/hoz024","ISBN":"0000000272","abstract":"STUDY QUESTION What is, in couples with unexplained subfertility undergoing IUI, the impact of gonadotrophins compared to clomiphene citrate (CC) on endometrial thickness (EMT) in relation to ongoing pregnancy? SUMMARY ANSWER In women with unexplained subfertility undergoing IUI with ovarian stimulation, gonadotrophins lead to a thicker endometrium compared to CC, but this does not affect ongoing pregnancy rates. WHAT IS KNOWN ALREADY A systematic review and meta-analysis among couples with unexplained subfertility undergoing IUI with ovarian stimulation showed that women who conceived had, on average, a thicker endometrium than women who did not conceive, but this evidence is not robust due to a high level of heterogeneity. There was insufficient data to draw any conclusions on EMT and the effect on pregnancy outcomes. STUDY DESIGN SIZE DURATION We performed a secondary analysis of a multicentre randomized controlled superiority trial in couples with unexplained subfertility undergoing IUI with adherence to strict cancellation criteria. In total, 738 couples recruited between July 2013 and March 2016 were allocated to ovarian stimulation with gonadotrophins (n = 369) or with CC (n = 369) for a maximum of four IUI cycles. According to local protocol, recombinant FSH, urinary FSH or hMG was used. Natural conceptions and cancelled cycles were removed from this secondary analysis, as they do not provide any information on pregnancy in relation to stimulation after IUI. Ongoing pregnancy was defined as a positive heartbeat at or beyond 12 weeks of gestation. PARTICIPANTS/MATERIALS SETTING METHODS We first determined the difference in EMT between women randomized to gonadotrophins (75 IU) and CC (100 mg) over all cycles using a linear mixed model. We then investigated the association between EMT and ongoing pregnancy after IUI using a logistic regression model, adjusted for the allocated drug, number of dominant follicles, female age, BMI, duration of subfertility, primary or secondary subfertility, referral status, smoking status, cycle number and total motile sperm count. To conclude, we investigated the association between EMT and ongoing pregnancy by logistic regression separately in women allocated to gonadotrophins and in women allocated to CC. MAIN RESULTS AND THE ROLE OF CHANCE A total of 666 couples underwent 1968 IUI cycles. Of these, 330 couples were allocated to gonadotrophins, of which 85 conceived leading to ongoing pregnancy (rate per cycle 8.…","author":[{"dropping-particle":"","family":"Danhof","given":"N A","non-dropping-particle":"","parse-names":false,"suffix":""},{"dropping-particle":"","family":"Eekelen","given":"R","non-dropping-particle":"van","parse-names":false,"suffix":""},{"dropping-particle":"","family":"Repping","given":"S","non-dropping-particle":"","parse-names":false,"suffix":""},{"dropping-particle":"","family":"Mol","given":"B W J","non-dropping-particle":"","parse-names":false,"suffix":""},{"dropping-particle":"","family":"Veen","given":"F","non-dropping-particle":"van der","parse-names":false,"suffix":""},{"dropping-particle":"","family":"Wely","given":"M","non-dropping-particle":"van","parse-names":false,"suffix":""},{"dropping-particle":"","family":"Mochtar","given":"M H","non-dropping-particle":"","parse-names":false,"suffix":""},{"dropping-particle":"","family":"Koks","given":"Carolien","non-dropping-particle":"","parse-names":false,"suffix":""},{"dropping-particle":"","family":"Gianotten","given":"J","non-dropping-particle":"","parse-names":false,"suffix":""},{"dropping-particle":"","family":"Peter de Bruin","given":"Jan","non-dropping-particle":"","parse-names":false,"suffix":""},{"dropping-particle":"","family":"Cohlen","given":"B J","non-dropping-particle":"","parse-names":false,"suffix":""},{"dropping-particle":"","family":"Ham","given":"D P","non-dropping-particle":"van der","parse-names":false,"suffix":""},{"dropping-particle":"","family":"Klijn","given":"N","non-dropping-particle":"","parse-names":false,"suffix":""},{"dropping-particle":"","family":"Hooff","given":"M H A","non-dropping-particle":"van","parse-names":false,"suffix":""},{"dropping-particle":"","family":"Broekmans","given":"F J M","non-dropping-particle":"","parse-names":false,"suffix":""},{"dropping-particle":"","family":"Fleischer","given":"K","non-dropping-particle":"","parse-names":false,"suffix":""},{"dropping-particle":"","family":"Janssen","given":"C A H","non-dropping-particle":"","parse-names":false,"suffix":""},{"dropping-particle":"","family":"Rijn -van Weert","given":"J M","non-dropping-particle":"","parse-names":false,"suffix":""},{"dropping-particle":"","family":"Disseldorp","given":"J","non-dropping-particle":"van","parse-names":false,"suffix":""},{"dropping-particle":"","family":"Twisk","given":"M","non-dropping-particle":"","parse-names":false,"suffix":""},{"dropping-particle":"","family":"Traas","given":"M A F","non-dropping-particle":"","parse-names":false,"suffix":""},{"dropping-particle":"","family":"Verberg","given":"M F G","non-dropping-particle":"","parse-names":false,"suffix":""},{"dropping-particle":"","family":"Pelinck","given":"M J","non-dropping-particle":"","parse-names":false,"suffix":""},{"dropping-particle":"","family":"Visser","given":"J","non-dropping-particle":"","parse-names":false,"suffix":""},{"dropping-particle":"","family":"Perquin","given":"D A M","non-dropping-particle":"","parse-names":false,"suffix":""},{"dropping-particle":"","family":"Boks","given":"D E S","non-dropping-particle":"","parse-names":false,"suffix":""},{"dropping-particle":"","family":"Verhoeve","given":"H R","non-dropping-particle":"","parse-names":false,"suffix":""},{"dropping-particle":"","family":"Heteren","given":"C F","non-dropping-particle":"van","parse-names":false,"suffix":""},{"dropping-particle":"","family":"Sluijmer","given":"A","non-dropping-particle":"","parse-names":false,"suffix":""}],"container-title":"Human Reproduction Open","id":"ITEM-1","issue":"1","issued":{"date-parts":[["2020"]]},"page":"1-6","title":"Endometrial thickness as a biomarker for ongoing pregnancy in IUI for unexplained subfertility: a secondary analysis","type":"article-journal","volume":"2020"},"uris":["http://www.mendeley.com/documents/?uuid=e042277d-4257-418b-9d59-a3c2143fa6df"]}],"mendeley":{"formattedCitation":"[11]","plainTextFormattedCitation":"[11]","previouslyFormattedCitation":"(11)"},"properties":{"noteIndex":0},"schema":"https://github.com/citation-style-language/schema/raw/master/csl-citation.json"}</w:instrText>
      </w:r>
      <w:r w:rsidR="00F74A0D">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[11]</w:t>
      </w:r>
      <w:r w:rsidR="00F74A0D">
        <w:rPr>
          <w:rFonts w:ascii="Times New Roman" w:hAnsi="Times New Roman" w:cs="Times New Roman"/>
          <w:sz w:val="28"/>
          <w:szCs w:val="28"/>
        </w:rPr>
        <w:fldChar w:fldCharType="end"/>
      </w:r>
      <w:r w:rsidR="00F20163" w:rsidRPr="00916B3A">
        <w:rPr>
          <w:rFonts w:ascii="Times New Roman" w:hAnsi="Times New Roman" w:cs="Times New Roman"/>
          <w:color w:val="0D0D0D"/>
          <w:sz w:val="28"/>
          <w:szCs w:val="28"/>
          <w:shd w:val="clear" w:color="auto" w:fill="FFFFFF"/>
        </w:rPr>
        <w:t xml:space="preserve">. </w:t>
      </w:r>
      <w:r w:rsidRPr="00916B3A">
        <w:rPr>
          <w:rFonts w:ascii="Times New Roman" w:hAnsi="Times New Roman" w:cs="Times New Roman"/>
          <w:sz w:val="28"/>
          <w:szCs w:val="28"/>
        </w:rPr>
        <w:t xml:space="preserve"> Достижения в области рецептивности эндометрия в отношении протеомики, эпигенетики, микроматрицы ДНК для мРНК и микроРНК, а также фенотипирования иммунокомпетентных клеток, могут обеспечить потенциал для открытия новых биомаркеров рецептивности эндометрия </w:t>
      </w:r>
      <w:r w:rsidR="00F74A0D">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{"citationItems":[{"id":"ITEM-1","itemData":{"DOI":"10.1007/s11033-021-06502-x","ISBN":"0123456789","ISSN":"15734978","PMID":"34216338","abstract":"Recurrent implantation failure (RIF) is diagnosed when good-quality embryos repeatedly fail to implant after transfer in several in vitro fertilization (IVF) treatment cycles. Different expression profiles in maternal mRNAs could be referring to many diseases including RIF. This study aimed to reveal significantly dysregulated selected genes expression between healthy fertile women and RIF patients in the implantation window days of the natural menstrual cycle. MME, WWC1, TNC, and FOXP3 genes were chosen as target genes regarding their possible relations with the implantation process. Pathways with these genes were identified and the relationship between these pathways and RIF was investigated. In this study, the endometrial biopsy samples were collected in the secretory phase (cycle day 20–24) of the menstrual cycle from RIF patients (n = 34) and healthy fertile controls (n = 34). After “Pathway and network-oriented GWAS analysis” (PANOGA) and “Kyoto Encyclopedia of Genes and Genomes” (KEGG) pathway analysis; “Membrane Metalloendopeptidase” (MME), “WW and C2 Domain Containing 1” (WWC1), “Tenascin C” (TNC) and “Forkhead Box P3” (FOXP3) genes were chosen as target genes by regarding their possible relation with implantation process. Detection of differences in mRNA expressions between the control group and RIF patients has been performed with the droplet digital PCR (ddPCR) method. Results of the study showed that MME and WWC1 genes expression levels are significantly (p &lt; 0,05) up-regulated 4.9 and 5.2 times respectively and TNC gene expression level is significantly (p &lt; 0,05) down-regulated 9 times in the RIF samples compared to the control group. However, no statistically significant difference was observed between the patient group and the control group in the expression of the FOXP3 gene (p &lt; 0.05). Changes are observed in the expression of the renin-angiotensin system pathway in which the MME gene is involved in the implantation process. The increase in MME gene expression can be speculated to cause implantation failure by restricting the invasion of trophoblast cells. Increasing WWC1 gene expression in the Hippo signaling pathway inhibits “Yes-associated protein 1” (YAP) expression, which is a transcriptional cofactor. Inhibition of YAP protein expression may impair the implantation process by causing the failure of endometrial decidualization. The TNC gene is located in the focal adhesion pathway and this pathway reduces cell adhesion on the end…","author":[{"dropping-particle":"","family":"Albayrak","given":"İrem Gülfem","non-dropping-particle":"","parse-names":false,"suffix":""},{"dropping-particle":"","family":"Azhari","given":"Fatemeh","non-dropping-particle":"","parse-names":false,"suffix":""},{"dropping-particle":"","family":"Çolak","given":"Ezgi Nur","non-dropping-particle":"","parse-names":false,"suffix":""},{"dropping-particle":"","family":"Balcı","given":"Burçin Karamustafaoğlu","non-dropping-particle":"","parse-names":false,"suffix":""},{"dropping-particle":"","family":"Ülgen","given":"Ege","non-dropping-particle":"","parse-names":false,"suffix":""},{"dropping-particle":"","family":"Sezerman","given":"Uğur","non-dropping-particle":"","parse-names":false,"suffix":""},{"dropping-particle":"","family":"Baştu","given":"Ercan","non-dropping-particle":"","parse-names":false,"suffix":""},{"dropping-particle":"","family":"Günel","given":"Tuba","non-dropping-particle":"","parse-names":false,"suffix":""}],"container-title":"Molecular Biology Reports","id":"ITEM-1","issue":"6","issued":{"date-parts":[["2021"]]},"page":"5075-5082","title":"Endometrial gene expression profiling of recurrent implantation failure after in vitro fertilization","type":"article-journal","volume":"48"},"uris":["http://www.mendeley.com/documents/?uuid=9b0bb8ac-64c0-47c8-80be-29327547cbc2"]}],"mendeley":{"formattedCitation":"[12]","plainTextFormattedCitation":"[12]","previouslyFormattedCitation":"(12)"},"properties":{"noteIndex":0},"schema":"https://github.com/citation-style-language/schema/raw/master/csl-citation.json"}</w:instrText>
      </w:r>
      <w:r w:rsidR="00F74A0D">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[12]</w:t>
      </w:r>
      <w:r w:rsidR="00F74A0D">
        <w:rPr>
          <w:rFonts w:ascii="Times New Roman" w:hAnsi="Times New Roman" w:cs="Times New Roman"/>
          <w:sz w:val="28"/>
          <w:szCs w:val="28"/>
        </w:rPr>
        <w:fldChar w:fldCharType="end"/>
      </w:r>
      <w:r w:rsidR="00F20163" w:rsidRPr="00916B3A">
        <w:rPr>
          <w:rFonts w:ascii="Times New Roman" w:hAnsi="Times New Roman" w:cs="Times New Roman"/>
          <w:color w:val="0D0D0D"/>
          <w:sz w:val="28"/>
          <w:szCs w:val="28"/>
          <w:shd w:val="clear" w:color="auto" w:fill="FFFFFF"/>
        </w:rPr>
        <w:t>.</w:t>
      </w:r>
    </w:p>
    <w:p w14:paraId="28ED282B" w14:textId="373CBC16" w:rsidR="00C87F33" w:rsidRPr="00916B3A" w:rsidRDefault="00097BF3" w:rsidP="00997125">
      <w:pPr>
        <w:pStyle w:val="x-text-2"/>
        <w:shd w:val="clear" w:color="auto" w:fill="FFFFFF"/>
        <w:spacing w:before="0" w:beforeAutospacing="0" w:after="0" w:afterAutospacing="0"/>
        <w:ind w:firstLine="567"/>
        <w:jc w:val="both"/>
        <w:rPr>
          <w:sz w:val="28"/>
          <w:szCs w:val="28"/>
        </w:rPr>
      </w:pPr>
      <w:r w:rsidRPr="00916B3A">
        <w:rPr>
          <w:sz w:val="28"/>
          <w:szCs w:val="28"/>
        </w:rPr>
        <w:t>Перспективными методами молекулярной диагностики репродуктивных нарушений является изучение гено- и фенотипа маркеров иммунного ответа. Изучение генов иммунного ответа, участвующих в образовании цитокинов и хемокинов, секреции, передачи сигналов интерлейкина и факторов транскрипции при дифференцировке и созревании клеток, будет иметь основополагающее значение для понимания диагностики патологических состояний при хроническом эндометрите и синдроме «тонкого» эндометрия»</w:t>
      </w:r>
      <w:r w:rsidR="00F20163" w:rsidRPr="00916B3A">
        <w:rPr>
          <w:color w:val="0D0D0D"/>
          <w:sz w:val="28"/>
          <w:szCs w:val="28"/>
          <w:shd w:val="clear" w:color="auto" w:fill="FFFFFF"/>
          <w:lang w:val="kk-KZ"/>
        </w:rPr>
        <w:t xml:space="preserve"> </w:t>
      </w:r>
      <w:r w:rsidR="00F74A0D">
        <w:rPr>
          <w:color w:val="0D0D0D"/>
          <w:sz w:val="28"/>
          <w:szCs w:val="28"/>
          <w:shd w:val="clear" w:color="auto" w:fill="FFFFFF"/>
          <w:lang w:val="kk-KZ"/>
        </w:rPr>
        <w:fldChar w:fldCharType="begin" w:fldLock="1"/>
      </w:r>
      <w:r w:rsidR="008C6800">
        <w:rPr>
          <w:color w:val="0D0D0D"/>
          <w:sz w:val="28"/>
          <w:szCs w:val="28"/>
          <w:shd w:val="clear" w:color="auto" w:fill="FFFFFF"/>
          <w:lang w:val="kk-KZ"/>
        </w:rPr>
        <w:instrText>ADDIN CSL_CITATION {"citationItems":[{"id":"ITEM-1","itemData":{"DOI":"10.1093/humupd/dmt056","ISSN":"14602369","PMID":"24285824","abstract":"Introduction: Embryo implantation is a complex process involving maternal hormonal changes, immune responses and maturational events in the embryo. A pregnancy could fail when these events are not synchronized. It is speculated that in women, an elevation of natural killer (NK) cells may have an effect on reproductive performance, and NK cell levels in blood are currently being used as a diagnostic test to guide the initiation of therapies in patients with infertility. Methods: We conducted a systematic review to evaluate the (i) levels of NK cells in blood and endometrium in infertile versus fertile women, (ii) association between NK cells and IVF outcome, (iii) levels of NK cells in blood and endometrium in women with recurrent miscarriage (RM) versus controls. The following electronic databases were searched: Medline, EMBASE, Cochrane Library, Web of Science and National Research Register. Results: A total of 22 studies were included. Meta-analysis of studies that evaluated peripheral and uterine NK (uNK) cell percentages in infertile versus fertile women showed no significant difference between the two groups [standardized mean difference (SMD) -0.33; 95% confidence intervals (CI) -1.06, 0.4; P = 0.37; SMD -1.82; 95% CI -4.80, 1.17; P = 0.23 respectively]. Pooling of studies that reported peripheral NK cells as numbers showed significantly higher NK cell numbers in infertile women compared with fertile controls (SMD 3.16; 95% CI 1.07, 5.24; P = 0.003). Meta-analysis of studies that evaluated the role of NK cells in IVF outcome showed no significant difference in live birth rates in women with elevated NK cells or NK cell activity compared with women without elevated peripheral NK cells or NK cell activity (NK activity assessed using a cytotoxicity assay) (relative risk 0.57; 95% CI 0.06, 5.22; P = 0.62). Meta-analysis of studies that evaluated peripheral NK cell percentages in women with RM versus controls showed significantly higher NK cell percentages in women with RM (SMD 1.36; 95% CI 0.04, 2.69; P = 0.04). Meta-analysis of studies that evaluated peripheral NK cell numbers showed significantly higher NK cell numbers in women with RM compared with controls (SMD 0.81; 95% CI 0.47, 1.16; P &lt; 0.00001). Meta-analysis of studies that evaluated uNK cells showed no significant difference in women with RM compared with controls (SMD 0.40; 95% CI -1.24, 2.04; P = 0.63). Conclusions: Further research is needed before NK cell assessment can be recommended as…","author":[{"dropping-particle":"","family":"Seshadri","given":"Srividya","non-dropping-particle":"","parse-names":false,"suffix":""},{"dropping-particle":"","family":"Sunkara","given":"Sesh Kamal","non-dropping-particle":"","parse-names":false,"suffix":""}],"container-title":"Human Reproduction Update","id":"ITEM-1","issue":"3","issued":{"date-parts":[["2014"]]},"page":"429-438","title":"Natural killer cells in female infertility and recurrent miscarriage: A systematic review and meta-analysis","type":"article-journal","volume":"20"},"uris":["http://www.mendeley.com/documents/?uuid=68d85dc9-7270-4dc8-8b60-44693b96152a"]}],"mendeley":{"formattedCitation":"[13]","plainTextFormattedCitation":"[13]","previouslyFormattedCitation":"(13)"},"properties":{"noteIndex":0},"schema":"https://github.com/citation-style-language/schema/raw/master/csl-citation.json"}</w:instrText>
      </w:r>
      <w:r w:rsidR="00F74A0D">
        <w:rPr>
          <w:color w:val="0D0D0D"/>
          <w:sz w:val="28"/>
          <w:szCs w:val="28"/>
          <w:shd w:val="clear" w:color="auto" w:fill="FFFFFF"/>
          <w:lang w:val="kk-KZ"/>
        </w:rPr>
        <w:fldChar w:fldCharType="separate"/>
      </w:r>
      <w:r w:rsidR="008C6800" w:rsidRPr="008C6800">
        <w:rPr>
          <w:noProof/>
          <w:color w:val="0D0D0D"/>
          <w:sz w:val="28"/>
          <w:szCs w:val="28"/>
          <w:shd w:val="clear" w:color="auto" w:fill="FFFFFF"/>
          <w:lang w:val="kk-KZ"/>
        </w:rPr>
        <w:t>[13]</w:t>
      </w:r>
      <w:r w:rsidR="00F74A0D">
        <w:rPr>
          <w:color w:val="0D0D0D"/>
          <w:sz w:val="28"/>
          <w:szCs w:val="28"/>
          <w:shd w:val="clear" w:color="auto" w:fill="FFFFFF"/>
          <w:lang w:val="kk-KZ"/>
        </w:rPr>
        <w:fldChar w:fldCharType="end"/>
      </w:r>
      <w:r w:rsidR="00F20163" w:rsidRPr="00916B3A">
        <w:rPr>
          <w:color w:val="0D0D0D"/>
          <w:sz w:val="28"/>
          <w:szCs w:val="28"/>
          <w:shd w:val="clear" w:color="auto" w:fill="FFFFFF"/>
        </w:rPr>
        <w:t>.</w:t>
      </w:r>
      <w:r w:rsidRPr="00916B3A">
        <w:rPr>
          <w:sz w:val="28"/>
          <w:szCs w:val="28"/>
        </w:rPr>
        <w:t xml:space="preserve"> </w:t>
      </w:r>
    </w:p>
    <w:p w14:paraId="5E3A640A" w14:textId="599B5C73" w:rsidR="00A435C8" w:rsidRPr="00916B3A" w:rsidRDefault="00A435C8" w:rsidP="00997125">
      <w:pPr>
        <w:pStyle w:val="x-text-2"/>
        <w:shd w:val="clear" w:color="auto" w:fill="FFFFFF"/>
        <w:spacing w:before="0" w:beforeAutospacing="0" w:after="0" w:afterAutospacing="0"/>
        <w:ind w:firstLine="567"/>
        <w:jc w:val="both"/>
        <w:rPr>
          <w:color w:val="0D0D0D"/>
          <w:sz w:val="28"/>
          <w:szCs w:val="28"/>
          <w:shd w:val="clear" w:color="auto" w:fill="FFFFFF"/>
        </w:rPr>
      </w:pPr>
      <w:r w:rsidRPr="00916B3A">
        <w:rPr>
          <w:sz w:val="28"/>
          <w:szCs w:val="28"/>
        </w:rPr>
        <w:t xml:space="preserve">Современные исследования предоставили несколько доказательств того, что генетические факторы, регулирующие процессы ангиогенеза и инвазии, важны при имплантации эмбрионов. В литературе имеются исследования, показывающие, что генетические дефекты и даже генетические полиморфизмы генов, участвующих в этих процессах, могут привести к неудаче имплантации </w:t>
      </w:r>
      <w:r w:rsidR="00F74A0D">
        <w:rPr>
          <w:sz w:val="28"/>
          <w:szCs w:val="28"/>
        </w:rPr>
        <w:fldChar w:fldCharType="begin" w:fldLock="1"/>
      </w:r>
      <w:r w:rsidR="008C6800">
        <w:rPr>
          <w:sz w:val="28"/>
          <w:szCs w:val="28"/>
        </w:rPr>
        <w:instrText>ADDIN CSL_CITATION {"citationItems":[{"id":"ITEM-1","itemData":{"DOI":"10.1016/S1472-6483(10)60487-7","ISSN":"14726483","PMID":"18492378","abstract":"Implantation failure is the most frequent cause of lack of pregnancy after IVF and embryo transfer. Successful implantation requires the invading blastocyst to stimulate its own blood supply through angiogenesis. Vascular endothelial growth factor (VEGF) is the best-characterized regulator of angiogenesis. Since one polymorphism of the VEGF gene, -1154 G/A, has been previously suggested to be associated with recurrent spontaneous abortion, the present study was undertaken to determine whether VEGF -1154 G/A genotype is also related to recurrent implantation failure. Buccal swabs were obtained from 70 women with a history of recurrent implantation failure after IVF-embryo transfer and from 73 control women. DNA was extracted from the buccal swabs and analysed for the presence of the VEGF-1154 A/A gene. The frequency of homozygosity of the VEGF -1154 A/A gene was significantly higher among women experiencing recurrent implantation failure compared with fertile control women (19% versus 5%, P = 0.02). It is concluded that homozygosity of the VEGF -1154 A/A gene may serve as a susceptibility factor affecting the chances of recurrent implantation failure. © 2008 Published by Reproductive Healthcare Ltd.","author":[{"dropping-particle":"","family":"Goodman","given":"Cammi","non-dropping-particle":"","parse-names":false,"suffix":""},{"dropping-particle":"","family":"Jeyendran","given":"R. S.","non-dropping-particle":"","parse-names":false,"suffix":""},{"dropping-particle":"","family":"Coulam","given":"Carolyn B.","non-dropping-particle":"","parse-names":false,"suffix":""}],"container-title":"Reproductive BioMedicine Online","id":"ITEM-1","issue":"5","issued":{"date-parts":[["2008"]]},"page":"720-723","publisher":"Reproductive Healthcare Ltd, Duck End Farm, Dry Drayton, Cambridge CB23 8DB, UK","title":"Vascular endothelial growth factor gene polymorphism and implantation failure","type":"article-journal","volume":"16"},"uris":["http://www.mendeley.com/documents/?uuid=dc224f38-6f23-4d1b-ab5b-3a44d89727f4"]}],"mendeley":{"formattedCitation":"[14]","plainTextFormattedCitation":"[14]","previouslyFormattedCitation":"(14)"},"properties":{"noteIndex":0},"schema":"https://github.com/citation-style-language/schema/raw/master/csl-citation.json"}</w:instrText>
      </w:r>
      <w:r w:rsidR="00F74A0D">
        <w:rPr>
          <w:sz w:val="28"/>
          <w:szCs w:val="28"/>
        </w:rPr>
        <w:fldChar w:fldCharType="separate"/>
      </w:r>
      <w:r w:rsidR="008C6800" w:rsidRPr="008C6800">
        <w:rPr>
          <w:noProof/>
          <w:sz w:val="28"/>
          <w:szCs w:val="28"/>
        </w:rPr>
        <w:t>[14]</w:t>
      </w:r>
      <w:r w:rsidR="00F74A0D">
        <w:rPr>
          <w:sz w:val="28"/>
          <w:szCs w:val="28"/>
        </w:rPr>
        <w:fldChar w:fldCharType="end"/>
      </w:r>
      <w:r w:rsidRPr="00916B3A">
        <w:rPr>
          <w:color w:val="0D0D0D"/>
          <w:sz w:val="28"/>
          <w:szCs w:val="28"/>
          <w:shd w:val="clear" w:color="auto" w:fill="FFFFFF"/>
        </w:rPr>
        <w:t xml:space="preserve">. </w:t>
      </w:r>
    </w:p>
    <w:p w14:paraId="242C22F1" w14:textId="1E011AC9" w:rsidR="009733D5" w:rsidRPr="00916B3A" w:rsidRDefault="00A435C8" w:rsidP="00997125">
      <w:pPr>
        <w:pStyle w:val="x-text-2"/>
        <w:shd w:val="clear" w:color="auto" w:fill="FFFFFF"/>
        <w:spacing w:before="0" w:beforeAutospacing="0" w:after="0" w:afterAutospacing="0"/>
        <w:ind w:firstLine="567"/>
        <w:jc w:val="both"/>
        <w:rPr>
          <w:color w:val="0D0D0D"/>
          <w:sz w:val="28"/>
          <w:szCs w:val="28"/>
          <w:shd w:val="clear" w:color="auto" w:fill="FFFFFF"/>
        </w:rPr>
      </w:pPr>
      <w:r w:rsidRPr="00916B3A">
        <w:rPr>
          <w:sz w:val="28"/>
          <w:szCs w:val="28"/>
        </w:rPr>
        <w:t xml:space="preserve">Изменения эндометрия, включая морфологические изменения, появление структурных белков на эпителиальных клетках, секреция растворимых регуляторных факторов и экспрессия молекулярных маркеров рецептивного эндометрия возникают вследствие изменения транскрипционной активности генов, которая определяется </w:t>
      </w:r>
      <w:r w:rsidR="00C050B0" w:rsidRPr="00916B3A">
        <w:rPr>
          <w:sz w:val="28"/>
          <w:szCs w:val="28"/>
        </w:rPr>
        <w:t xml:space="preserve">по количеству соответствующих </w:t>
      </w:r>
      <w:r w:rsidRPr="00916B3A">
        <w:rPr>
          <w:sz w:val="28"/>
          <w:szCs w:val="28"/>
        </w:rPr>
        <w:t>матричных РНК (</w:t>
      </w:r>
      <w:r w:rsidR="00C050B0" w:rsidRPr="00916B3A">
        <w:rPr>
          <w:sz w:val="28"/>
          <w:szCs w:val="28"/>
        </w:rPr>
        <w:t>мРНК</w:t>
      </w:r>
      <w:r w:rsidRPr="00916B3A">
        <w:rPr>
          <w:sz w:val="28"/>
          <w:szCs w:val="28"/>
        </w:rPr>
        <w:t>)</w:t>
      </w:r>
      <w:r w:rsidR="00C050B0" w:rsidRPr="00916B3A">
        <w:rPr>
          <w:sz w:val="28"/>
          <w:szCs w:val="28"/>
        </w:rPr>
        <w:t xml:space="preserve">. </w:t>
      </w:r>
      <w:r w:rsidRPr="00916B3A">
        <w:rPr>
          <w:sz w:val="28"/>
          <w:szCs w:val="28"/>
        </w:rPr>
        <w:t>М</w:t>
      </w:r>
      <w:r w:rsidR="00C050B0" w:rsidRPr="00916B3A">
        <w:rPr>
          <w:sz w:val="28"/>
          <w:szCs w:val="28"/>
        </w:rPr>
        <w:t>олекул</w:t>
      </w:r>
      <w:r w:rsidRPr="00916B3A">
        <w:rPr>
          <w:sz w:val="28"/>
          <w:szCs w:val="28"/>
        </w:rPr>
        <w:t>ы</w:t>
      </w:r>
      <w:r w:rsidR="00C050B0" w:rsidRPr="00916B3A">
        <w:rPr>
          <w:sz w:val="28"/>
          <w:szCs w:val="28"/>
        </w:rPr>
        <w:t xml:space="preserve"> мРНК изучают </w:t>
      </w:r>
      <w:r w:rsidRPr="00916B3A">
        <w:rPr>
          <w:sz w:val="28"/>
          <w:szCs w:val="28"/>
        </w:rPr>
        <w:t xml:space="preserve">современными иммуногенетическими методами - </w:t>
      </w:r>
      <w:r w:rsidRPr="00916B3A">
        <w:rPr>
          <w:color w:val="000000" w:themeColor="text1"/>
          <w:sz w:val="28"/>
          <w:szCs w:val="28"/>
        </w:rPr>
        <w:t>микроматричным анализом, высокопроизводительным секвенированием (NGS, next generation sequencing), о</w:t>
      </w:r>
      <w:r w:rsidR="00C050B0" w:rsidRPr="00916B3A">
        <w:rPr>
          <w:color w:val="000000" w:themeColor="text1"/>
          <w:sz w:val="28"/>
          <w:szCs w:val="28"/>
        </w:rPr>
        <w:t>братной транскрипции</w:t>
      </w:r>
      <w:r w:rsidRPr="00916B3A">
        <w:rPr>
          <w:color w:val="000000" w:themeColor="text1"/>
          <w:sz w:val="28"/>
          <w:szCs w:val="28"/>
        </w:rPr>
        <w:t xml:space="preserve"> </w:t>
      </w:r>
      <w:r w:rsidR="00C050B0" w:rsidRPr="00916B3A">
        <w:rPr>
          <w:color w:val="000000" w:themeColor="text1"/>
          <w:sz w:val="28"/>
          <w:szCs w:val="28"/>
        </w:rPr>
        <w:t>с </w:t>
      </w:r>
      <w:r w:rsidRPr="00916B3A">
        <w:rPr>
          <w:color w:val="000000" w:themeColor="text1"/>
          <w:sz w:val="28"/>
          <w:szCs w:val="28"/>
        </w:rPr>
        <w:t xml:space="preserve">помощью </w:t>
      </w:r>
      <w:r w:rsidR="00C050B0" w:rsidRPr="00916B3A">
        <w:rPr>
          <w:color w:val="000000" w:themeColor="text1"/>
          <w:sz w:val="28"/>
          <w:szCs w:val="28"/>
        </w:rPr>
        <w:t>количественной полимеразной цепной реакцией</w:t>
      </w:r>
      <w:r w:rsidRPr="00916B3A">
        <w:rPr>
          <w:color w:val="000000" w:themeColor="text1"/>
          <w:sz w:val="28"/>
          <w:szCs w:val="28"/>
        </w:rPr>
        <w:t xml:space="preserve"> в реальном времени</w:t>
      </w:r>
      <w:r w:rsidR="009733D5" w:rsidRPr="00916B3A">
        <w:rPr>
          <w:color w:val="000000" w:themeColor="text1"/>
          <w:sz w:val="28"/>
          <w:szCs w:val="28"/>
        </w:rPr>
        <w:t xml:space="preserve"> </w:t>
      </w:r>
      <w:r w:rsidR="00F74A0D">
        <w:rPr>
          <w:color w:val="000000" w:themeColor="text1"/>
          <w:sz w:val="28"/>
          <w:szCs w:val="28"/>
        </w:rPr>
        <w:fldChar w:fldCharType="begin" w:fldLock="1"/>
      </w:r>
      <w:r w:rsidR="008C6800">
        <w:rPr>
          <w:color w:val="000000" w:themeColor="text1"/>
          <w:sz w:val="28"/>
          <w:szCs w:val="28"/>
        </w:rPr>
        <w:instrText>ADDIN CSL_CITATION {"citationItems":[{"id":"ITEM-1","itemData":{"ISSN":"0015-0282","author":[{"dropping-particle":"","family":"Díaz-Gimeno","given":"Patricia","non-dropping-particle":"","parse-names":false,"suffix":""},{"dropping-particle":"","family":"Horcajadas","given":"José A","non-dropping-particle":"","parse-names":false,"suffix":""},{"dropping-particle":"","family":"Martínez-Conejero","given":"José A","non-dropping-particle":"","parse-names":false,"suffix":""},{"dropping-particle":"","family":"Esteban","given":"Francisco J","non-dropping-particle":"","parse-names":false,"suffix":""},{"dropping-particle":"","family":"Alamá","given":"Pilar","non-dropping-particle":"","parse-names":false,"suffix":""},{"dropping-particle":"","family":"Pellicer","given":"Antonio","non-dropping-particle":"","parse-names":false,"suffix":""},{"dropping-particle":"","family":"Simón","given":"Carlos","non-dropping-particle":"","parse-names":false,"suffix":""}],"container-title":"Fertility and sterility","id":"ITEM-1","issue":"1","issued":{"date-parts":[["2011"]]},"page":"50-60","publisher":"Elsevier","title":"A genomic diagnostic tool for human endometrial receptivity based on the transcriptomic signature","type":"article-journal","volume":"95"},"uris":["http://www.mendeley.com/documents/?uuid=e7afb503-2a31-4f11-ab54-6f776b3dd8bd"]}],"mendeley":{"formattedCitation":"[15]","plainTextFormattedCitation":"[15]","previouslyFormattedCitation":"(15)"},"properties":{"noteIndex":0},"schema":"https://github.com/citation-style-language/schema/raw/master/csl-citation.json"}</w:instrText>
      </w:r>
      <w:r w:rsidR="00F74A0D">
        <w:rPr>
          <w:color w:val="000000" w:themeColor="text1"/>
          <w:sz w:val="28"/>
          <w:szCs w:val="28"/>
        </w:rPr>
        <w:fldChar w:fldCharType="separate"/>
      </w:r>
      <w:r w:rsidR="008C6800" w:rsidRPr="008C6800">
        <w:rPr>
          <w:noProof/>
          <w:color w:val="000000" w:themeColor="text1"/>
          <w:sz w:val="28"/>
          <w:szCs w:val="28"/>
        </w:rPr>
        <w:t>[15]</w:t>
      </w:r>
      <w:r w:rsidR="00F74A0D">
        <w:rPr>
          <w:color w:val="000000" w:themeColor="text1"/>
          <w:sz w:val="28"/>
          <w:szCs w:val="28"/>
        </w:rPr>
        <w:fldChar w:fldCharType="end"/>
      </w:r>
      <w:r w:rsidR="00F20163" w:rsidRPr="00916B3A">
        <w:rPr>
          <w:color w:val="0D0D0D"/>
          <w:sz w:val="28"/>
          <w:szCs w:val="28"/>
          <w:shd w:val="clear" w:color="auto" w:fill="FFFFFF"/>
        </w:rPr>
        <w:t>.</w:t>
      </w:r>
      <w:r w:rsidR="009733D5" w:rsidRPr="00916B3A">
        <w:rPr>
          <w:color w:val="0D0D0D"/>
          <w:sz w:val="28"/>
          <w:szCs w:val="28"/>
          <w:shd w:val="clear" w:color="auto" w:fill="FFFFFF"/>
        </w:rPr>
        <w:t xml:space="preserve"> </w:t>
      </w:r>
    </w:p>
    <w:p w14:paraId="27530AAE" w14:textId="57B75109" w:rsidR="009733D5" w:rsidRPr="00916B3A" w:rsidRDefault="009733D5" w:rsidP="00997125">
      <w:pPr>
        <w:pStyle w:val="x-text-2"/>
        <w:shd w:val="clear" w:color="auto" w:fill="FFFFFF"/>
        <w:spacing w:before="0" w:beforeAutospacing="0" w:after="0" w:afterAutospacing="0"/>
        <w:ind w:firstLine="567"/>
        <w:jc w:val="both"/>
        <w:rPr>
          <w:color w:val="0D0D0D"/>
          <w:sz w:val="28"/>
          <w:szCs w:val="28"/>
          <w:shd w:val="clear" w:color="auto" w:fill="FFFFFF"/>
        </w:rPr>
      </w:pPr>
      <w:r w:rsidRPr="00916B3A">
        <w:rPr>
          <w:color w:val="0D0D0D"/>
          <w:sz w:val="28"/>
          <w:szCs w:val="28"/>
          <w:shd w:val="clear" w:color="auto" w:fill="FFFFFF"/>
        </w:rPr>
        <w:t>Наиболее перспективными генами для изучения рецептивности эндометрия являются гены иммунного ответа</w:t>
      </w:r>
      <w:r w:rsidRPr="00916B3A">
        <w:rPr>
          <w:sz w:val="28"/>
          <w:szCs w:val="28"/>
        </w:rPr>
        <w:t>,</w:t>
      </w:r>
      <w:r w:rsidR="00C04FBC" w:rsidRPr="00916B3A">
        <w:rPr>
          <w:sz w:val="28"/>
          <w:szCs w:val="28"/>
        </w:rPr>
        <w:t xml:space="preserve"> отвечающие за </w:t>
      </w:r>
      <w:r w:rsidRPr="00916B3A">
        <w:rPr>
          <w:sz w:val="28"/>
          <w:szCs w:val="28"/>
        </w:rPr>
        <w:t xml:space="preserve">каскад провоспалительных сигналов - CXC мотив хемокиновый лиганд 1 (CXCL1), альфа </w:t>
      </w:r>
      <w:proofErr w:type="gramStart"/>
      <w:r w:rsidRPr="00916B3A">
        <w:rPr>
          <w:sz w:val="28"/>
          <w:szCs w:val="28"/>
        </w:rPr>
        <w:t>белок,  связывающий</w:t>
      </w:r>
      <w:proofErr w:type="gramEnd"/>
      <w:r w:rsidRPr="00916B3A">
        <w:rPr>
          <w:sz w:val="28"/>
          <w:szCs w:val="28"/>
        </w:rPr>
        <w:t xml:space="preserve"> 4 компонент комплемента (C4BPA), </w:t>
      </w:r>
      <w:r w:rsidRPr="00916B3A">
        <w:rPr>
          <w:color w:val="0D0D0D"/>
          <w:sz w:val="28"/>
          <w:szCs w:val="28"/>
          <w:shd w:val="clear" w:color="auto" w:fill="FFFFFF"/>
        </w:rPr>
        <w:t xml:space="preserve">интерлейкин 15 (IL-15), транскрипт 2, экспрессируемый в сердце и производных нервного гребня (HAND2) </w:t>
      </w:r>
      <w:r w:rsidR="00C04FBC" w:rsidRPr="00916B3A">
        <w:rPr>
          <w:color w:val="0D0D0D"/>
          <w:sz w:val="28"/>
          <w:szCs w:val="28"/>
          <w:shd w:val="clear" w:color="auto" w:fill="FFFFFF"/>
        </w:rPr>
        <w:t xml:space="preserve">и </w:t>
      </w:r>
      <w:r w:rsidRPr="00916B3A">
        <w:rPr>
          <w:color w:val="0D0D0D"/>
          <w:sz w:val="28"/>
          <w:szCs w:val="28"/>
          <w:shd w:val="clear" w:color="auto" w:fill="FFFFFF"/>
        </w:rPr>
        <w:t>сосудистую пролиферацию</w:t>
      </w:r>
      <w:r w:rsidR="00C04FBC" w:rsidRPr="00916B3A">
        <w:rPr>
          <w:color w:val="0D0D0D"/>
          <w:sz w:val="28"/>
          <w:szCs w:val="28"/>
          <w:shd w:val="clear" w:color="auto" w:fill="FFFFFF"/>
        </w:rPr>
        <w:t xml:space="preserve"> - </w:t>
      </w:r>
      <w:r w:rsidRPr="00916B3A">
        <w:rPr>
          <w:color w:val="0D0D0D"/>
          <w:sz w:val="28"/>
          <w:szCs w:val="28"/>
          <w:shd w:val="clear" w:color="auto" w:fill="FFFFFF"/>
        </w:rPr>
        <w:t>сосудистый эндотелиальный фактор роста B (VEGF-B)</w:t>
      </w:r>
      <w:r w:rsidR="00C04FBC" w:rsidRPr="00916B3A">
        <w:rPr>
          <w:color w:val="0D0D0D"/>
          <w:sz w:val="28"/>
          <w:szCs w:val="28"/>
          <w:shd w:val="clear" w:color="auto" w:fill="FFFFFF"/>
        </w:rPr>
        <w:t>.</w:t>
      </w:r>
    </w:p>
    <w:p w14:paraId="2611E6FE" w14:textId="7EF62F53" w:rsidR="00C050B0" w:rsidRPr="00916B3A" w:rsidRDefault="00C04FBC" w:rsidP="00997125">
      <w:pPr>
        <w:pStyle w:val="x-text-2"/>
        <w:shd w:val="clear" w:color="auto" w:fill="FFFFFF"/>
        <w:spacing w:before="0" w:beforeAutospacing="0" w:after="0" w:afterAutospacing="0"/>
        <w:ind w:firstLine="567"/>
        <w:jc w:val="both"/>
        <w:rPr>
          <w:sz w:val="28"/>
          <w:szCs w:val="28"/>
        </w:rPr>
      </w:pPr>
      <w:r w:rsidRPr="00916B3A">
        <w:rPr>
          <w:sz w:val="28"/>
          <w:szCs w:val="28"/>
        </w:rPr>
        <w:t>Таким обра</w:t>
      </w:r>
      <w:r w:rsidR="00EF72B1">
        <w:rPr>
          <w:sz w:val="28"/>
          <w:szCs w:val="28"/>
        </w:rPr>
        <w:t>з</w:t>
      </w:r>
      <w:r w:rsidRPr="00916B3A">
        <w:rPr>
          <w:sz w:val="28"/>
          <w:szCs w:val="28"/>
        </w:rPr>
        <w:t xml:space="preserve">ом, комплексное изучение </w:t>
      </w:r>
      <w:r w:rsidR="00C050B0" w:rsidRPr="00916B3A">
        <w:rPr>
          <w:sz w:val="28"/>
          <w:szCs w:val="28"/>
        </w:rPr>
        <w:t>экспрессии генов эндометрия важны для идентификации биомаркеров, специфичных для рецептивно</w:t>
      </w:r>
      <w:r w:rsidR="00B43880" w:rsidRPr="00916B3A">
        <w:rPr>
          <w:sz w:val="28"/>
          <w:szCs w:val="28"/>
        </w:rPr>
        <w:t>го</w:t>
      </w:r>
      <w:r w:rsidR="00C050B0" w:rsidRPr="00916B3A">
        <w:rPr>
          <w:sz w:val="28"/>
          <w:szCs w:val="28"/>
        </w:rPr>
        <w:t xml:space="preserve"> эндометрия. Эти маркеры могут быть использованы в качестве терапевтических мишеней для лечения бесплодия, вызванного неудачей имплантации. </w:t>
      </w:r>
    </w:p>
    <w:p w14:paraId="73D44CCE" w14:textId="124BFF59" w:rsidR="008C1920" w:rsidRPr="00916B3A" w:rsidRDefault="00F36D65" w:rsidP="00997125">
      <w:pPr>
        <w:widowControl w:val="0"/>
        <w:spacing w:after="0" w:line="240" w:lineRule="auto"/>
        <w:ind w:firstLine="567"/>
        <w:jc w:val="both"/>
        <w:rPr>
          <w:rFonts w:ascii="Times New Roman" w:hAnsi="Times New Roman" w:cs="Times New Roman"/>
          <w:iCs/>
          <w:color w:val="000000"/>
          <w:sz w:val="28"/>
          <w:szCs w:val="28"/>
        </w:rPr>
      </w:pPr>
      <w:r w:rsidRPr="00916B3A">
        <w:rPr>
          <w:rFonts w:ascii="Times New Roman" w:hAnsi="Times New Roman" w:cs="Times New Roman"/>
          <w:b/>
          <w:bCs/>
          <w:sz w:val="28"/>
          <w:szCs w:val="28"/>
        </w:rPr>
        <w:t>Цель исследования:</w:t>
      </w:r>
      <w:r w:rsidRPr="00916B3A">
        <w:rPr>
          <w:rFonts w:ascii="Times New Roman" w:hAnsi="Times New Roman" w:cs="Times New Roman"/>
          <w:sz w:val="28"/>
          <w:szCs w:val="28"/>
        </w:rPr>
        <w:t xml:space="preserve"> </w:t>
      </w:r>
      <w:r w:rsidR="004F7EC7" w:rsidRPr="00916B3A">
        <w:rPr>
          <w:rFonts w:ascii="Times New Roman" w:hAnsi="Times New Roman" w:cs="Times New Roman"/>
          <w:sz w:val="28"/>
          <w:szCs w:val="28"/>
        </w:rPr>
        <w:t>изучение патогенетических аспектов нарушения рецептивности эндоме</w:t>
      </w:r>
      <w:r w:rsidR="008C1920" w:rsidRPr="00916B3A">
        <w:rPr>
          <w:rFonts w:ascii="Times New Roman" w:hAnsi="Times New Roman" w:cs="Times New Roman"/>
          <w:sz w:val="28"/>
          <w:szCs w:val="28"/>
        </w:rPr>
        <w:t>т</w:t>
      </w:r>
      <w:r w:rsidR="004F7EC7" w:rsidRPr="00916B3A">
        <w:rPr>
          <w:rFonts w:ascii="Times New Roman" w:hAnsi="Times New Roman" w:cs="Times New Roman"/>
          <w:sz w:val="28"/>
          <w:szCs w:val="28"/>
        </w:rPr>
        <w:t>рия</w:t>
      </w:r>
      <w:r w:rsidR="008C1920" w:rsidRPr="00916B3A">
        <w:rPr>
          <w:rFonts w:ascii="Times New Roman" w:hAnsi="Times New Roman" w:cs="Times New Roman"/>
          <w:sz w:val="28"/>
          <w:szCs w:val="28"/>
        </w:rPr>
        <w:t xml:space="preserve"> </w:t>
      </w:r>
      <w:r w:rsidR="008C1920" w:rsidRPr="00916B3A">
        <w:rPr>
          <w:rFonts w:ascii="Times New Roman" w:hAnsi="Times New Roman" w:cs="Times New Roman"/>
          <w:iCs/>
          <w:color w:val="000000"/>
          <w:sz w:val="28"/>
          <w:szCs w:val="28"/>
        </w:rPr>
        <w:t>у пациенток с репродуктивны</w:t>
      </w:r>
      <w:r w:rsidR="00E93D0D" w:rsidRPr="00916B3A">
        <w:rPr>
          <w:rFonts w:ascii="Times New Roman" w:hAnsi="Times New Roman" w:cs="Times New Roman"/>
          <w:iCs/>
          <w:color w:val="000000"/>
          <w:sz w:val="28"/>
          <w:szCs w:val="28"/>
        </w:rPr>
        <w:t>м</w:t>
      </w:r>
      <w:r w:rsidR="008C1920" w:rsidRPr="00916B3A">
        <w:rPr>
          <w:rFonts w:ascii="Times New Roman" w:hAnsi="Times New Roman" w:cs="Times New Roman"/>
          <w:iCs/>
          <w:color w:val="000000"/>
          <w:sz w:val="28"/>
          <w:szCs w:val="28"/>
        </w:rPr>
        <w:t>и потерями</w:t>
      </w:r>
      <w:r w:rsidR="007E3C95">
        <w:rPr>
          <w:rFonts w:ascii="Times New Roman" w:hAnsi="Times New Roman" w:cs="Times New Roman"/>
          <w:iCs/>
          <w:color w:val="000000"/>
          <w:sz w:val="28"/>
          <w:szCs w:val="28"/>
        </w:rPr>
        <w:t xml:space="preserve"> на основании комплексной оценки эндометрия с помощью инструментальных и транскриптомных методов исследования</w:t>
      </w:r>
      <w:r w:rsidR="008C1920" w:rsidRPr="00916B3A">
        <w:rPr>
          <w:rFonts w:ascii="Times New Roman" w:hAnsi="Times New Roman" w:cs="Times New Roman"/>
          <w:iCs/>
          <w:color w:val="000000"/>
          <w:sz w:val="28"/>
          <w:szCs w:val="28"/>
        </w:rPr>
        <w:t>.</w:t>
      </w:r>
    </w:p>
    <w:p w14:paraId="43AAC68E" w14:textId="0AA67ED2" w:rsidR="00F36D65" w:rsidRPr="00916B3A" w:rsidRDefault="00F36D65" w:rsidP="00997125">
      <w:pPr>
        <w:pStyle w:val="afa"/>
        <w:ind w:firstLine="567"/>
        <w:rPr>
          <w:rFonts w:ascii="Times New Roman" w:hAnsi="Times New Roman" w:cs="Times New Roman"/>
          <w:b/>
          <w:bCs/>
          <w:sz w:val="28"/>
          <w:szCs w:val="28"/>
        </w:rPr>
      </w:pPr>
      <w:r w:rsidRPr="00916B3A">
        <w:rPr>
          <w:rFonts w:ascii="Times New Roman" w:hAnsi="Times New Roman" w:cs="Times New Roman"/>
          <w:sz w:val="28"/>
          <w:szCs w:val="28"/>
        </w:rPr>
        <w:t xml:space="preserve"> </w:t>
      </w:r>
      <w:r w:rsidRPr="00916B3A">
        <w:rPr>
          <w:rFonts w:ascii="Times New Roman" w:hAnsi="Times New Roman" w:cs="Times New Roman"/>
          <w:b/>
          <w:bCs/>
          <w:sz w:val="28"/>
          <w:szCs w:val="28"/>
        </w:rPr>
        <w:t xml:space="preserve">Задачи исследования: </w:t>
      </w:r>
    </w:p>
    <w:p w14:paraId="08CBD4F4" w14:textId="2BC60848" w:rsidR="00813997" w:rsidRPr="00916B3A" w:rsidRDefault="00FD1056" w:rsidP="00997125">
      <w:pPr>
        <w:pStyle w:val="afa"/>
        <w:numPr>
          <w:ilvl w:val="0"/>
          <w:numId w:val="2"/>
        </w:numPr>
        <w:tabs>
          <w:tab w:val="left" w:pos="993"/>
        </w:tabs>
        <w:ind w:left="0" w:firstLine="567"/>
        <w:jc w:val="both"/>
        <w:rPr>
          <w:rFonts w:ascii="Times New Roman" w:hAnsi="Times New Roman" w:cs="Times New Roman"/>
          <w:bCs/>
          <w:sz w:val="28"/>
          <w:szCs w:val="28"/>
        </w:rPr>
      </w:pPr>
      <w:r w:rsidRPr="00916B3A">
        <w:rPr>
          <w:rFonts w:ascii="Times New Roman" w:hAnsi="Times New Roman" w:cs="Times New Roman"/>
          <w:sz w:val="28"/>
          <w:szCs w:val="28"/>
        </w:rPr>
        <w:t xml:space="preserve">Проанализировать </w:t>
      </w:r>
      <w:r w:rsidR="00D944E8" w:rsidRPr="00916B3A">
        <w:rPr>
          <w:rFonts w:ascii="Times New Roman" w:hAnsi="Times New Roman" w:cs="Times New Roman"/>
          <w:sz w:val="28"/>
          <w:szCs w:val="28"/>
        </w:rPr>
        <w:t>фактор</w:t>
      </w:r>
      <w:r w:rsidR="00744BD2">
        <w:rPr>
          <w:rFonts w:ascii="Times New Roman" w:hAnsi="Times New Roman" w:cs="Times New Roman"/>
          <w:sz w:val="28"/>
          <w:szCs w:val="28"/>
        </w:rPr>
        <w:t>ы</w:t>
      </w:r>
      <w:r w:rsidR="00D944E8" w:rsidRPr="00916B3A">
        <w:rPr>
          <w:rFonts w:ascii="Times New Roman" w:hAnsi="Times New Roman" w:cs="Times New Roman"/>
          <w:sz w:val="28"/>
          <w:szCs w:val="28"/>
        </w:rPr>
        <w:t xml:space="preserve"> риска неудач имплантации в программах</w:t>
      </w:r>
      <w:r w:rsidR="00402A5F" w:rsidRPr="00916B3A">
        <w:rPr>
          <w:rFonts w:ascii="Times New Roman" w:hAnsi="Times New Roman" w:cs="Times New Roman"/>
          <w:sz w:val="28"/>
          <w:szCs w:val="28"/>
        </w:rPr>
        <w:t xml:space="preserve"> ЭКО и привычного невынашивания</w:t>
      </w:r>
      <w:r w:rsidR="00313955" w:rsidRPr="00916B3A">
        <w:rPr>
          <w:rFonts w:ascii="Times New Roman" w:hAnsi="Times New Roman" w:cs="Times New Roman"/>
          <w:bCs/>
          <w:sz w:val="28"/>
          <w:szCs w:val="28"/>
        </w:rPr>
        <w:t xml:space="preserve"> и о</w:t>
      </w:r>
      <w:r w:rsidR="009C56DD" w:rsidRPr="00916B3A">
        <w:rPr>
          <w:rFonts w:ascii="Times New Roman" w:hAnsi="Times New Roman" w:cs="Times New Roman"/>
          <w:bCs/>
          <w:sz w:val="28"/>
          <w:szCs w:val="28"/>
        </w:rPr>
        <w:t xml:space="preserve">ценить </w:t>
      </w:r>
      <w:r w:rsidR="000D4516" w:rsidRPr="00916B3A">
        <w:rPr>
          <w:rFonts w:ascii="Times New Roman" w:hAnsi="Times New Roman" w:cs="Times New Roman"/>
          <w:bCs/>
          <w:sz w:val="28"/>
          <w:szCs w:val="28"/>
        </w:rPr>
        <w:t>прогностическую ценность толщины</w:t>
      </w:r>
      <w:r w:rsidR="009C56DD" w:rsidRPr="00916B3A">
        <w:rPr>
          <w:rFonts w:ascii="Times New Roman" w:hAnsi="Times New Roman" w:cs="Times New Roman"/>
          <w:bCs/>
          <w:sz w:val="28"/>
          <w:szCs w:val="28"/>
        </w:rPr>
        <w:t xml:space="preserve"> эндометрия как один из основных предикторов репродуктивных потерь</w:t>
      </w:r>
      <w:r w:rsidR="00C04FBC" w:rsidRPr="00916B3A">
        <w:rPr>
          <w:rFonts w:ascii="Times New Roman" w:hAnsi="Times New Roman" w:cs="Times New Roman"/>
          <w:bCs/>
          <w:sz w:val="28"/>
          <w:szCs w:val="28"/>
        </w:rPr>
        <w:t>.</w:t>
      </w:r>
    </w:p>
    <w:p w14:paraId="338A487B" w14:textId="5E2C08A8" w:rsidR="00FD1056" w:rsidRPr="00916B3A" w:rsidRDefault="00FD1056" w:rsidP="00997125">
      <w:pPr>
        <w:pStyle w:val="a6"/>
        <w:numPr>
          <w:ilvl w:val="0"/>
          <w:numId w:val="2"/>
        </w:numPr>
        <w:tabs>
          <w:tab w:val="left" w:pos="993"/>
        </w:tabs>
        <w:spacing w:after="0" w:line="240" w:lineRule="auto"/>
        <w:ind w:left="0" w:firstLine="567"/>
        <w:jc w:val="both"/>
        <w:rPr>
          <w:rFonts w:ascii="Times New Roman" w:hAnsi="Times New Roman" w:cs="Times New Roman"/>
          <w:bCs/>
          <w:sz w:val="28"/>
          <w:szCs w:val="28"/>
        </w:rPr>
      </w:pPr>
      <w:r w:rsidRPr="00916B3A">
        <w:rPr>
          <w:rFonts w:ascii="Times New Roman" w:hAnsi="Times New Roman" w:cs="Times New Roman"/>
          <w:bCs/>
          <w:sz w:val="28"/>
          <w:szCs w:val="28"/>
        </w:rPr>
        <w:t>Изучить особенности эхографической картины и показатели сопротивления сосудов матки при цветной допплерометрии у женщин с невынашиванием</w:t>
      </w:r>
      <w:r w:rsidR="00C04FBC" w:rsidRPr="00916B3A">
        <w:rPr>
          <w:rFonts w:ascii="Times New Roman" w:hAnsi="Times New Roman" w:cs="Times New Roman"/>
          <w:bCs/>
          <w:sz w:val="28"/>
          <w:szCs w:val="28"/>
        </w:rPr>
        <w:t>.</w:t>
      </w:r>
    </w:p>
    <w:p w14:paraId="1E40289C" w14:textId="66D45B6C" w:rsidR="00FD1056" w:rsidRPr="00916B3A" w:rsidRDefault="00FD1056" w:rsidP="00997125">
      <w:pPr>
        <w:pStyle w:val="afa"/>
        <w:numPr>
          <w:ilvl w:val="0"/>
          <w:numId w:val="2"/>
        </w:numPr>
        <w:tabs>
          <w:tab w:val="left" w:pos="993"/>
        </w:tabs>
        <w:ind w:left="0"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Провести транскрипционный анализ активности генов иммунного ответа у пациенток рецидивами неудач имплантации в программах ЭКО и невынашивании. </w:t>
      </w:r>
    </w:p>
    <w:p w14:paraId="45224F99" w14:textId="6AA0F7FD" w:rsidR="00CE0497" w:rsidRPr="00916B3A" w:rsidRDefault="00CE0497" w:rsidP="00997125">
      <w:pPr>
        <w:pStyle w:val="afa"/>
        <w:numPr>
          <w:ilvl w:val="0"/>
          <w:numId w:val="2"/>
        </w:numPr>
        <w:tabs>
          <w:tab w:val="left" w:pos="993"/>
        </w:tabs>
        <w:ind w:left="0"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Разработать алгоритм </w:t>
      </w:r>
      <w:r w:rsidR="00E93D0D" w:rsidRPr="00916B3A">
        <w:rPr>
          <w:rFonts w:ascii="Times New Roman" w:hAnsi="Times New Roman" w:cs="Times New Roman"/>
          <w:bCs/>
          <w:sz w:val="28"/>
          <w:szCs w:val="28"/>
        </w:rPr>
        <w:t>ведения пациенток с репродуктивными потерями в анамнезе на основании клинико-инструментальных данных и транскриптомного анализа биоптата эндометрия</w:t>
      </w:r>
      <w:r w:rsidR="00E93D0D" w:rsidRPr="00916B3A">
        <w:rPr>
          <w:rFonts w:ascii="Times New Roman" w:hAnsi="Times New Roman" w:cs="Times New Roman"/>
          <w:sz w:val="28"/>
          <w:szCs w:val="28"/>
        </w:rPr>
        <w:t>.</w:t>
      </w:r>
      <w:r w:rsidR="00E93D0D" w:rsidRPr="00916B3A">
        <w:rPr>
          <w:rFonts w:ascii="Times New Roman" w:hAnsi="Times New Roman" w:cs="Times New Roman"/>
          <w:bCs/>
          <w:sz w:val="28"/>
          <w:szCs w:val="28"/>
        </w:rPr>
        <w:t xml:space="preserve"> </w:t>
      </w:r>
    </w:p>
    <w:p w14:paraId="7A27A637" w14:textId="4B92A43C" w:rsidR="00943F72" w:rsidRPr="00916B3A" w:rsidRDefault="00AC6EDE" w:rsidP="00997125">
      <w:pPr>
        <w:pBdr>
          <w:bottom w:val="single" w:sz="4" w:space="31" w:color="FFFFFF"/>
        </w:pBdr>
        <w:tabs>
          <w:tab w:val="left" w:pos="0"/>
        </w:tabs>
        <w:autoSpaceDE w:val="0"/>
        <w:spacing w:after="0" w:line="240" w:lineRule="auto"/>
        <w:ind w:firstLine="567"/>
        <w:jc w:val="both"/>
        <w:rPr>
          <w:rFonts w:ascii="Times New Roman" w:hAnsi="Times New Roman" w:cs="Times New Roman"/>
          <w:b/>
          <w:bCs/>
          <w:sz w:val="28"/>
          <w:szCs w:val="28"/>
        </w:rPr>
      </w:pPr>
      <w:r w:rsidRPr="00916B3A">
        <w:rPr>
          <w:rFonts w:ascii="Times New Roman" w:hAnsi="Times New Roman" w:cs="Times New Roman"/>
          <w:b/>
          <w:bCs/>
          <w:sz w:val="28"/>
          <w:szCs w:val="28"/>
        </w:rPr>
        <w:t>Положения, выносимые на защиту:</w:t>
      </w:r>
    </w:p>
    <w:p w14:paraId="72A6994B" w14:textId="234CC614" w:rsidR="00943F72" w:rsidRPr="00916B3A" w:rsidRDefault="00943F72" w:rsidP="00997125">
      <w:pPr>
        <w:pBdr>
          <w:bottom w:val="single" w:sz="4" w:space="31" w:color="FFFFFF"/>
        </w:pBdr>
        <w:tabs>
          <w:tab w:val="left" w:pos="0"/>
        </w:tabs>
        <w:autoSpaceDE w:val="0"/>
        <w:spacing w:after="0" w:line="240" w:lineRule="auto"/>
        <w:ind w:firstLine="567"/>
        <w:jc w:val="both"/>
        <w:rPr>
          <w:rFonts w:ascii="Times New Roman" w:hAnsi="Times New Roman" w:cs="Times New Roman"/>
          <w:b/>
          <w:bCs/>
          <w:sz w:val="28"/>
          <w:szCs w:val="28"/>
        </w:rPr>
      </w:pPr>
      <w:r w:rsidRPr="00916B3A">
        <w:rPr>
          <w:rFonts w:ascii="Times New Roman" w:hAnsi="Times New Roman" w:cs="Times New Roman"/>
          <w:color w:val="2C2D2E"/>
          <w:sz w:val="28"/>
          <w:szCs w:val="28"/>
        </w:rPr>
        <w:t>1.</w:t>
      </w:r>
      <w:r w:rsidR="00CE0497" w:rsidRPr="00916B3A">
        <w:rPr>
          <w:rFonts w:ascii="Times New Roman" w:hAnsi="Times New Roman" w:cs="Times New Roman"/>
          <w:color w:val="2C2D2E"/>
          <w:sz w:val="28"/>
          <w:szCs w:val="28"/>
        </w:rPr>
        <w:t xml:space="preserve"> </w:t>
      </w:r>
      <w:r w:rsidRPr="00916B3A">
        <w:rPr>
          <w:rFonts w:ascii="Times New Roman" w:hAnsi="Times New Roman" w:cs="Times New Roman"/>
          <w:color w:val="2C2D2E"/>
          <w:sz w:val="28"/>
          <w:szCs w:val="28"/>
        </w:rPr>
        <w:t>Среди множества факторов, влияющих на клинический исход,</w:t>
      </w:r>
      <w:r w:rsidRPr="00916B3A">
        <w:rPr>
          <w:rFonts w:ascii="Times New Roman" w:hAnsi="Times New Roman" w:cs="Times New Roman"/>
          <w:color w:val="2C2D2E"/>
          <w:sz w:val="28"/>
          <w:szCs w:val="28"/>
        </w:rPr>
        <w:br/>
        <w:t>толщина эндометрия входит в число важных и независимых факторов для</w:t>
      </w:r>
      <w:r w:rsidRPr="00916B3A">
        <w:rPr>
          <w:rFonts w:ascii="Times New Roman" w:hAnsi="Times New Roman" w:cs="Times New Roman"/>
          <w:color w:val="2C2D2E"/>
          <w:sz w:val="28"/>
          <w:szCs w:val="28"/>
        </w:rPr>
        <w:br/>
        <w:t>внутриматочной беременности, внематочной беременности и</w:t>
      </w:r>
      <w:r w:rsidRPr="00916B3A">
        <w:rPr>
          <w:rFonts w:ascii="Times New Roman" w:hAnsi="Times New Roman" w:cs="Times New Roman"/>
          <w:color w:val="2C2D2E"/>
          <w:sz w:val="28"/>
          <w:szCs w:val="28"/>
        </w:rPr>
        <w:br/>
        <w:t>самопроизвольного аборта. Значение толщины эндометрия ниже 7 мм не</w:t>
      </w:r>
      <w:r w:rsidRPr="00916B3A">
        <w:rPr>
          <w:rFonts w:ascii="Times New Roman" w:hAnsi="Times New Roman" w:cs="Times New Roman"/>
          <w:color w:val="2C2D2E"/>
          <w:sz w:val="28"/>
          <w:szCs w:val="28"/>
        </w:rPr>
        <w:br/>
        <w:t>только снижает вероятность наступления беременности, но и повышает</w:t>
      </w:r>
      <w:r w:rsidRPr="00916B3A">
        <w:rPr>
          <w:rFonts w:ascii="Times New Roman" w:hAnsi="Times New Roman" w:cs="Times New Roman"/>
          <w:color w:val="2C2D2E"/>
          <w:sz w:val="28"/>
          <w:szCs w:val="28"/>
        </w:rPr>
        <w:br/>
        <w:t>вероятность самопроизвольного аборта и внематочной беременности.</w:t>
      </w:r>
    </w:p>
    <w:p w14:paraId="24ACFC1C" w14:textId="01E29D02" w:rsidR="00D51F7A" w:rsidRPr="00916B3A" w:rsidRDefault="00943F72" w:rsidP="00997125">
      <w:pPr>
        <w:pBdr>
          <w:bottom w:val="single" w:sz="4" w:space="31" w:color="FFFFFF"/>
        </w:pBdr>
        <w:tabs>
          <w:tab w:val="left" w:pos="0"/>
        </w:tabs>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color w:val="2C2D2E"/>
          <w:sz w:val="28"/>
          <w:szCs w:val="28"/>
        </w:rPr>
        <w:t>2.</w:t>
      </w:r>
      <w:r w:rsidR="00CE0497" w:rsidRPr="00916B3A">
        <w:rPr>
          <w:rFonts w:ascii="Times New Roman" w:hAnsi="Times New Roman" w:cs="Times New Roman"/>
          <w:color w:val="2C2D2E"/>
          <w:sz w:val="28"/>
          <w:szCs w:val="28"/>
        </w:rPr>
        <w:t xml:space="preserve"> </w:t>
      </w:r>
      <w:r w:rsidR="009B54B4" w:rsidRPr="00916B3A">
        <w:rPr>
          <w:rFonts w:ascii="Times New Roman" w:hAnsi="Times New Roman" w:cs="Times New Roman"/>
          <w:sz w:val="28"/>
          <w:szCs w:val="28"/>
        </w:rPr>
        <w:t xml:space="preserve">Выявлена закономерность, дополняющая современную концепцию роли генов иммунного ответа в формировании рецептивного эндометрия. </w:t>
      </w:r>
      <w:r w:rsidR="00577C7D" w:rsidRPr="00916B3A">
        <w:rPr>
          <w:rFonts w:ascii="Times New Roman" w:hAnsi="Times New Roman" w:cs="Times New Roman"/>
          <w:color w:val="2C2D2E"/>
          <w:sz w:val="28"/>
          <w:szCs w:val="28"/>
        </w:rPr>
        <w:t xml:space="preserve">Возможными причинами </w:t>
      </w:r>
      <w:r w:rsidR="00F17D51" w:rsidRPr="00916B3A">
        <w:rPr>
          <w:rFonts w:ascii="Times New Roman" w:hAnsi="Times New Roman" w:cs="Times New Roman"/>
          <w:color w:val="2C2D2E"/>
          <w:sz w:val="28"/>
          <w:szCs w:val="28"/>
        </w:rPr>
        <w:t>неудач имплантации</w:t>
      </w:r>
      <w:r w:rsidR="00577C7D" w:rsidRPr="00916B3A">
        <w:rPr>
          <w:rFonts w:ascii="Times New Roman" w:hAnsi="Times New Roman" w:cs="Times New Roman"/>
          <w:color w:val="2C2D2E"/>
          <w:sz w:val="28"/>
          <w:szCs w:val="28"/>
        </w:rPr>
        <w:t xml:space="preserve"> в программах ВРТ </w:t>
      </w:r>
      <w:r w:rsidR="00F17D51" w:rsidRPr="00916B3A">
        <w:rPr>
          <w:rFonts w:ascii="Times New Roman" w:hAnsi="Times New Roman" w:cs="Times New Roman"/>
          <w:color w:val="2C2D2E"/>
          <w:sz w:val="28"/>
          <w:szCs w:val="28"/>
        </w:rPr>
        <w:t xml:space="preserve">у пациенток с </w:t>
      </w:r>
      <w:r w:rsidR="00F17D51" w:rsidRPr="00916B3A">
        <w:rPr>
          <w:rFonts w:ascii="Times New Roman" w:hAnsi="Times New Roman" w:cs="Times New Roman"/>
          <w:sz w:val="28"/>
          <w:szCs w:val="28"/>
        </w:rPr>
        <w:t>«тонким эндометрием»</w:t>
      </w:r>
      <w:r w:rsidR="00577C7D" w:rsidRPr="00916B3A">
        <w:rPr>
          <w:rFonts w:ascii="Times New Roman" w:hAnsi="Times New Roman" w:cs="Times New Roman"/>
          <w:sz w:val="28"/>
          <w:szCs w:val="28"/>
        </w:rPr>
        <w:t xml:space="preserve"> может быть </w:t>
      </w:r>
      <w:r w:rsidR="00F17D51" w:rsidRPr="00916B3A">
        <w:rPr>
          <w:rFonts w:ascii="Times New Roman" w:hAnsi="Times New Roman" w:cs="Times New Roman"/>
          <w:sz w:val="28"/>
          <w:szCs w:val="28"/>
        </w:rPr>
        <w:t>сниженная экспресси</w:t>
      </w:r>
      <w:r w:rsidR="00577C7D" w:rsidRPr="00916B3A">
        <w:rPr>
          <w:rFonts w:ascii="Times New Roman" w:hAnsi="Times New Roman" w:cs="Times New Roman"/>
          <w:sz w:val="28"/>
          <w:szCs w:val="28"/>
        </w:rPr>
        <w:t>я</w:t>
      </w:r>
      <w:r w:rsidR="00F17D51" w:rsidRPr="00916B3A">
        <w:rPr>
          <w:rFonts w:ascii="Times New Roman" w:hAnsi="Times New Roman" w:cs="Times New Roman"/>
          <w:sz w:val="28"/>
          <w:szCs w:val="28"/>
        </w:rPr>
        <w:t xml:space="preserve"> генов иммунного ответа C4BPA, CXCL1 и IL</w:t>
      </w:r>
      <w:r w:rsidR="00577C7D" w:rsidRPr="00916B3A">
        <w:rPr>
          <w:rFonts w:ascii="Times New Roman" w:hAnsi="Times New Roman" w:cs="Times New Roman"/>
          <w:sz w:val="28"/>
          <w:szCs w:val="28"/>
        </w:rPr>
        <w:t>-</w:t>
      </w:r>
      <w:r w:rsidR="00F17D51" w:rsidRPr="00916B3A">
        <w:rPr>
          <w:rFonts w:ascii="Times New Roman" w:hAnsi="Times New Roman" w:cs="Times New Roman"/>
          <w:sz w:val="28"/>
          <w:szCs w:val="28"/>
        </w:rPr>
        <w:t>15</w:t>
      </w:r>
      <w:r w:rsidR="00577C7D" w:rsidRPr="00916B3A">
        <w:rPr>
          <w:rFonts w:ascii="Times New Roman" w:hAnsi="Times New Roman" w:cs="Times New Roman"/>
          <w:sz w:val="28"/>
          <w:szCs w:val="28"/>
        </w:rPr>
        <w:t xml:space="preserve">, </w:t>
      </w:r>
      <w:r w:rsidR="00F17D51" w:rsidRPr="00916B3A">
        <w:rPr>
          <w:rFonts w:ascii="Times New Roman" w:hAnsi="Times New Roman" w:cs="Times New Roman"/>
          <w:sz w:val="28"/>
          <w:szCs w:val="28"/>
        </w:rPr>
        <w:t>отража</w:t>
      </w:r>
      <w:r w:rsidR="00577C7D" w:rsidRPr="00916B3A">
        <w:rPr>
          <w:rFonts w:ascii="Times New Roman" w:hAnsi="Times New Roman" w:cs="Times New Roman"/>
          <w:sz w:val="28"/>
          <w:szCs w:val="28"/>
        </w:rPr>
        <w:t xml:space="preserve">ющая </w:t>
      </w:r>
      <w:r w:rsidR="00F17D51" w:rsidRPr="00916B3A">
        <w:rPr>
          <w:rFonts w:ascii="Times New Roman" w:hAnsi="Times New Roman" w:cs="Times New Roman"/>
          <w:sz w:val="28"/>
          <w:szCs w:val="28"/>
        </w:rPr>
        <w:t>снижение рецептивности эндометрия</w:t>
      </w:r>
      <w:r w:rsidR="009B54B4" w:rsidRPr="00916B3A">
        <w:rPr>
          <w:rFonts w:ascii="Times New Roman" w:hAnsi="Times New Roman" w:cs="Times New Roman"/>
          <w:sz w:val="28"/>
          <w:szCs w:val="28"/>
        </w:rPr>
        <w:t xml:space="preserve">, и как следствие, </w:t>
      </w:r>
      <w:r w:rsidR="00D51F7A" w:rsidRPr="00916B3A">
        <w:rPr>
          <w:rFonts w:ascii="Times New Roman" w:hAnsi="Times New Roman" w:cs="Times New Roman"/>
          <w:sz w:val="28"/>
          <w:szCs w:val="28"/>
        </w:rPr>
        <w:t>формировани</w:t>
      </w:r>
      <w:r w:rsidR="009B54B4" w:rsidRPr="00916B3A">
        <w:rPr>
          <w:rFonts w:ascii="Times New Roman" w:hAnsi="Times New Roman" w:cs="Times New Roman"/>
          <w:sz w:val="28"/>
          <w:szCs w:val="28"/>
        </w:rPr>
        <w:t>е</w:t>
      </w:r>
      <w:r w:rsidR="00D51F7A" w:rsidRPr="00916B3A">
        <w:rPr>
          <w:rFonts w:ascii="Times New Roman" w:hAnsi="Times New Roman" w:cs="Times New Roman"/>
          <w:sz w:val="28"/>
          <w:szCs w:val="28"/>
        </w:rPr>
        <w:t xml:space="preserve"> нарушений имплантационной состоятельности эндометрия.</w:t>
      </w:r>
    </w:p>
    <w:p w14:paraId="743C032A" w14:textId="487E833F" w:rsidR="001F46C5" w:rsidRPr="00916B3A" w:rsidRDefault="00D51F7A" w:rsidP="00997125">
      <w:pPr>
        <w:pBdr>
          <w:bottom w:val="single" w:sz="4" w:space="31" w:color="FFFFFF"/>
        </w:pBdr>
        <w:tabs>
          <w:tab w:val="num" w:pos="0"/>
        </w:tabs>
        <w:autoSpaceDE w:val="0"/>
        <w:spacing w:after="0" w:line="240" w:lineRule="auto"/>
        <w:ind w:firstLine="567"/>
        <w:jc w:val="both"/>
        <w:rPr>
          <w:rFonts w:ascii="Times New Roman" w:hAnsi="Times New Roman" w:cs="Times New Roman"/>
          <w:color w:val="2C2D2E"/>
          <w:sz w:val="28"/>
          <w:szCs w:val="28"/>
        </w:rPr>
      </w:pPr>
      <w:r w:rsidRPr="00916B3A">
        <w:rPr>
          <w:rFonts w:ascii="Times New Roman" w:hAnsi="Times New Roman" w:cs="Times New Roman"/>
          <w:sz w:val="28"/>
          <w:szCs w:val="28"/>
        </w:rPr>
        <w:t xml:space="preserve">3. </w:t>
      </w:r>
      <w:r w:rsidR="00487FCC" w:rsidRPr="00916B3A">
        <w:rPr>
          <w:rFonts w:ascii="Times New Roman" w:hAnsi="Times New Roman" w:cs="Times New Roman"/>
          <w:sz w:val="28"/>
          <w:szCs w:val="28"/>
        </w:rPr>
        <w:t xml:space="preserve">Разработан эффективный алгоритм </w:t>
      </w:r>
      <w:r w:rsidRPr="00916B3A">
        <w:rPr>
          <w:rFonts w:ascii="Times New Roman" w:hAnsi="Times New Roman" w:cs="Times New Roman"/>
          <w:sz w:val="28"/>
          <w:szCs w:val="28"/>
        </w:rPr>
        <w:t>прогноза риска неудач имплантации у пациенток с беспло</w:t>
      </w:r>
      <w:r w:rsidR="00487FCC" w:rsidRPr="00916B3A">
        <w:rPr>
          <w:rFonts w:ascii="Times New Roman" w:hAnsi="Times New Roman" w:cs="Times New Roman"/>
          <w:sz w:val="28"/>
          <w:szCs w:val="28"/>
        </w:rPr>
        <w:t xml:space="preserve">дием, обусловленным </w:t>
      </w:r>
      <w:r w:rsidR="005D61EC" w:rsidRPr="00916B3A">
        <w:rPr>
          <w:rFonts w:ascii="Times New Roman" w:hAnsi="Times New Roman" w:cs="Times New Roman"/>
          <w:sz w:val="28"/>
          <w:szCs w:val="28"/>
        </w:rPr>
        <w:t>«</w:t>
      </w:r>
      <w:r w:rsidR="00487FCC" w:rsidRPr="00916B3A">
        <w:rPr>
          <w:rFonts w:ascii="Times New Roman" w:hAnsi="Times New Roman" w:cs="Times New Roman"/>
          <w:sz w:val="28"/>
          <w:szCs w:val="28"/>
        </w:rPr>
        <w:t>тонким эндометрием</w:t>
      </w:r>
      <w:r w:rsidR="005D61EC" w:rsidRPr="00916B3A">
        <w:rPr>
          <w:rFonts w:ascii="Times New Roman" w:hAnsi="Times New Roman" w:cs="Times New Roman"/>
          <w:sz w:val="28"/>
          <w:szCs w:val="28"/>
        </w:rPr>
        <w:t>»</w:t>
      </w:r>
      <w:r w:rsidRPr="00916B3A">
        <w:rPr>
          <w:rFonts w:ascii="Times New Roman" w:hAnsi="Times New Roman" w:cs="Times New Roman"/>
          <w:sz w:val="28"/>
          <w:szCs w:val="28"/>
        </w:rPr>
        <w:t xml:space="preserve">, с использованием клинико-анамнестических </w:t>
      </w:r>
      <w:r w:rsidR="00487FCC" w:rsidRPr="00916B3A">
        <w:rPr>
          <w:rFonts w:ascii="Times New Roman" w:hAnsi="Times New Roman" w:cs="Times New Roman"/>
          <w:sz w:val="28"/>
          <w:szCs w:val="28"/>
        </w:rPr>
        <w:t>и</w:t>
      </w:r>
      <w:r w:rsidR="00487FCC" w:rsidRPr="00916B3A">
        <w:t xml:space="preserve"> </w:t>
      </w:r>
      <w:r w:rsidR="00487FCC" w:rsidRPr="00916B3A">
        <w:rPr>
          <w:rFonts w:ascii="Times New Roman" w:hAnsi="Times New Roman" w:cs="Times New Roman"/>
          <w:sz w:val="28"/>
          <w:szCs w:val="28"/>
        </w:rPr>
        <w:t>иммуногенетических</w:t>
      </w:r>
      <w:r w:rsidRPr="00916B3A">
        <w:rPr>
          <w:rFonts w:ascii="Times New Roman" w:hAnsi="Times New Roman" w:cs="Times New Roman"/>
          <w:sz w:val="28"/>
          <w:szCs w:val="28"/>
        </w:rPr>
        <w:t xml:space="preserve"> предикторов</w:t>
      </w:r>
      <w:r w:rsidR="00487FCC" w:rsidRPr="00916B3A">
        <w:rPr>
          <w:rFonts w:ascii="Times New Roman" w:hAnsi="Times New Roman" w:cs="Times New Roman"/>
          <w:sz w:val="28"/>
          <w:szCs w:val="28"/>
        </w:rPr>
        <w:t>, с определением группы рисков</w:t>
      </w:r>
      <w:r w:rsidR="00943F72" w:rsidRPr="00916B3A">
        <w:rPr>
          <w:rFonts w:ascii="Times New Roman" w:hAnsi="Times New Roman" w:cs="Times New Roman"/>
          <w:color w:val="2C2D2E"/>
          <w:sz w:val="28"/>
          <w:szCs w:val="28"/>
        </w:rPr>
        <w:t>, что следует иметь в виду при</w:t>
      </w:r>
      <w:r w:rsidR="009B54B4" w:rsidRPr="00916B3A">
        <w:rPr>
          <w:rFonts w:ascii="Times New Roman" w:hAnsi="Times New Roman" w:cs="Times New Roman"/>
          <w:color w:val="2C2D2E"/>
          <w:sz w:val="28"/>
          <w:szCs w:val="28"/>
        </w:rPr>
        <w:t xml:space="preserve"> </w:t>
      </w:r>
      <w:r w:rsidR="00943F72" w:rsidRPr="00916B3A">
        <w:rPr>
          <w:rFonts w:ascii="Times New Roman" w:hAnsi="Times New Roman" w:cs="Times New Roman"/>
          <w:color w:val="2C2D2E"/>
          <w:sz w:val="28"/>
          <w:szCs w:val="28"/>
        </w:rPr>
        <w:t>проведении прегравидарной подготовки.</w:t>
      </w:r>
      <w:r w:rsidR="00962E5C" w:rsidRPr="00916B3A">
        <w:rPr>
          <w:rFonts w:ascii="Times New Roman" w:hAnsi="Times New Roman" w:cs="Times New Roman"/>
          <w:color w:val="2C2D2E"/>
          <w:sz w:val="28"/>
          <w:szCs w:val="28"/>
        </w:rPr>
        <w:t xml:space="preserve"> </w:t>
      </w:r>
    </w:p>
    <w:p w14:paraId="25F1B6CA" w14:textId="77777777" w:rsidR="001F46C5" w:rsidRPr="00916B3A" w:rsidRDefault="00F36D65" w:rsidP="00997125">
      <w:pPr>
        <w:pBdr>
          <w:bottom w:val="single" w:sz="4" w:space="31" w:color="FFFFFF"/>
        </w:pBdr>
        <w:tabs>
          <w:tab w:val="num" w:pos="0"/>
        </w:tabs>
        <w:autoSpaceDE w:val="0"/>
        <w:spacing w:after="0" w:line="240" w:lineRule="auto"/>
        <w:ind w:firstLine="567"/>
        <w:jc w:val="both"/>
        <w:rPr>
          <w:rFonts w:ascii="Times New Roman" w:hAnsi="Times New Roman" w:cs="Times New Roman"/>
          <w:b/>
          <w:bCs/>
          <w:sz w:val="28"/>
          <w:szCs w:val="28"/>
        </w:rPr>
      </w:pPr>
      <w:r w:rsidRPr="00916B3A">
        <w:rPr>
          <w:rFonts w:ascii="Times New Roman" w:hAnsi="Times New Roman" w:cs="Times New Roman"/>
          <w:b/>
          <w:bCs/>
          <w:sz w:val="28"/>
          <w:szCs w:val="28"/>
        </w:rPr>
        <w:t>Предмет исследования</w:t>
      </w:r>
    </w:p>
    <w:p w14:paraId="70DA1DE4" w14:textId="19AA3341" w:rsidR="001F46C5" w:rsidRPr="00916B3A" w:rsidRDefault="00A51C5D" w:rsidP="00997125">
      <w:pPr>
        <w:pBdr>
          <w:bottom w:val="single" w:sz="4" w:space="31" w:color="FFFFFF"/>
        </w:pBdr>
        <w:tabs>
          <w:tab w:val="num" w:pos="0"/>
        </w:tabs>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Патогенетические механизмы нарушения рецептивности эндометрия у пациенток с репродуктивными потерями, включая роль толщины эндометрия, эхографическую картину, сосудистые характеристики матки и </w:t>
      </w:r>
      <w:r w:rsidR="00C04FBC" w:rsidRPr="00916B3A">
        <w:rPr>
          <w:rFonts w:ascii="Times New Roman" w:hAnsi="Times New Roman" w:cs="Times New Roman"/>
          <w:sz w:val="28"/>
          <w:szCs w:val="28"/>
        </w:rPr>
        <w:t>экспрессия генов им</w:t>
      </w:r>
      <w:r w:rsidR="001F46C5" w:rsidRPr="00916B3A">
        <w:rPr>
          <w:rFonts w:ascii="Times New Roman" w:hAnsi="Times New Roman" w:cs="Times New Roman"/>
          <w:sz w:val="28"/>
          <w:szCs w:val="28"/>
        </w:rPr>
        <w:t>мунного ответа</w:t>
      </w:r>
      <w:r w:rsidR="00E86C6A" w:rsidRPr="00916B3A">
        <w:rPr>
          <w:rFonts w:ascii="Times New Roman" w:hAnsi="Times New Roman" w:cs="Times New Roman"/>
          <w:sz w:val="28"/>
          <w:szCs w:val="28"/>
        </w:rPr>
        <w:t>.</w:t>
      </w:r>
    </w:p>
    <w:p w14:paraId="70F00B50" w14:textId="5495A402" w:rsidR="001F46C5" w:rsidRPr="00916B3A" w:rsidRDefault="00F36D65" w:rsidP="00997125">
      <w:pPr>
        <w:pBdr>
          <w:bottom w:val="single" w:sz="4" w:space="31" w:color="FFFFFF"/>
        </w:pBdr>
        <w:tabs>
          <w:tab w:val="num" w:pos="0"/>
        </w:tabs>
        <w:autoSpaceDE w:val="0"/>
        <w:spacing w:after="0" w:line="240" w:lineRule="auto"/>
        <w:ind w:firstLine="567"/>
        <w:jc w:val="both"/>
        <w:rPr>
          <w:rFonts w:ascii="Times New Roman" w:hAnsi="Times New Roman" w:cs="Times New Roman"/>
          <w:b/>
          <w:bCs/>
          <w:sz w:val="28"/>
          <w:szCs w:val="28"/>
        </w:rPr>
      </w:pPr>
      <w:r w:rsidRPr="00916B3A">
        <w:rPr>
          <w:rFonts w:ascii="Times New Roman" w:hAnsi="Times New Roman" w:cs="Times New Roman"/>
          <w:b/>
          <w:bCs/>
          <w:sz w:val="28"/>
          <w:szCs w:val="28"/>
        </w:rPr>
        <w:t>Объекты исследования</w:t>
      </w:r>
    </w:p>
    <w:p w14:paraId="52FA8BE4" w14:textId="77777777" w:rsidR="001F46C5" w:rsidRPr="00916B3A" w:rsidRDefault="00A51C5D" w:rsidP="00997125">
      <w:pPr>
        <w:pBdr>
          <w:bottom w:val="single" w:sz="4" w:space="31" w:color="FFFFFF"/>
        </w:pBdr>
        <w:tabs>
          <w:tab w:val="num" w:pos="0"/>
        </w:tabs>
        <w:autoSpaceDE w:val="0"/>
        <w:spacing w:after="0" w:line="240" w:lineRule="auto"/>
        <w:ind w:firstLine="567"/>
        <w:jc w:val="both"/>
        <w:rPr>
          <w:rFonts w:ascii="Times New Roman" w:hAnsi="Times New Roman" w:cs="Times New Roman"/>
          <w:bCs/>
          <w:sz w:val="28"/>
          <w:szCs w:val="28"/>
        </w:rPr>
      </w:pPr>
      <w:r w:rsidRPr="00916B3A">
        <w:rPr>
          <w:rFonts w:ascii="Times New Roman" w:hAnsi="Times New Roman" w:cs="Times New Roman"/>
          <w:bCs/>
          <w:sz w:val="28"/>
          <w:szCs w:val="28"/>
        </w:rPr>
        <w:t>Пациентки с репродуктивными потерями, включая тех, кто страдает от невынашивания беременности и рецидивов неудач имплантации</w:t>
      </w:r>
      <w:r w:rsidR="008A740D" w:rsidRPr="00916B3A">
        <w:rPr>
          <w:rFonts w:ascii="Times New Roman" w:hAnsi="Times New Roman" w:cs="Times New Roman"/>
          <w:bCs/>
          <w:sz w:val="28"/>
          <w:szCs w:val="28"/>
        </w:rPr>
        <w:t>.</w:t>
      </w:r>
    </w:p>
    <w:p w14:paraId="2BB79A14" w14:textId="77777777" w:rsidR="001F46C5" w:rsidRPr="00916B3A" w:rsidRDefault="00F36D65" w:rsidP="00997125">
      <w:pPr>
        <w:pBdr>
          <w:bottom w:val="single" w:sz="4" w:space="31" w:color="FFFFFF"/>
        </w:pBdr>
        <w:tabs>
          <w:tab w:val="num" w:pos="0"/>
        </w:tabs>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Работа выполнялась с 2021 года по 2023 год на базе Научного центра акушерства гинекологии и перинатологии.</w:t>
      </w:r>
    </w:p>
    <w:p w14:paraId="2B9E991C" w14:textId="2504BCFC" w:rsidR="001F46C5" w:rsidRPr="00916B3A" w:rsidRDefault="00F36D65" w:rsidP="00997125">
      <w:pPr>
        <w:pBdr>
          <w:bottom w:val="single" w:sz="4" w:space="31" w:color="FFFFFF"/>
        </w:pBdr>
        <w:tabs>
          <w:tab w:val="num" w:pos="0"/>
        </w:tabs>
        <w:autoSpaceDE w:val="0"/>
        <w:spacing w:after="0" w:line="240" w:lineRule="auto"/>
        <w:ind w:firstLine="567"/>
        <w:jc w:val="both"/>
        <w:rPr>
          <w:rFonts w:ascii="Times New Roman" w:eastAsia="Arial Unicode MS" w:hAnsi="Times New Roman" w:cs="Times New Roman"/>
          <w:iCs/>
          <w:color w:val="000000"/>
          <w:u w:color="000000"/>
          <w:bdr w:val="nil"/>
        </w:rPr>
      </w:pPr>
      <w:r w:rsidRPr="00916B3A">
        <w:rPr>
          <w:rFonts w:ascii="Times New Roman" w:hAnsi="Times New Roman" w:cs="Times New Roman"/>
          <w:b/>
          <w:bCs/>
          <w:color w:val="000000" w:themeColor="text1"/>
          <w:sz w:val="28"/>
          <w:szCs w:val="28"/>
        </w:rPr>
        <w:t>Научная новизна</w:t>
      </w:r>
      <w:r w:rsidR="000B7B11" w:rsidRPr="00916B3A">
        <w:rPr>
          <w:rFonts w:ascii="Times New Roman" w:hAnsi="Times New Roman" w:cs="Times New Roman"/>
          <w:b/>
          <w:bCs/>
          <w:color w:val="000000" w:themeColor="text1"/>
          <w:sz w:val="28"/>
          <w:szCs w:val="28"/>
        </w:rPr>
        <w:t xml:space="preserve">. </w:t>
      </w:r>
    </w:p>
    <w:p w14:paraId="12C9F9C9" w14:textId="68EAA064" w:rsidR="00D469E3" w:rsidRPr="00916B3A" w:rsidRDefault="00E86C6A" w:rsidP="00997125">
      <w:pPr>
        <w:pBdr>
          <w:bottom w:val="single" w:sz="4" w:space="31" w:color="FFFFFF"/>
        </w:pBdr>
        <w:tabs>
          <w:tab w:val="num" w:pos="0"/>
        </w:tabs>
        <w:autoSpaceDE w:val="0"/>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color w:val="2C2D2E"/>
          <w:sz w:val="28"/>
          <w:szCs w:val="28"/>
        </w:rPr>
        <w:t>Впервые показан</w:t>
      </w:r>
      <w:r w:rsidR="001078CF" w:rsidRPr="00916B3A">
        <w:rPr>
          <w:rFonts w:ascii="Times New Roman" w:hAnsi="Times New Roman" w:cs="Times New Roman"/>
          <w:color w:val="2C2D2E"/>
          <w:sz w:val="28"/>
          <w:szCs w:val="28"/>
        </w:rPr>
        <w:t>а</w:t>
      </w:r>
      <w:r w:rsidRPr="00916B3A">
        <w:rPr>
          <w:rFonts w:ascii="Times New Roman" w:hAnsi="Times New Roman" w:cs="Times New Roman"/>
          <w:color w:val="2C2D2E"/>
          <w:sz w:val="28"/>
          <w:szCs w:val="28"/>
        </w:rPr>
        <w:t xml:space="preserve"> прогностическ</w:t>
      </w:r>
      <w:r w:rsidR="001078CF" w:rsidRPr="00916B3A">
        <w:rPr>
          <w:rFonts w:ascii="Times New Roman" w:hAnsi="Times New Roman" w:cs="Times New Roman"/>
          <w:color w:val="2C2D2E"/>
          <w:sz w:val="28"/>
          <w:szCs w:val="28"/>
        </w:rPr>
        <w:t xml:space="preserve">ая ценность </w:t>
      </w:r>
      <w:r w:rsidRPr="00916B3A">
        <w:rPr>
          <w:rFonts w:ascii="Times New Roman" w:hAnsi="Times New Roman" w:cs="Times New Roman"/>
          <w:color w:val="2C2D2E"/>
          <w:sz w:val="28"/>
          <w:szCs w:val="28"/>
        </w:rPr>
        <w:t>толщины эндометрия (</w:t>
      </w:r>
      <w:r w:rsidRPr="00916B3A">
        <w:rPr>
          <w:rFonts w:ascii="Times New Roman" w:hAnsi="Times New Roman" w:cs="Times New Roman"/>
          <w:sz w:val="28"/>
          <w:szCs w:val="28"/>
        </w:rPr>
        <w:t xml:space="preserve">менее 7 мм) </w:t>
      </w:r>
      <w:r w:rsidRPr="00916B3A">
        <w:rPr>
          <w:rFonts w:ascii="Times New Roman" w:hAnsi="Times New Roman" w:cs="Times New Roman"/>
          <w:color w:val="2C2D2E"/>
          <w:sz w:val="28"/>
          <w:szCs w:val="28"/>
        </w:rPr>
        <w:t xml:space="preserve">при </w:t>
      </w:r>
      <w:r w:rsidR="00D469E3" w:rsidRPr="00916B3A">
        <w:rPr>
          <w:rFonts w:ascii="Times New Roman" w:hAnsi="Times New Roman" w:cs="Times New Roman"/>
          <w:color w:val="2C2D2E"/>
          <w:sz w:val="28"/>
          <w:szCs w:val="28"/>
        </w:rPr>
        <w:t xml:space="preserve">наступлении </w:t>
      </w:r>
      <w:r w:rsidRPr="00916B3A">
        <w:rPr>
          <w:rFonts w:ascii="Times New Roman" w:hAnsi="Times New Roman" w:cs="Times New Roman"/>
          <w:color w:val="2C2D2E"/>
          <w:sz w:val="28"/>
          <w:szCs w:val="28"/>
        </w:rPr>
        <w:t>внутри- и внематочной беременности, при самопроизвольном выкидыше</w:t>
      </w:r>
      <w:r w:rsidRPr="00916B3A">
        <w:rPr>
          <w:rFonts w:ascii="Times New Roman" w:hAnsi="Times New Roman" w:cs="Times New Roman"/>
          <w:color w:val="000000" w:themeColor="text1"/>
          <w:sz w:val="28"/>
          <w:szCs w:val="28"/>
        </w:rPr>
        <w:t xml:space="preserve">. </w:t>
      </w:r>
      <w:bookmarkStart w:id="8" w:name="_Hlk122551051"/>
    </w:p>
    <w:p w14:paraId="7F7CAACE" w14:textId="03BC41B2" w:rsidR="001F46C5" w:rsidRPr="00916B3A" w:rsidRDefault="00BA510F" w:rsidP="00997125">
      <w:pPr>
        <w:pBdr>
          <w:bottom w:val="single" w:sz="4" w:space="31" w:color="FFFFFF"/>
        </w:pBdr>
        <w:tabs>
          <w:tab w:val="num" w:pos="0"/>
        </w:tabs>
        <w:autoSpaceDE w:val="0"/>
        <w:spacing w:after="0" w:line="240" w:lineRule="auto"/>
        <w:ind w:firstLine="567"/>
        <w:jc w:val="both"/>
        <w:rPr>
          <w:rFonts w:ascii="Times New Roman" w:eastAsia="Arial Unicode MS" w:hAnsi="Times New Roman" w:cs="Times New Roman"/>
          <w:iCs/>
          <w:color w:val="000000"/>
          <w:u w:color="000000"/>
          <w:bdr w:val="nil"/>
        </w:rPr>
      </w:pPr>
      <w:r w:rsidRPr="00916B3A">
        <w:rPr>
          <w:rFonts w:ascii="Times New Roman" w:hAnsi="Times New Roman" w:cs="Times New Roman"/>
          <w:sz w:val="28"/>
          <w:szCs w:val="28"/>
          <w:shd w:val="clear" w:color="auto" w:fill="FFFFFF"/>
        </w:rPr>
        <w:t>Впервые</w:t>
      </w:r>
      <w:r w:rsidR="001078CF" w:rsidRPr="00916B3A">
        <w:rPr>
          <w:rFonts w:ascii="Times New Roman" w:hAnsi="Times New Roman" w:cs="Times New Roman"/>
          <w:sz w:val="28"/>
          <w:szCs w:val="28"/>
          <w:shd w:val="clear" w:color="auto" w:fill="FFFFFF"/>
        </w:rPr>
        <w:t xml:space="preserve"> </w:t>
      </w:r>
      <w:r w:rsidR="0092319E" w:rsidRPr="00916B3A">
        <w:rPr>
          <w:rFonts w:ascii="Times New Roman" w:hAnsi="Times New Roman" w:cs="Times New Roman"/>
          <w:sz w:val="28"/>
          <w:szCs w:val="28"/>
          <w:shd w:val="clear" w:color="auto" w:fill="FFFFFF"/>
        </w:rPr>
        <w:t>показаны патогенетические аспекты на</w:t>
      </w:r>
      <w:r w:rsidR="00784FF2" w:rsidRPr="00916B3A">
        <w:rPr>
          <w:rFonts w:ascii="Times New Roman" w:hAnsi="Times New Roman" w:cs="Times New Roman"/>
          <w:sz w:val="28"/>
          <w:szCs w:val="28"/>
          <w:shd w:val="clear" w:color="auto" w:fill="FFFFFF"/>
        </w:rPr>
        <w:t>р</w:t>
      </w:r>
      <w:r w:rsidR="0092319E" w:rsidRPr="00916B3A">
        <w:rPr>
          <w:rFonts w:ascii="Times New Roman" w:hAnsi="Times New Roman" w:cs="Times New Roman"/>
          <w:sz w:val="28"/>
          <w:szCs w:val="28"/>
          <w:shd w:val="clear" w:color="auto" w:fill="FFFFFF"/>
        </w:rPr>
        <w:t>ушения рецептивности эндом</w:t>
      </w:r>
      <w:r w:rsidR="00784FF2" w:rsidRPr="00916B3A">
        <w:rPr>
          <w:rFonts w:ascii="Times New Roman" w:hAnsi="Times New Roman" w:cs="Times New Roman"/>
          <w:sz w:val="28"/>
          <w:szCs w:val="28"/>
          <w:shd w:val="clear" w:color="auto" w:fill="FFFFFF"/>
        </w:rPr>
        <w:t>е</w:t>
      </w:r>
      <w:r w:rsidR="0092319E" w:rsidRPr="00916B3A">
        <w:rPr>
          <w:rFonts w:ascii="Times New Roman" w:hAnsi="Times New Roman" w:cs="Times New Roman"/>
          <w:sz w:val="28"/>
          <w:szCs w:val="28"/>
          <w:shd w:val="clear" w:color="auto" w:fill="FFFFFF"/>
        </w:rPr>
        <w:t>т</w:t>
      </w:r>
      <w:r w:rsidR="00784FF2" w:rsidRPr="00916B3A">
        <w:rPr>
          <w:rFonts w:ascii="Times New Roman" w:hAnsi="Times New Roman" w:cs="Times New Roman"/>
          <w:sz w:val="28"/>
          <w:szCs w:val="28"/>
          <w:shd w:val="clear" w:color="auto" w:fill="FFFFFF"/>
        </w:rPr>
        <w:t>ри</w:t>
      </w:r>
      <w:r w:rsidR="0092319E" w:rsidRPr="00916B3A">
        <w:rPr>
          <w:rFonts w:ascii="Times New Roman" w:hAnsi="Times New Roman" w:cs="Times New Roman"/>
          <w:sz w:val="28"/>
          <w:szCs w:val="28"/>
          <w:shd w:val="clear" w:color="auto" w:fill="FFFFFF"/>
        </w:rPr>
        <w:t xml:space="preserve">я </w:t>
      </w:r>
      <w:r w:rsidR="00784FF2" w:rsidRPr="00916B3A">
        <w:rPr>
          <w:rFonts w:ascii="Times New Roman" w:hAnsi="Times New Roman" w:cs="Times New Roman"/>
          <w:sz w:val="28"/>
          <w:szCs w:val="28"/>
          <w:shd w:val="clear" w:color="auto" w:fill="FFFFFF"/>
        </w:rPr>
        <w:t xml:space="preserve">в виде снижения экспрессии комбинации генов C4BPA+CXCL1 в эндометрии </w:t>
      </w:r>
      <w:r w:rsidR="0092319E" w:rsidRPr="00916B3A">
        <w:rPr>
          <w:rFonts w:ascii="Times New Roman" w:hAnsi="Times New Roman" w:cs="Times New Roman"/>
          <w:sz w:val="28"/>
          <w:szCs w:val="28"/>
          <w:shd w:val="clear" w:color="auto" w:fill="FFFFFF"/>
        </w:rPr>
        <w:t xml:space="preserve">у пациенток с </w:t>
      </w:r>
      <w:r w:rsidR="00784FF2" w:rsidRPr="00916B3A">
        <w:rPr>
          <w:rFonts w:ascii="Times New Roman" w:hAnsi="Times New Roman" w:cs="Times New Roman"/>
          <w:sz w:val="28"/>
          <w:szCs w:val="28"/>
          <w:shd w:val="clear" w:color="auto" w:fill="FFFFFF"/>
        </w:rPr>
        <w:t xml:space="preserve">рецидивами неудач имплантации и с «тонким эндометрием» в </w:t>
      </w:r>
      <w:r w:rsidR="00E7433D">
        <w:rPr>
          <w:rFonts w:ascii="Times New Roman" w:hAnsi="Times New Roman" w:cs="Times New Roman"/>
          <w:sz w:val="28"/>
          <w:szCs w:val="28"/>
          <w:shd w:val="clear" w:color="auto" w:fill="FFFFFF"/>
        </w:rPr>
        <w:t>сравнении с фертильными пациент</w:t>
      </w:r>
      <w:r w:rsidR="00784FF2" w:rsidRPr="00916B3A">
        <w:rPr>
          <w:rFonts w:ascii="Times New Roman" w:hAnsi="Times New Roman" w:cs="Times New Roman"/>
          <w:sz w:val="28"/>
          <w:szCs w:val="28"/>
          <w:shd w:val="clear" w:color="auto" w:fill="FFFFFF"/>
        </w:rPr>
        <w:t xml:space="preserve">ками, а также снижение экспрессии гена </w:t>
      </w:r>
      <w:r w:rsidR="00784FF2" w:rsidRPr="00916B3A">
        <w:rPr>
          <w:rFonts w:ascii="Times New Roman" w:hAnsi="Times New Roman" w:cs="Times New Roman"/>
          <w:sz w:val="28"/>
          <w:szCs w:val="28"/>
        </w:rPr>
        <w:t>IL-15</w:t>
      </w:r>
      <w:r w:rsidR="00784FF2" w:rsidRPr="00916B3A">
        <w:rPr>
          <w:rFonts w:ascii="Times New Roman" w:hAnsi="Times New Roman" w:cs="Times New Roman"/>
          <w:iCs/>
          <w:color w:val="000000"/>
          <w:sz w:val="28"/>
          <w:szCs w:val="28"/>
        </w:rPr>
        <w:t xml:space="preserve"> </w:t>
      </w:r>
      <w:r w:rsidR="00784FF2" w:rsidRPr="00916B3A">
        <w:rPr>
          <w:rFonts w:ascii="Times New Roman" w:hAnsi="Times New Roman" w:cs="Times New Roman"/>
          <w:sz w:val="28"/>
          <w:szCs w:val="28"/>
          <w:shd w:val="clear" w:color="auto" w:fill="FFFFFF"/>
        </w:rPr>
        <w:t xml:space="preserve">у пациенток с рецидивами неудач имплантации в программах ЭКО </w:t>
      </w:r>
      <w:r w:rsidR="00784FF2" w:rsidRPr="00916B3A">
        <w:rPr>
          <w:rFonts w:ascii="Times New Roman" w:hAnsi="Times New Roman" w:cs="Times New Roman"/>
          <w:iCs/>
          <w:color w:val="000000"/>
          <w:sz w:val="28"/>
          <w:szCs w:val="28"/>
        </w:rPr>
        <w:t>в сравнении с пациентками с рецидивами потери беременности. Указанные данные</w:t>
      </w:r>
      <w:r w:rsidRPr="00916B3A">
        <w:rPr>
          <w:rFonts w:ascii="Times New Roman" w:hAnsi="Times New Roman" w:cs="Times New Roman"/>
          <w:iCs/>
          <w:color w:val="000000"/>
          <w:sz w:val="28"/>
          <w:szCs w:val="28"/>
        </w:rPr>
        <w:t xml:space="preserve"> </w:t>
      </w:r>
      <w:r w:rsidRPr="00916B3A">
        <w:rPr>
          <w:rFonts w:ascii="Times New Roman" w:hAnsi="Times New Roman" w:cs="Times New Roman"/>
          <w:sz w:val="28"/>
          <w:szCs w:val="28"/>
          <w:shd w:val="clear" w:color="auto" w:fill="FFFFFF"/>
        </w:rPr>
        <w:t>являются новыми и имеют важное прикладное значение в качестве теоретической основы для разработки профилактических стратегий</w:t>
      </w:r>
      <w:r w:rsidR="005F4DD7" w:rsidRPr="00916B3A">
        <w:rPr>
          <w:rFonts w:ascii="Times New Roman" w:hAnsi="Times New Roman" w:cs="Times New Roman"/>
          <w:sz w:val="28"/>
          <w:szCs w:val="28"/>
        </w:rPr>
        <w:t>.</w:t>
      </w:r>
    </w:p>
    <w:p w14:paraId="3E1AD874" w14:textId="5263A695" w:rsidR="00C505D3" w:rsidRPr="00916B3A" w:rsidRDefault="00B52A34" w:rsidP="00997125">
      <w:pPr>
        <w:pBdr>
          <w:bottom w:val="single" w:sz="4" w:space="31" w:color="FFFFFF"/>
        </w:pBdr>
        <w:tabs>
          <w:tab w:val="num" w:pos="0"/>
        </w:tabs>
        <w:autoSpaceDE w:val="0"/>
        <w:spacing w:after="0" w:line="240" w:lineRule="auto"/>
        <w:ind w:firstLine="567"/>
        <w:jc w:val="both"/>
        <w:rPr>
          <w:rFonts w:ascii="Times New Roman" w:hAnsi="Times New Roman" w:cs="Times New Roman"/>
          <w:bCs/>
          <w:sz w:val="28"/>
          <w:szCs w:val="28"/>
        </w:rPr>
      </w:pPr>
      <w:r>
        <w:rPr>
          <w:rFonts w:ascii="Times New Roman" w:hAnsi="Times New Roman" w:cs="Times New Roman"/>
          <w:color w:val="000000" w:themeColor="text1"/>
          <w:sz w:val="28"/>
          <w:szCs w:val="28"/>
        </w:rPr>
        <w:t>Р</w:t>
      </w:r>
      <w:r w:rsidR="00C505D3" w:rsidRPr="00916B3A">
        <w:rPr>
          <w:rFonts w:ascii="Times New Roman" w:hAnsi="Times New Roman" w:cs="Times New Roman"/>
          <w:color w:val="000000" w:themeColor="text1"/>
          <w:sz w:val="28"/>
          <w:szCs w:val="28"/>
        </w:rPr>
        <w:t xml:space="preserve">азработан </w:t>
      </w:r>
      <w:r w:rsidR="00E86C6A" w:rsidRPr="00916B3A">
        <w:rPr>
          <w:rFonts w:ascii="Times New Roman" w:hAnsi="Times New Roman" w:cs="Times New Roman"/>
          <w:sz w:val="28"/>
          <w:szCs w:val="28"/>
          <w:shd w:val="clear" w:color="auto" w:fill="FFFFFF"/>
        </w:rPr>
        <w:t>новый инструмент при проведении прегравидарной подготовки перед проведением процедур ЭКО</w:t>
      </w:r>
      <w:r w:rsidR="00E86C6A" w:rsidRPr="00916B3A">
        <w:rPr>
          <w:rFonts w:ascii="Times New Roman" w:hAnsi="Times New Roman" w:cs="Times New Roman"/>
          <w:sz w:val="28"/>
          <w:szCs w:val="28"/>
        </w:rPr>
        <w:t xml:space="preserve"> – </w:t>
      </w:r>
      <w:r w:rsidR="008C46C4" w:rsidRPr="00916B3A">
        <w:rPr>
          <w:rFonts w:ascii="Times New Roman" w:hAnsi="Times New Roman" w:cs="Times New Roman"/>
          <w:sz w:val="28"/>
          <w:szCs w:val="28"/>
        </w:rPr>
        <w:t>алгоритм</w:t>
      </w:r>
      <w:r w:rsidR="00E86C6A" w:rsidRPr="00916B3A">
        <w:rPr>
          <w:rFonts w:ascii="Times New Roman" w:hAnsi="Times New Roman" w:cs="Times New Roman"/>
          <w:sz w:val="28"/>
          <w:szCs w:val="28"/>
        </w:rPr>
        <w:t xml:space="preserve"> </w:t>
      </w:r>
      <w:r w:rsidR="00E86C6A" w:rsidRPr="00916B3A">
        <w:rPr>
          <w:rFonts w:ascii="Times New Roman" w:hAnsi="Times New Roman" w:cs="Times New Roman"/>
          <w:bCs/>
          <w:sz w:val="28"/>
          <w:szCs w:val="28"/>
        </w:rPr>
        <w:t>ведения пациенток с репродуктивными потерями в анамнезе на основании клинико-инструментальных данных и транскриптомного анализа биоптата эндометрия</w:t>
      </w:r>
      <w:r w:rsidR="00C505D3" w:rsidRPr="00916B3A">
        <w:rPr>
          <w:rFonts w:ascii="Times New Roman" w:hAnsi="Times New Roman" w:cs="Times New Roman"/>
          <w:bCs/>
          <w:sz w:val="28"/>
          <w:szCs w:val="28"/>
        </w:rPr>
        <w:t>.</w:t>
      </w:r>
    </w:p>
    <w:bookmarkEnd w:id="8"/>
    <w:p w14:paraId="7A0FB073" w14:textId="77943F62" w:rsidR="00F36D65" w:rsidRPr="00916B3A" w:rsidRDefault="00F36D65" w:rsidP="00997125">
      <w:pPr>
        <w:pBdr>
          <w:bottom w:val="single" w:sz="4" w:space="31" w:color="FFFFFF"/>
        </w:pBdr>
        <w:tabs>
          <w:tab w:val="num" w:pos="0"/>
        </w:tabs>
        <w:autoSpaceDE w:val="0"/>
        <w:spacing w:after="0" w:line="240" w:lineRule="auto"/>
        <w:ind w:firstLine="567"/>
        <w:jc w:val="both"/>
        <w:rPr>
          <w:rFonts w:ascii="Times New Roman" w:eastAsia="Arial Unicode MS" w:hAnsi="Times New Roman" w:cs="Times New Roman"/>
          <w:iCs/>
          <w:color w:val="000000"/>
          <w:u w:color="000000"/>
          <w:bdr w:val="nil"/>
        </w:rPr>
      </w:pPr>
      <w:r w:rsidRPr="00916B3A">
        <w:rPr>
          <w:rFonts w:ascii="Times New Roman" w:hAnsi="Times New Roman" w:cs="Times New Roman"/>
          <w:b/>
          <w:bCs/>
          <w:color w:val="000000" w:themeColor="text1"/>
          <w:sz w:val="28"/>
          <w:szCs w:val="28"/>
        </w:rPr>
        <w:t>Практическая значимость</w:t>
      </w:r>
    </w:p>
    <w:p w14:paraId="24793978" w14:textId="62A50969" w:rsidR="00ED3B10" w:rsidRPr="00916B3A" w:rsidRDefault="005440FE" w:rsidP="00997125">
      <w:pPr>
        <w:pBdr>
          <w:bottom w:val="single" w:sz="4" w:space="31" w:color="FFFFFF"/>
        </w:pBdr>
        <w:tabs>
          <w:tab w:val="num" w:pos="0"/>
        </w:tabs>
        <w:autoSpaceDE w:val="0"/>
        <w:spacing w:after="0" w:line="240" w:lineRule="auto"/>
        <w:ind w:firstLine="567"/>
        <w:jc w:val="both"/>
        <w:rPr>
          <w:rFonts w:ascii="Times New Roman" w:hAnsi="Times New Roman" w:cs="Times New Roman"/>
          <w:color w:val="000000" w:themeColor="text1"/>
          <w:sz w:val="28"/>
          <w:szCs w:val="28"/>
        </w:rPr>
      </w:pPr>
      <w:bookmarkStart w:id="9" w:name="_Hlk122551114"/>
      <w:r w:rsidRPr="00916B3A">
        <w:rPr>
          <w:rFonts w:ascii="Times New Roman" w:hAnsi="Times New Roman" w:cs="Times New Roman"/>
          <w:sz w:val="28"/>
          <w:szCs w:val="28"/>
        </w:rPr>
        <w:t xml:space="preserve">В результате проведенного исследования была обоснована значимость «тонкого эндометрия» при репродуктивных дисфункциях.  </w:t>
      </w:r>
      <w:r w:rsidR="00CE5343" w:rsidRPr="00916B3A">
        <w:rPr>
          <w:rFonts w:ascii="Times New Roman" w:hAnsi="Times New Roman" w:cs="Times New Roman"/>
          <w:sz w:val="28"/>
          <w:szCs w:val="28"/>
        </w:rPr>
        <w:t xml:space="preserve">Было предложено информирование </w:t>
      </w:r>
      <w:bookmarkEnd w:id="9"/>
      <w:r w:rsidR="00CE5343" w:rsidRPr="00916B3A">
        <w:rPr>
          <w:rFonts w:ascii="Times New Roman" w:hAnsi="Times New Roman" w:cs="Times New Roman"/>
          <w:sz w:val="28"/>
          <w:szCs w:val="28"/>
        </w:rPr>
        <w:t>ж</w:t>
      </w:r>
      <w:r w:rsidR="00ED3B10" w:rsidRPr="00916B3A">
        <w:rPr>
          <w:rFonts w:ascii="Times New Roman" w:hAnsi="Times New Roman" w:cs="Times New Roman"/>
          <w:color w:val="000000" w:themeColor="text1"/>
          <w:sz w:val="28"/>
          <w:szCs w:val="28"/>
        </w:rPr>
        <w:t xml:space="preserve">енщин с тонким эндометрием о более низких шансах на зачатие, а в случае зачатия - о повышенном риске спонтанного аборта и внематочной беременности. </w:t>
      </w:r>
    </w:p>
    <w:p w14:paraId="4DBEE374" w14:textId="0536B478" w:rsidR="00B22BE3" w:rsidRPr="00916B3A" w:rsidRDefault="002F040F" w:rsidP="00997125">
      <w:pPr>
        <w:pBdr>
          <w:bottom w:val="single" w:sz="4" w:space="31" w:color="FFFFFF"/>
        </w:pBdr>
        <w:tabs>
          <w:tab w:val="num" w:pos="0"/>
        </w:tabs>
        <w:autoSpaceDE w:val="0"/>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Для уточнения причины нарушения репродукции у женщин после проведения</w:t>
      </w:r>
      <w:r w:rsidR="00BA3BD8" w:rsidRPr="00916B3A">
        <w:rPr>
          <w:rFonts w:ascii="Times New Roman" w:hAnsi="Times New Roman" w:cs="Times New Roman"/>
          <w:sz w:val="28"/>
          <w:szCs w:val="28"/>
        </w:rPr>
        <w:t xml:space="preserve"> ультразвукового и допплерометрического исследования эндометрия, целесообрано исследования биоптата эндометрия на экспрессию генов иммунного ответа </w:t>
      </w:r>
      <w:r w:rsidR="00CE5343" w:rsidRPr="00916B3A">
        <w:rPr>
          <w:rFonts w:ascii="Times New Roman" w:hAnsi="Times New Roman" w:cs="Times New Roman"/>
          <w:sz w:val="28"/>
          <w:szCs w:val="28"/>
        </w:rPr>
        <w:t xml:space="preserve">C4BPA, CXCL, IL15 </w:t>
      </w:r>
      <w:r w:rsidR="00BA3BD8" w:rsidRPr="00916B3A">
        <w:rPr>
          <w:rFonts w:ascii="Times New Roman" w:hAnsi="Times New Roman" w:cs="Times New Roman"/>
          <w:sz w:val="28"/>
          <w:szCs w:val="28"/>
        </w:rPr>
        <w:t xml:space="preserve">в </w:t>
      </w:r>
      <w:r w:rsidR="007F7206" w:rsidRPr="00916B3A">
        <w:rPr>
          <w:rFonts w:ascii="Times New Roman" w:hAnsi="Times New Roman" w:cs="Times New Roman"/>
          <w:sz w:val="28"/>
          <w:szCs w:val="28"/>
          <w:lang w:val="kk-KZ"/>
        </w:rPr>
        <w:t xml:space="preserve">период имплантационного окна с </w:t>
      </w:r>
      <w:r w:rsidR="007F7206" w:rsidRPr="00916B3A">
        <w:rPr>
          <w:rFonts w:ascii="Times New Roman" w:hAnsi="Times New Roman" w:cs="Times New Roman"/>
          <w:sz w:val="28"/>
          <w:szCs w:val="28"/>
        </w:rPr>
        <w:t>20-24 д</w:t>
      </w:r>
      <w:r w:rsidR="007F7206" w:rsidRPr="00916B3A">
        <w:rPr>
          <w:rFonts w:ascii="Times New Roman" w:hAnsi="Times New Roman" w:cs="Times New Roman"/>
          <w:sz w:val="28"/>
          <w:szCs w:val="28"/>
          <w:lang w:val="kk-KZ"/>
        </w:rPr>
        <w:t>ня</w:t>
      </w:r>
      <w:r w:rsidR="007F7206" w:rsidRPr="00916B3A">
        <w:rPr>
          <w:rFonts w:ascii="Times New Roman" w:hAnsi="Times New Roman" w:cs="Times New Roman"/>
          <w:sz w:val="28"/>
          <w:szCs w:val="28"/>
        </w:rPr>
        <w:t xml:space="preserve"> менструального цикла (без назначения гормональной терапии) </w:t>
      </w:r>
      <w:r w:rsidR="00BA3BD8" w:rsidRPr="00916B3A">
        <w:rPr>
          <w:rFonts w:ascii="Times New Roman" w:hAnsi="Times New Roman" w:cs="Times New Roman"/>
          <w:sz w:val="28"/>
          <w:szCs w:val="28"/>
        </w:rPr>
        <w:t>с целью выявления снижения рецептивности эндометрия</w:t>
      </w:r>
      <w:r w:rsidRPr="00916B3A">
        <w:rPr>
          <w:rFonts w:ascii="Times New Roman" w:hAnsi="Times New Roman" w:cs="Times New Roman"/>
          <w:sz w:val="28"/>
          <w:szCs w:val="28"/>
        </w:rPr>
        <w:t>.</w:t>
      </w:r>
    </w:p>
    <w:p w14:paraId="6C7A2363" w14:textId="4FBD8BA3" w:rsidR="00FD1776" w:rsidRPr="00916B3A" w:rsidRDefault="00ED3B10" w:rsidP="00997125">
      <w:pPr>
        <w:pBdr>
          <w:bottom w:val="single" w:sz="4" w:space="31" w:color="FFFFFF"/>
        </w:pBdr>
        <w:tabs>
          <w:tab w:val="num" w:pos="0"/>
        </w:tabs>
        <w:autoSpaceDE w:val="0"/>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 xml:space="preserve">Разработан алгоритм прогнозирования успешности имплантации </w:t>
      </w:r>
      <w:r w:rsidRPr="00916B3A">
        <w:rPr>
          <w:rFonts w:ascii="Times New Roman" w:hAnsi="Times New Roman" w:cs="Times New Roman"/>
          <w:color w:val="000000" w:themeColor="text1"/>
          <w:sz w:val="28"/>
          <w:szCs w:val="28"/>
        </w:rPr>
        <w:t xml:space="preserve">на основе изучения </w:t>
      </w:r>
      <w:r w:rsidRPr="00916B3A">
        <w:rPr>
          <w:rFonts w:ascii="Times New Roman" w:hAnsi="Times New Roman" w:cs="Times New Roman"/>
          <w:color w:val="000000" w:themeColor="text1"/>
          <w:sz w:val="28"/>
          <w:szCs w:val="28"/>
          <w:lang w:val="kk-KZ"/>
        </w:rPr>
        <w:t>факторов риска рецидивов репродуктивных потерь</w:t>
      </w:r>
      <w:r w:rsidRPr="00916B3A">
        <w:rPr>
          <w:rFonts w:ascii="Times New Roman" w:hAnsi="Times New Roman" w:cs="Times New Roman"/>
          <w:color w:val="000000" w:themeColor="text1"/>
          <w:sz w:val="28"/>
          <w:szCs w:val="28"/>
        </w:rPr>
        <w:t>, данных инструментального исследования</w:t>
      </w:r>
      <w:r w:rsidRPr="00916B3A">
        <w:rPr>
          <w:rFonts w:ascii="Times New Roman" w:hAnsi="Times New Roman" w:cs="Times New Roman"/>
          <w:color w:val="000000" w:themeColor="text1"/>
          <w:sz w:val="28"/>
          <w:szCs w:val="28"/>
          <w:lang w:val="kk-KZ"/>
        </w:rPr>
        <w:t xml:space="preserve"> и </w:t>
      </w:r>
      <w:r w:rsidRPr="00916B3A">
        <w:rPr>
          <w:rFonts w:ascii="Times New Roman" w:hAnsi="Times New Roman" w:cs="Times New Roman"/>
          <w:color w:val="000000" w:themeColor="text1"/>
          <w:sz w:val="28"/>
          <w:szCs w:val="28"/>
        </w:rPr>
        <w:t xml:space="preserve">экспрессии генов иммунного ответа </w:t>
      </w:r>
      <w:r w:rsidRPr="00916B3A">
        <w:rPr>
          <w:rFonts w:ascii="Times New Roman" w:hAnsi="Times New Roman" w:cs="Times New Roman"/>
          <w:sz w:val="28"/>
          <w:szCs w:val="28"/>
        </w:rPr>
        <w:t>в дни «имплантационного окна», позволя</w:t>
      </w:r>
      <w:r w:rsidR="00CE5343" w:rsidRPr="00916B3A">
        <w:rPr>
          <w:rFonts w:ascii="Times New Roman" w:hAnsi="Times New Roman" w:cs="Times New Roman"/>
          <w:sz w:val="28"/>
          <w:szCs w:val="28"/>
        </w:rPr>
        <w:t xml:space="preserve">ющий </w:t>
      </w:r>
      <w:r w:rsidR="00DD1967" w:rsidRPr="00916B3A">
        <w:rPr>
          <w:rFonts w:ascii="Times New Roman" w:hAnsi="Times New Roman" w:cs="Times New Roman"/>
          <w:sz w:val="28"/>
          <w:szCs w:val="28"/>
        </w:rPr>
        <w:t xml:space="preserve">составлять персонализированный план предгравидарной подготовки, и таким образом </w:t>
      </w:r>
      <w:r w:rsidRPr="00916B3A">
        <w:rPr>
          <w:rFonts w:ascii="Times New Roman" w:hAnsi="Times New Roman" w:cs="Times New Roman"/>
          <w:sz w:val="28"/>
          <w:szCs w:val="28"/>
        </w:rPr>
        <w:t xml:space="preserve">повысить результативность программ ЭКО </w:t>
      </w:r>
      <w:r w:rsidR="00B22BE3" w:rsidRPr="00916B3A">
        <w:rPr>
          <w:rFonts w:ascii="Times New Roman" w:hAnsi="Times New Roman" w:cs="Times New Roman"/>
          <w:sz w:val="28"/>
          <w:szCs w:val="28"/>
        </w:rPr>
        <w:t>(</w:t>
      </w:r>
      <w:r w:rsidR="004C4BC9" w:rsidRPr="00916B3A">
        <w:rPr>
          <w:rFonts w:ascii="Times New Roman" w:hAnsi="Times New Roman" w:cs="Times New Roman"/>
          <w:bCs/>
          <w:sz w:val="28"/>
          <w:szCs w:val="28"/>
        </w:rPr>
        <w:t>Свидетельство о внесении сведений в государственный реестр прав на объекты, охраняемые авторским правом,</w:t>
      </w:r>
      <w:r w:rsidR="004C4BC9" w:rsidRPr="00916B3A">
        <w:rPr>
          <w:rFonts w:ascii="Times New Roman" w:hAnsi="Times New Roman" w:cs="Times New Roman"/>
          <w:sz w:val="28"/>
          <w:szCs w:val="28"/>
        </w:rPr>
        <w:t xml:space="preserve"> </w:t>
      </w:r>
      <w:bookmarkStart w:id="10" w:name="_Hlk183016201"/>
      <w:r w:rsidR="00B22BE3" w:rsidRPr="00916B3A">
        <w:rPr>
          <w:rFonts w:ascii="Times New Roman" w:hAnsi="Times New Roman" w:cs="Times New Roman"/>
          <w:sz w:val="28"/>
          <w:szCs w:val="28"/>
        </w:rPr>
        <w:t xml:space="preserve">№52487 от «11» декабря </w:t>
      </w:r>
      <w:bookmarkEnd w:id="10"/>
      <w:r w:rsidR="00B22BE3" w:rsidRPr="00916B3A">
        <w:rPr>
          <w:rFonts w:ascii="Times New Roman" w:hAnsi="Times New Roman" w:cs="Times New Roman"/>
          <w:sz w:val="28"/>
          <w:szCs w:val="28"/>
        </w:rPr>
        <w:t>2024 года).</w:t>
      </w:r>
      <w:r w:rsidRPr="00916B3A">
        <w:rPr>
          <w:rFonts w:ascii="Times New Roman" w:hAnsi="Times New Roman" w:cs="Times New Roman"/>
          <w:sz w:val="24"/>
          <w:szCs w:val="24"/>
        </w:rPr>
        <w:t xml:space="preserve"> </w:t>
      </w:r>
    </w:p>
    <w:p w14:paraId="0B92D1D0" w14:textId="2AEA651C" w:rsidR="00FD1776" w:rsidRPr="00916B3A" w:rsidRDefault="00F36D65"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b/>
          <w:sz w:val="28"/>
          <w:szCs w:val="28"/>
        </w:rPr>
      </w:pPr>
      <w:r w:rsidRPr="00916B3A">
        <w:rPr>
          <w:rFonts w:ascii="Times New Roman" w:hAnsi="Times New Roman" w:cs="Times New Roman"/>
          <w:b/>
          <w:sz w:val="28"/>
          <w:szCs w:val="28"/>
        </w:rPr>
        <w:t xml:space="preserve">Апробация и внедрение результатов исследования. </w:t>
      </w:r>
    </w:p>
    <w:p w14:paraId="7E246CCE" w14:textId="226559CF" w:rsidR="009C6FB1" w:rsidRPr="00916B3A" w:rsidRDefault="00F36D65"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bCs/>
          <w:sz w:val="28"/>
          <w:szCs w:val="28"/>
        </w:rPr>
      </w:pPr>
      <w:r w:rsidRPr="00916B3A">
        <w:rPr>
          <w:rFonts w:ascii="Times New Roman" w:hAnsi="Times New Roman" w:cs="Times New Roman"/>
          <w:bCs/>
          <w:sz w:val="28"/>
          <w:szCs w:val="28"/>
        </w:rPr>
        <w:t>Основные положение работы доложены и обсуждены на:</w:t>
      </w:r>
    </w:p>
    <w:p w14:paraId="6EAC2FC1" w14:textId="40CE93AF" w:rsidR="00D120CD" w:rsidRPr="00916B3A" w:rsidRDefault="00F36D65"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bCs/>
          <w:sz w:val="28"/>
          <w:szCs w:val="28"/>
          <w:lang w:bidi="ru-RU"/>
        </w:rPr>
      </w:pPr>
      <w:r w:rsidRPr="00916B3A">
        <w:rPr>
          <w:rFonts w:ascii="Times New Roman" w:hAnsi="Times New Roman" w:cs="Times New Roman"/>
          <w:color w:val="000000" w:themeColor="text1"/>
          <w:sz w:val="28"/>
          <w:szCs w:val="28"/>
        </w:rPr>
        <w:t>-</w:t>
      </w:r>
      <w:r w:rsidR="00D120CD"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bCs/>
          <w:sz w:val="28"/>
          <w:szCs w:val="28"/>
          <w:lang w:val="en-US" w:bidi="ru-RU"/>
        </w:rPr>
        <w:t>V</w:t>
      </w:r>
      <w:r w:rsidRPr="00916B3A">
        <w:rPr>
          <w:rFonts w:ascii="Times New Roman" w:hAnsi="Times New Roman" w:cs="Times New Roman"/>
          <w:bCs/>
          <w:sz w:val="28"/>
          <w:szCs w:val="28"/>
          <w:lang w:val="kk-KZ" w:bidi="ru-RU"/>
        </w:rPr>
        <w:t xml:space="preserve"> </w:t>
      </w:r>
      <w:r w:rsidRPr="00916B3A">
        <w:rPr>
          <w:rFonts w:ascii="Times New Roman" w:hAnsi="Times New Roman" w:cs="Times New Roman"/>
          <w:bCs/>
          <w:sz w:val="28"/>
          <w:szCs w:val="28"/>
          <w:lang w:bidi="ru-RU"/>
        </w:rPr>
        <w:t>Международн</w:t>
      </w:r>
      <w:r w:rsidR="004C6520" w:rsidRPr="00916B3A">
        <w:rPr>
          <w:rFonts w:ascii="Times New Roman" w:hAnsi="Times New Roman" w:cs="Times New Roman"/>
          <w:bCs/>
          <w:sz w:val="28"/>
          <w:szCs w:val="28"/>
          <w:lang w:bidi="ru-RU"/>
        </w:rPr>
        <w:t>ом</w:t>
      </w:r>
      <w:r w:rsidRPr="00916B3A">
        <w:rPr>
          <w:rFonts w:ascii="Times New Roman" w:hAnsi="Times New Roman" w:cs="Times New Roman"/>
          <w:bCs/>
          <w:sz w:val="28"/>
          <w:szCs w:val="28"/>
          <w:lang w:bidi="ru-RU"/>
        </w:rPr>
        <w:t xml:space="preserve"> научно-образовательн</w:t>
      </w:r>
      <w:r w:rsidR="004C6520" w:rsidRPr="00916B3A">
        <w:rPr>
          <w:rFonts w:ascii="Times New Roman" w:hAnsi="Times New Roman" w:cs="Times New Roman"/>
          <w:bCs/>
          <w:sz w:val="28"/>
          <w:szCs w:val="28"/>
          <w:lang w:bidi="ru-RU"/>
        </w:rPr>
        <w:t xml:space="preserve">ом </w:t>
      </w:r>
      <w:r w:rsidRPr="00916B3A">
        <w:rPr>
          <w:rFonts w:ascii="Times New Roman" w:hAnsi="Times New Roman" w:cs="Times New Roman"/>
          <w:bCs/>
          <w:sz w:val="28"/>
          <w:szCs w:val="28"/>
          <w:lang w:bidi="ru-RU"/>
        </w:rPr>
        <w:t>форум</w:t>
      </w:r>
      <w:r w:rsidR="004C6520" w:rsidRPr="00916B3A">
        <w:rPr>
          <w:rFonts w:ascii="Times New Roman" w:hAnsi="Times New Roman" w:cs="Times New Roman"/>
          <w:bCs/>
          <w:sz w:val="28"/>
          <w:szCs w:val="28"/>
          <w:lang w:bidi="ru-RU"/>
        </w:rPr>
        <w:t>е</w:t>
      </w:r>
      <w:r w:rsidRPr="00916B3A">
        <w:rPr>
          <w:rFonts w:ascii="Times New Roman" w:hAnsi="Times New Roman" w:cs="Times New Roman"/>
          <w:bCs/>
          <w:sz w:val="28"/>
          <w:szCs w:val="28"/>
          <w:lang w:bidi="ru-RU"/>
        </w:rPr>
        <w:t xml:space="preserve"> «Ана мен бала</w:t>
      </w:r>
      <w:r w:rsidR="00E84431" w:rsidRPr="00916B3A">
        <w:rPr>
          <w:rFonts w:ascii="Times New Roman" w:hAnsi="Times New Roman" w:cs="Times New Roman"/>
          <w:bCs/>
          <w:sz w:val="28"/>
          <w:szCs w:val="28"/>
          <w:lang w:bidi="ru-RU"/>
        </w:rPr>
        <w:t>», доклад</w:t>
      </w:r>
      <w:r w:rsidRPr="00916B3A">
        <w:rPr>
          <w:rFonts w:ascii="Times New Roman" w:hAnsi="Times New Roman" w:cs="Times New Roman"/>
          <w:bCs/>
          <w:sz w:val="28"/>
          <w:szCs w:val="28"/>
          <w:lang w:bidi="ru-RU"/>
        </w:rPr>
        <w:t xml:space="preserve"> «Факторы риска неудачных имплантации»</w:t>
      </w:r>
      <w:r w:rsidRPr="00916B3A">
        <w:rPr>
          <w:rFonts w:ascii="Times New Roman" w:hAnsi="Times New Roman" w:cs="Times New Roman"/>
          <w:sz w:val="28"/>
          <w:szCs w:val="28"/>
        </w:rPr>
        <w:t xml:space="preserve"> (</w:t>
      </w:r>
      <w:r w:rsidR="00AC6EDE" w:rsidRPr="00916B3A">
        <w:rPr>
          <w:rFonts w:ascii="Times New Roman" w:hAnsi="Times New Roman" w:cs="Times New Roman"/>
          <w:sz w:val="28"/>
          <w:szCs w:val="28"/>
        </w:rPr>
        <w:t xml:space="preserve">Алматы, 19 мая </w:t>
      </w:r>
      <w:r w:rsidRPr="00916B3A">
        <w:rPr>
          <w:rFonts w:ascii="Times New Roman" w:hAnsi="Times New Roman" w:cs="Times New Roman"/>
          <w:sz w:val="28"/>
          <w:szCs w:val="28"/>
        </w:rPr>
        <w:t>2022);</w:t>
      </w:r>
      <w:r w:rsidRPr="00916B3A">
        <w:rPr>
          <w:rFonts w:ascii="Times New Roman" w:hAnsi="Times New Roman" w:cs="Times New Roman"/>
          <w:bCs/>
          <w:sz w:val="28"/>
          <w:szCs w:val="28"/>
          <w:lang w:bidi="ru-RU"/>
        </w:rPr>
        <w:t xml:space="preserve"> </w:t>
      </w:r>
    </w:p>
    <w:p w14:paraId="4264192E" w14:textId="048BCE26" w:rsidR="009C6FB1" w:rsidRPr="00916B3A" w:rsidRDefault="00F36D65"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bCs/>
          <w:sz w:val="28"/>
          <w:szCs w:val="28"/>
        </w:rPr>
      </w:pPr>
      <w:r w:rsidRPr="00916B3A">
        <w:rPr>
          <w:rFonts w:ascii="Times New Roman" w:hAnsi="Times New Roman" w:cs="Times New Roman"/>
          <w:color w:val="000000" w:themeColor="text1"/>
          <w:sz w:val="28"/>
          <w:szCs w:val="28"/>
        </w:rPr>
        <w:t>-</w:t>
      </w:r>
      <w:r w:rsidR="00D120CD"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bCs/>
          <w:sz w:val="28"/>
          <w:szCs w:val="28"/>
          <w:lang w:bidi="ru-RU"/>
        </w:rPr>
        <w:t>Международн</w:t>
      </w:r>
      <w:r w:rsidR="004C6520" w:rsidRPr="00916B3A">
        <w:rPr>
          <w:rFonts w:ascii="Times New Roman" w:hAnsi="Times New Roman" w:cs="Times New Roman"/>
          <w:bCs/>
          <w:sz w:val="28"/>
          <w:szCs w:val="28"/>
          <w:lang w:bidi="ru-RU"/>
        </w:rPr>
        <w:t>ом</w:t>
      </w:r>
      <w:r w:rsidRPr="00916B3A">
        <w:rPr>
          <w:rFonts w:ascii="Times New Roman" w:hAnsi="Times New Roman" w:cs="Times New Roman"/>
          <w:bCs/>
          <w:sz w:val="28"/>
          <w:szCs w:val="28"/>
          <w:lang w:bidi="ru-RU"/>
        </w:rPr>
        <w:t xml:space="preserve"> Конгресс «</w:t>
      </w:r>
      <w:r w:rsidRPr="00916B3A">
        <w:rPr>
          <w:rFonts w:ascii="Times New Roman" w:hAnsi="Times New Roman" w:cs="Times New Roman"/>
          <w:bCs/>
          <w:sz w:val="28"/>
          <w:szCs w:val="28"/>
          <w:lang w:val="en-US" w:bidi="ru-RU"/>
        </w:rPr>
        <w:t>Global</w:t>
      </w:r>
      <w:r w:rsidRPr="00916B3A">
        <w:rPr>
          <w:rFonts w:ascii="Times New Roman" w:hAnsi="Times New Roman" w:cs="Times New Roman"/>
          <w:bCs/>
          <w:sz w:val="28"/>
          <w:szCs w:val="28"/>
          <w:lang w:bidi="ru-RU"/>
        </w:rPr>
        <w:t xml:space="preserve"> </w:t>
      </w:r>
      <w:r w:rsidRPr="00916B3A">
        <w:rPr>
          <w:rFonts w:ascii="Times New Roman" w:hAnsi="Times New Roman" w:cs="Times New Roman"/>
          <w:bCs/>
          <w:sz w:val="28"/>
          <w:szCs w:val="28"/>
          <w:lang w:val="en-US" w:bidi="ru-RU"/>
        </w:rPr>
        <w:t>Health</w:t>
      </w:r>
      <w:r w:rsidRPr="00916B3A">
        <w:rPr>
          <w:rFonts w:ascii="Times New Roman" w:hAnsi="Times New Roman" w:cs="Times New Roman"/>
          <w:bCs/>
          <w:sz w:val="28"/>
          <w:szCs w:val="28"/>
          <w:lang w:bidi="ru-RU"/>
        </w:rPr>
        <w:t>»</w:t>
      </w:r>
      <w:r w:rsidR="001A5C62" w:rsidRPr="00916B3A">
        <w:rPr>
          <w:rFonts w:ascii="Times New Roman" w:hAnsi="Times New Roman" w:cs="Times New Roman"/>
          <w:bCs/>
          <w:sz w:val="28"/>
          <w:szCs w:val="28"/>
          <w:lang w:bidi="ru-RU"/>
        </w:rPr>
        <w:t>,</w:t>
      </w:r>
      <w:r w:rsidRPr="00916B3A">
        <w:rPr>
          <w:rFonts w:ascii="Times New Roman" w:hAnsi="Times New Roman" w:cs="Times New Roman"/>
          <w:bCs/>
          <w:sz w:val="28"/>
          <w:szCs w:val="28"/>
          <w:lang w:bidi="ru-RU"/>
        </w:rPr>
        <w:t xml:space="preserve"> посвященный 25-летию со дня основания</w:t>
      </w:r>
      <w:r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bCs/>
          <w:sz w:val="28"/>
          <w:szCs w:val="28"/>
          <w:lang w:bidi="ru-RU"/>
        </w:rPr>
        <w:t>Казахстанского медицинского университета «ВШОЗ» и подписани</w:t>
      </w:r>
      <w:r w:rsidR="00ED512A" w:rsidRPr="00916B3A">
        <w:rPr>
          <w:rFonts w:ascii="Times New Roman" w:hAnsi="Times New Roman" w:cs="Times New Roman"/>
          <w:bCs/>
          <w:sz w:val="28"/>
          <w:szCs w:val="28"/>
          <w:lang w:bidi="ru-RU"/>
        </w:rPr>
        <w:t>я</w:t>
      </w:r>
      <w:r w:rsidRPr="00916B3A">
        <w:rPr>
          <w:rFonts w:ascii="Times New Roman" w:hAnsi="Times New Roman" w:cs="Times New Roman"/>
          <w:bCs/>
          <w:sz w:val="28"/>
          <w:szCs w:val="28"/>
          <w:lang w:bidi="ru-RU"/>
        </w:rPr>
        <w:t xml:space="preserve"> Соглашения между Европейское региональное бюро ВОЗ и Министерство</w:t>
      </w:r>
      <w:r w:rsidR="00ED512A" w:rsidRPr="00916B3A">
        <w:rPr>
          <w:rFonts w:ascii="Times New Roman" w:hAnsi="Times New Roman" w:cs="Times New Roman"/>
          <w:bCs/>
          <w:sz w:val="28"/>
          <w:szCs w:val="28"/>
          <w:lang w:bidi="ru-RU"/>
        </w:rPr>
        <w:t>м</w:t>
      </w:r>
      <w:r w:rsidRPr="00916B3A">
        <w:rPr>
          <w:rFonts w:ascii="Times New Roman" w:hAnsi="Times New Roman" w:cs="Times New Roman"/>
          <w:bCs/>
          <w:sz w:val="28"/>
          <w:szCs w:val="28"/>
          <w:lang w:bidi="ru-RU"/>
        </w:rPr>
        <w:t xml:space="preserve"> Здравоохранени</w:t>
      </w:r>
      <w:r w:rsidR="00ED512A" w:rsidRPr="00916B3A">
        <w:rPr>
          <w:rFonts w:ascii="Times New Roman" w:hAnsi="Times New Roman" w:cs="Times New Roman"/>
          <w:bCs/>
          <w:sz w:val="28"/>
          <w:szCs w:val="28"/>
          <w:lang w:bidi="ru-RU"/>
        </w:rPr>
        <w:t>я</w:t>
      </w:r>
      <w:r w:rsidRPr="00916B3A">
        <w:rPr>
          <w:rFonts w:ascii="Times New Roman" w:hAnsi="Times New Roman" w:cs="Times New Roman"/>
          <w:bCs/>
          <w:sz w:val="28"/>
          <w:szCs w:val="28"/>
          <w:lang w:bidi="ru-RU"/>
        </w:rPr>
        <w:t xml:space="preserve"> Республики Казахстан, постерный доклад «Факторы риска репродуктивных потерь» (</w:t>
      </w:r>
      <w:r w:rsidR="00ED512A" w:rsidRPr="00916B3A">
        <w:rPr>
          <w:rFonts w:ascii="Times New Roman" w:hAnsi="Times New Roman" w:cs="Times New Roman"/>
          <w:sz w:val="28"/>
          <w:szCs w:val="28"/>
        </w:rPr>
        <w:t xml:space="preserve">Алматы, </w:t>
      </w:r>
      <w:r w:rsidRPr="00916B3A">
        <w:rPr>
          <w:rFonts w:ascii="Times New Roman" w:hAnsi="Times New Roman" w:cs="Times New Roman"/>
          <w:bCs/>
          <w:sz w:val="28"/>
          <w:szCs w:val="28"/>
          <w:lang w:bidi="ru-RU"/>
        </w:rPr>
        <w:t>19</w:t>
      </w:r>
      <w:r w:rsidR="004C6520" w:rsidRPr="00916B3A">
        <w:rPr>
          <w:rFonts w:ascii="Times New Roman" w:hAnsi="Times New Roman" w:cs="Times New Roman"/>
          <w:bCs/>
          <w:sz w:val="28"/>
          <w:szCs w:val="28"/>
          <w:lang w:bidi="ru-RU"/>
        </w:rPr>
        <w:t xml:space="preserve"> мая </w:t>
      </w:r>
      <w:r w:rsidRPr="00916B3A">
        <w:rPr>
          <w:rFonts w:ascii="Times New Roman" w:hAnsi="Times New Roman" w:cs="Times New Roman"/>
          <w:bCs/>
          <w:sz w:val="28"/>
          <w:szCs w:val="28"/>
          <w:lang w:bidi="ru-RU"/>
        </w:rPr>
        <w:t>2022)</w:t>
      </w:r>
      <w:r w:rsidR="004C6520" w:rsidRPr="00916B3A">
        <w:rPr>
          <w:rFonts w:ascii="Times New Roman" w:hAnsi="Times New Roman" w:cs="Times New Roman"/>
          <w:bCs/>
          <w:sz w:val="28"/>
          <w:szCs w:val="28"/>
          <w:lang w:bidi="ru-RU"/>
        </w:rPr>
        <w:t>;</w:t>
      </w:r>
    </w:p>
    <w:p w14:paraId="62212743" w14:textId="2EC896FF" w:rsidR="004C6520" w:rsidRPr="00916B3A" w:rsidRDefault="00ED512A"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w:t>
      </w:r>
      <w:r w:rsidR="004C6520" w:rsidRPr="00916B3A">
        <w:rPr>
          <w:rFonts w:ascii="Times New Roman" w:hAnsi="Times New Roman" w:cs="Times New Roman"/>
          <w:sz w:val="28"/>
          <w:szCs w:val="28"/>
        </w:rPr>
        <w:t xml:space="preserve"> XXVIII Всероссийский Конгресс с международным участием </w:t>
      </w:r>
      <w:r w:rsidR="004C6520" w:rsidRPr="00916B3A">
        <w:rPr>
          <w:rFonts w:ascii="Times New Roman" w:hAnsi="Times New Roman" w:cs="Times New Roman"/>
          <w:color w:val="000000" w:themeColor="text1"/>
          <w:sz w:val="28"/>
          <w:szCs w:val="28"/>
        </w:rPr>
        <w:t>«</w:t>
      </w:r>
      <w:r w:rsidR="004C6520" w:rsidRPr="00916B3A">
        <w:rPr>
          <w:rFonts w:ascii="Times New Roman" w:hAnsi="Times New Roman" w:cs="Times New Roman"/>
          <w:sz w:val="28"/>
          <w:szCs w:val="28"/>
        </w:rPr>
        <w:t>Амбулаторно поликлиническая помощь в эпицентре женского здоровья от менархе до менопаузы». Оценка гемодинамики сосудов матки у пациенток с рецидивами невынашивания, ассоцированными с синдромом «тонкого эндометрия» (Москва, 6-8 апреля 2022);</w:t>
      </w:r>
    </w:p>
    <w:p w14:paraId="1BE4CFFA" w14:textId="02703E0F" w:rsidR="00ED512A" w:rsidRPr="00916B3A" w:rsidRDefault="004C6520"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bCs/>
          <w:sz w:val="28"/>
          <w:szCs w:val="28"/>
        </w:rPr>
      </w:pPr>
      <w:r w:rsidRPr="00916B3A">
        <w:rPr>
          <w:rFonts w:ascii="Times New Roman" w:hAnsi="Times New Roman" w:cs="Times New Roman"/>
          <w:sz w:val="28"/>
          <w:szCs w:val="28"/>
        </w:rPr>
        <w:t xml:space="preserve">- </w:t>
      </w:r>
      <w:r w:rsidR="00ED512A" w:rsidRPr="00916B3A">
        <w:rPr>
          <w:rFonts w:ascii="Times New Roman" w:hAnsi="Times New Roman" w:cs="Times New Roman"/>
          <w:sz w:val="28"/>
          <w:szCs w:val="28"/>
        </w:rPr>
        <w:t>I Конгресс акушеров-гинекологов Казахстана</w:t>
      </w:r>
      <w:r w:rsidRPr="00916B3A">
        <w:rPr>
          <w:rFonts w:ascii="Times New Roman" w:hAnsi="Times New Roman" w:cs="Times New Roman"/>
          <w:sz w:val="28"/>
          <w:szCs w:val="28"/>
        </w:rPr>
        <w:t xml:space="preserve"> «Отбасы денсаулығы - Қазақстанның болашағы»</w:t>
      </w:r>
      <w:r w:rsidR="00ED512A" w:rsidRPr="00916B3A">
        <w:rPr>
          <w:rFonts w:ascii="Times New Roman" w:hAnsi="Times New Roman" w:cs="Times New Roman"/>
          <w:sz w:val="28"/>
          <w:szCs w:val="28"/>
        </w:rPr>
        <w:t>, доклад</w:t>
      </w:r>
      <w:r w:rsidRPr="00916B3A">
        <w:rPr>
          <w:rFonts w:ascii="Times New Roman" w:hAnsi="Times New Roman" w:cs="Times New Roman"/>
          <w:sz w:val="28"/>
          <w:szCs w:val="28"/>
        </w:rPr>
        <w:t xml:space="preserve"> </w:t>
      </w:r>
      <w:r w:rsidR="00ED512A" w:rsidRPr="00916B3A">
        <w:rPr>
          <w:rFonts w:ascii="Times New Roman" w:hAnsi="Times New Roman" w:cs="Times New Roman"/>
          <w:sz w:val="28"/>
          <w:szCs w:val="28"/>
        </w:rPr>
        <w:t>«Молекулярные подходы к диагностике рецептивности эндометрия при привычном невынашивании беременности» (Алматы, 31 марта 2023);</w:t>
      </w:r>
    </w:p>
    <w:p w14:paraId="104B5AAD" w14:textId="0B80456F" w:rsidR="009C6FB1" w:rsidRPr="00916B3A" w:rsidRDefault="00F36D65"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bCs/>
          <w:sz w:val="28"/>
          <w:szCs w:val="28"/>
        </w:rPr>
      </w:pPr>
      <w:r w:rsidRPr="00916B3A">
        <w:rPr>
          <w:rFonts w:ascii="Times New Roman" w:hAnsi="Times New Roman" w:cs="Times New Roman"/>
          <w:bCs/>
          <w:sz w:val="28"/>
          <w:szCs w:val="28"/>
          <w:lang w:bidi="ru-RU"/>
        </w:rPr>
        <w:t>-</w:t>
      </w:r>
      <w:r w:rsidR="00D120CD" w:rsidRPr="00916B3A">
        <w:rPr>
          <w:rFonts w:ascii="Times New Roman" w:hAnsi="Times New Roman" w:cs="Times New Roman"/>
          <w:bCs/>
          <w:sz w:val="28"/>
          <w:szCs w:val="28"/>
          <w:lang w:bidi="ru-RU"/>
        </w:rPr>
        <w:t xml:space="preserve"> </w:t>
      </w:r>
      <w:r w:rsidRPr="00916B3A">
        <w:rPr>
          <w:rFonts w:ascii="Times New Roman" w:hAnsi="Times New Roman" w:cs="Times New Roman"/>
          <w:sz w:val="28"/>
          <w:szCs w:val="28"/>
        </w:rPr>
        <w:t>Конференция ВШОЗ «Наука и молодежь»</w:t>
      </w:r>
      <w:r w:rsidR="004C6520" w:rsidRPr="00916B3A">
        <w:rPr>
          <w:rFonts w:ascii="Times New Roman" w:hAnsi="Times New Roman" w:cs="Times New Roman"/>
          <w:sz w:val="28"/>
          <w:szCs w:val="28"/>
        </w:rPr>
        <w:t>, д</w:t>
      </w:r>
      <w:r w:rsidRPr="00916B3A">
        <w:rPr>
          <w:rFonts w:ascii="Times New Roman" w:hAnsi="Times New Roman" w:cs="Times New Roman"/>
          <w:sz w:val="28"/>
          <w:szCs w:val="28"/>
        </w:rPr>
        <w:t>оклад</w:t>
      </w:r>
      <w:r w:rsidR="004C6520" w:rsidRPr="00916B3A">
        <w:rPr>
          <w:rFonts w:ascii="Times New Roman" w:hAnsi="Times New Roman" w:cs="Times New Roman"/>
          <w:sz w:val="28"/>
          <w:szCs w:val="28"/>
        </w:rPr>
        <w:t xml:space="preserve"> </w:t>
      </w:r>
      <w:r w:rsidRPr="00916B3A">
        <w:rPr>
          <w:rFonts w:ascii="Times New Roman" w:hAnsi="Times New Roman" w:cs="Times New Roman"/>
          <w:sz w:val="28"/>
          <w:szCs w:val="28"/>
        </w:rPr>
        <w:t>«Молекулярная диагностика рецептивности эндометрия при репродуктивных потерях»</w:t>
      </w:r>
      <w:r w:rsidR="004C6520" w:rsidRPr="00916B3A">
        <w:rPr>
          <w:rFonts w:ascii="Times New Roman" w:hAnsi="Times New Roman" w:cs="Times New Roman"/>
          <w:sz w:val="28"/>
          <w:szCs w:val="28"/>
        </w:rPr>
        <w:t xml:space="preserve"> (Алматы, </w:t>
      </w:r>
      <w:r w:rsidRPr="00916B3A">
        <w:rPr>
          <w:rFonts w:ascii="Times New Roman" w:hAnsi="Times New Roman" w:cs="Times New Roman"/>
          <w:sz w:val="28"/>
          <w:szCs w:val="28"/>
        </w:rPr>
        <w:t>25.04.2023</w:t>
      </w:r>
      <w:r w:rsidR="004C6520" w:rsidRPr="00916B3A">
        <w:rPr>
          <w:rFonts w:ascii="Times New Roman" w:hAnsi="Times New Roman" w:cs="Times New Roman"/>
          <w:sz w:val="28"/>
          <w:szCs w:val="28"/>
        </w:rPr>
        <w:t>);</w:t>
      </w:r>
    </w:p>
    <w:p w14:paraId="0446DB9F" w14:textId="31772EF4" w:rsidR="001B686B" w:rsidRPr="00916B3A" w:rsidRDefault="00F36D65"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w:t>
      </w:r>
      <w:r w:rsidR="00D120CD" w:rsidRPr="00916B3A">
        <w:rPr>
          <w:rFonts w:ascii="Times New Roman" w:hAnsi="Times New Roman" w:cs="Times New Roman"/>
          <w:sz w:val="28"/>
          <w:szCs w:val="28"/>
        </w:rPr>
        <w:t xml:space="preserve"> </w:t>
      </w:r>
      <w:r w:rsidR="001B686B" w:rsidRPr="00916B3A">
        <w:rPr>
          <w:rFonts w:ascii="Times New Roman" w:eastAsia="Calibri" w:hAnsi="Times New Roman" w:cs="Times New Roman"/>
          <w:sz w:val="28"/>
          <w:szCs w:val="28"/>
        </w:rPr>
        <w:t>XVII Международный конгресс по репродуктивной медицине. Мониторинг результативности экстракорпорального оплодотворения в системе ОСМС</w:t>
      </w:r>
      <w:r w:rsidR="004C6520" w:rsidRPr="00916B3A">
        <w:rPr>
          <w:rFonts w:ascii="Times New Roman" w:eastAsia="Calibri" w:hAnsi="Times New Roman" w:cs="Times New Roman"/>
          <w:sz w:val="28"/>
          <w:szCs w:val="28"/>
        </w:rPr>
        <w:t xml:space="preserve"> (</w:t>
      </w:r>
      <w:r w:rsidR="001B686B" w:rsidRPr="00916B3A">
        <w:rPr>
          <w:rFonts w:ascii="Times New Roman" w:eastAsia="Calibri" w:hAnsi="Times New Roman" w:cs="Times New Roman"/>
          <w:sz w:val="28"/>
          <w:szCs w:val="28"/>
        </w:rPr>
        <w:t>Москва, 17-20 января 2023</w:t>
      </w:r>
      <w:r w:rsidR="004C6520" w:rsidRPr="00916B3A">
        <w:rPr>
          <w:rFonts w:ascii="Times New Roman" w:eastAsia="Calibri" w:hAnsi="Times New Roman" w:cs="Times New Roman"/>
          <w:sz w:val="28"/>
          <w:szCs w:val="28"/>
        </w:rPr>
        <w:t>);</w:t>
      </w:r>
    </w:p>
    <w:p w14:paraId="457E0C8E" w14:textId="48CE4D2C" w:rsidR="009C6FB1" w:rsidRPr="00916B3A" w:rsidRDefault="00F36D65"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bCs/>
          <w:sz w:val="28"/>
          <w:szCs w:val="28"/>
        </w:rPr>
      </w:pPr>
      <w:r w:rsidRPr="00916B3A">
        <w:rPr>
          <w:rFonts w:ascii="Times New Roman" w:hAnsi="Times New Roman" w:cs="Times New Roman"/>
          <w:sz w:val="28"/>
          <w:szCs w:val="28"/>
        </w:rPr>
        <w:t>-</w:t>
      </w:r>
      <w:r w:rsidR="001F46C5"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color w:val="000000" w:themeColor="text1"/>
          <w:sz w:val="28"/>
          <w:szCs w:val="28"/>
          <w:lang w:val="en-US"/>
        </w:rPr>
        <w:t>II</w:t>
      </w:r>
      <w:r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color w:val="000000" w:themeColor="text1"/>
          <w:sz w:val="28"/>
          <w:szCs w:val="28"/>
          <w:lang w:val="kk-KZ"/>
        </w:rPr>
        <w:t xml:space="preserve">Международная </w:t>
      </w:r>
      <w:r w:rsidR="004C6520" w:rsidRPr="00916B3A">
        <w:rPr>
          <w:rFonts w:ascii="Times New Roman" w:hAnsi="Times New Roman" w:cs="Times New Roman"/>
          <w:color w:val="000000" w:themeColor="text1"/>
          <w:sz w:val="28"/>
          <w:szCs w:val="28"/>
          <w:lang w:val="kk-KZ"/>
        </w:rPr>
        <w:t>н</w:t>
      </w:r>
      <w:r w:rsidRPr="00916B3A">
        <w:rPr>
          <w:rFonts w:ascii="Times New Roman" w:hAnsi="Times New Roman" w:cs="Times New Roman"/>
          <w:color w:val="000000" w:themeColor="text1"/>
          <w:sz w:val="28"/>
          <w:szCs w:val="28"/>
          <w:lang w:val="kk-KZ"/>
        </w:rPr>
        <w:t>аучно</w:t>
      </w:r>
      <w:r w:rsidRPr="00916B3A">
        <w:rPr>
          <w:rFonts w:ascii="Times New Roman" w:hAnsi="Times New Roman" w:cs="Times New Roman"/>
          <w:color w:val="000000" w:themeColor="text1"/>
          <w:sz w:val="28"/>
          <w:szCs w:val="28"/>
        </w:rPr>
        <w:t>-практическая конференция молодых ученых «Наука и молодежь: конференция по качеству медицинской помощи и медицинской грамотности</w:t>
      </w:r>
      <w:r w:rsidR="004C6520"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color w:val="000000" w:themeColor="text1"/>
          <w:sz w:val="28"/>
          <w:szCs w:val="28"/>
        </w:rPr>
        <w:t>доклад</w:t>
      </w:r>
      <w:r w:rsidR="004C6520"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color w:val="000000" w:themeColor="text1"/>
          <w:sz w:val="28"/>
          <w:szCs w:val="28"/>
        </w:rPr>
        <w:t>«Толщина эндометрия как предиктор исхода беременности в программах ВРТ»</w:t>
      </w:r>
      <w:r w:rsidR="004C6520" w:rsidRPr="00916B3A">
        <w:rPr>
          <w:rFonts w:ascii="Times New Roman" w:hAnsi="Times New Roman" w:cs="Times New Roman"/>
          <w:color w:val="000000" w:themeColor="text1"/>
          <w:sz w:val="28"/>
          <w:szCs w:val="28"/>
        </w:rPr>
        <w:t xml:space="preserve"> (Алматы, </w:t>
      </w:r>
      <w:r w:rsidRPr="00916B3A">
        <w:rPr>
          <w:rFonts w:ascii="Times New Roman" w:hAnsi="Times New Roman" w:cs="Times New Roman"/>
          <w:color w:val="000000" w:themeColor="text1"/>
          <w:sz w:val="28"/>
          <w:szCs w:val="28"/>
        </w:rPr>
        <w:t>12.04.2024</w:t>
      </w:r>
      <w:r w:rsidR="004C6520" w:rsidRPr="00916B3A">
        <w:rPr>
          <w:rFonts w:ascii="Times New Roman" w:hAnsi="Times New Roman" w:cs="Times New Roman"/>
          <w:color w:val="000000" w:themeColor="text1"/>
          <w:sz w:val="28"/>
          <w:szCs w:val="28"/>
        </w:rPr>
        <w:t>);</w:t>
      </w:r>
    </w:p>
    <w:p w14:paraId="434EF96F" w14:textId="77F01319" w:rsidR="005C1F7F" w:rsidRPr="00916B3A" w:rsidRDefault="00F36D65"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color w:val="000000" w:themeColor="text1"/>
          <w:sz w:val="28"/>
          <w:szCs w:val="28"/>
          <w:lang w:val="kk-KZ"/>
        </w:rPr>
        <w:t xml:space="preserve">Международная </w:t>
      </w:r>
      <w:r w:rsidR="00ED512A" w:rsidRPr="00916B3A">
        <w:rPr>
          <w:rFonts w:ascii="Times New Roman" w:hAnsi="Times New Roman" w:cs="Times New Roman"/>
          <w:color w:val="000000" w:themeColor="text1"/>
          <w:sz w:val="28"/>
          <w:szCs w:val="28"/>
          <w:lang w:val="kk-KZ"/>
        </w:rPr>
        <w:t>н</w:t>
      </w:r>
      <w:r w:rsidRPr="00916B3A">
        <w:rPr>
          <w:rFonts w:ascii="Times New Roman" w:hAnsi="Times New Roman" w:cs="Times New Roman"/>
          <w:color w:val="000000" w:themeColor="text1"/>
          <w:sz w:val="28"/>
          <w:szCs w:val="28"/>
          <w:lang w:val="kk-KZ"/>
        </w:rPr>
        <w:t>аучно</w:t>
      </w:r>
      <w:r w:rsidRPr="00916B3A">
        <w:rPr>
          <w:rFonts w:ascii="Times New Roman" w:hAnsi="Times New Roman" w:cs="Times New Roman"/>
          <w:color w:val="000000" w:themeColor="text1"/>
          <w:sz w:val="28"/>
          <w:szCs w:val="28"/>
        </w:rPr>
        <w:t>-практическая конференция «Актуальные вопросы службы родовспоможения Республики Казахстан: проблемы и решения», доклад «Прогностическая ценность толщины эндометрия при исходах беременности»</w:t>
      </w:r>
      <w:r w:rsidR="004C6520" w:rsidRPr="00916B3A">
        <w:rPr>
          <w:rFonts w:ascii="Times New Roman" w:hAnsi="Times New Roman" w:cs="Times New Roman"/>
          <w:color w:val="000000" w:themeColor="text1"/>
          <w:sz w:val="28"/>
          <w:szCs w:val="28"/>
        </w:rPr>
        <w:t xml:space="preserve"> (</w:t>
      </w:r>
      <w:r w:rsidR="00ED512A" w:rsidRPr="00916B3A">
        <w:rPr>
          <w:rFonts w:ascii="Times New Roman" w:hAnsi="Times New Roman" w:cs="Times New Roman"/>
          <w:sz w:val="28"/>
          <w:szCs w:val="28"/>
        </w:rPr>
        <w:t xml:space="preserve">Алматы, </w:t>
      </w:r>
      <w:r w:rsidRPr="00916B3A">
        <w:rPr>
          <w:rFonts w:ascii="Times New Roman" w:hAnsi="Times New Roman" w:cs="Times New Roman"/>
          <w:color w:val="000000" w:themeColor="text1"/>
          <w:sz w:val="28"/>
          <w:szCs w:val="28"/>
        </w:rPr>
        <w:t>16.05.2024</w:t>
      </w:r>
      <w:r w:rsidR="004C6520" w:rsidRPr="00916B3A">
        <w:rPr>
          <w:rFonts w:ascii="Times New Roman" w:hAnsi="Times New Roman" w:cs="Times New Roman"/>
          <w:color w:val="000000" w:themeColor="text1"/>
          <w:sz w:val="28"/>
          <w:szCs w:val="28"/>
        </w:rPr>
        <w:t>)</w:t>
      </w:r>
      <w:r w:rsidRPr="00916B3A">
        <w:rPr>
          <w:rFonts w:ascii="Times New Roman" w:hAnsi="Times New Roman" w:cs="Times New Roman"/>
          <w:color w:val="000000" w:themeColor="text1"/>
          <w:sz w:val="28"/>
          <w:szCs w:val="28"/>
        </w:rPr>
        <w:t>.</w:t>
      </w:r>
    </w:p>
    <w:p w14:paraId="0DC57EA9" w14:textId="216F02E7" w:rsidR="005C1F7F" w:rsidRPr="00916B3A" w:rsidRDefault="00F36D65" w:rsidP="00997125">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b/>
          <w:sz w:val="28"/>
          <w:szCs w:val="28"/>
        </w:rPr>
      </w:pPr>
      <w:r w:rsidRPr="00916B3A">
        <w:rPr>
          <w:rFonts w:ascii="Times New Roman" w:hAnsi="Times New Roman" w:cs="Times New Roman"/>
          <w:b/>
          <w:sz w:val="28"/>
          <w:szCs w:val="28"/>
        </w:rPr>
        <w:t>Опубликованные работы по теме диссертационной работы:</w:t>
      </w:r>
    </w:p>
    <w:p w14:paraId="71CEE154" w14:textId="5CCE77D2" w:rsidR="005C1F7F" w:rsidRPr="00916B3A" w:rsidRDefault="003628EA" w:rsidP="00997125">
      <w:pPr>
        <w:pStyle w:val="a6"/>
        <w:numPr>
          <w:ilvl w:val="0"/>
          <w:numId w:val="43"/>
        </w:numPr>
        <w:pBdr>
          <w:bottom w:val="single" w:sz="4" w:space="31" w:color="FFFFFF"/>
        </w:pBdr>
        <w:shd w:val="clear" w:color="auto" w:fill="FFFFFF" w:themeFill="background1"/>
        <w:tabs>
          <w:tab w:val="left" w:pos="851"/>
        </w:tabs>
        <w:autoSpaceDE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w:t>
      </w:r>
      <w:r w:rsidR="00F36D65" w:rsidRPr="00916B3A">
        <w:rPr>
          <w:rFonts w:ascii="Times New Roman" w:hAnsi="Times New Roman" w:cs="Times New Roman"/>
          <w:bCs/>
          <w:sz w:val="28"/>
          <w:szCs w:val="28"/>
        </w:rPr>
        <w:t xml:space="preserve"> статьи в издании, рекомендованном </w:t>
      </w:r>
      <w:bookmarkStart w:id="11" w:name="_Hlk120223725"/>
      <w:r w:rsidR="00F36D65" w:rsidRPr="00916B3A">
        <w:rPr>
          <w:rFonts w:ascii="Times New Roman" w:hAnsi="Times New Roman" w:cs="Times New Roman"/>
          <w:bCs/>
          <w:sz w:val="28"/>
          <w:szCs w:val="28"/>
        </w:rPr>
        <w:t xml:space="preserve">Комитетом по обеспечению качества в сфере науки </w:t>
      </w:r>
      <w:r w:rsidR="00F36D65" w:rsidRPr="00916B3A">
        <w:rPr>
          <w:rFonts w:ascii="Times New Roman" w:hAnsi="Times New Roman" w:cs="Times New Roman"/>
          <w:bCs/>
          <w:sz w:val="28"/>
          <w:szCs w:val="28"/>
          <w:lang w:val="kk-KZ"/>
        </w:rPr>
        <w:t>и высшего образования Министерства науки и высшего образования</w:t>
      </w:r>
      <w:r w:rsidR="00F36D65" w:rsidRPr="00916B3A">
        <w:rPr>
          <w:rFonts w:ascii="Times New Roman" w:hAnsi="Times New Roman" w:cs="Times New Roman"/>
          <w:bCs/>
          <w:sz w:val="28"/>
          <w:szCs w:val="28"/>
        </w:rPr>
        <w:t>;</w:t>
      </w:r>
      <w:bookmarkEnd w:id="11"/>
    </w:p>
    <w:p w14:paraId="6DCF5435" w14:textId="6301132D" w:rsidR="005C1F7F" w:rsidRPr="00916B3A" w:rsidRDefault="00630C34" w:rsidP="00997125">
      <w:pPr>
        <w:pStyle w:val="a6"/>
        <w:numPr>
          <w:ilvl w:val="0"/>
          <w:numId w:val="43"/>
        </w:numPr>
        <w:pBdr>
          <w:bottom w:val="single" w:sz="4" w:space="31" w:color="FFFFFF"/>
        </w:pBdr>
        <w:shd w:val="clear" w:color="auto" w:fill="FFFFFF" w:themeFill="background1"/>
        <w:tabs>
          <w:tab w:val="left" w:pos="851"/>
        </w:tabs>
        <w:autoSpaceDE w:val="0"/>
        <w:spacing w:after="0" w:line="240" w:lineRule="auto"/>
        <w:ind w:left="0" w:firstLine="567"/>
        <w:jc w:val="both"/>
        <w:rPr>
          <w:rFonts w:ascii="Times New Roman" w:hAnsi="Times New Roman" w:cs="Times New Roman"/>
          <w:bCs/>
          <w:sz w:val="28"/>
          <w:szCs w:val="28"/>
        </w:rPr>
      </w:pPr>
      <w:r w:rsidRPr="00916B3A">
        <w:rPr>
          <w:rFonts w:ascii="Times New Roman" w:hAnsi="Times New Roman" w:cs="Times New Roman"/>
          <w:bCs/>
          <w:sz w:val="28"/>
          <w:szCs w:val="28"/>
        </w:rPr>
        <w:t>4 статьи</w:t>
      </w:r>
      <w:r w:rsidR="00F36D65" w:rsidRPr="00916B3A">
        <w:rPr>
          <w:rFonts w:ascii="Times New Roman" w:hAnsi="Times New Roman" w:cs="Times New Roman"/>
          <w:bCs/>
          <w:sz w:val="28"/>
          <w:szCs w:val="28"/>
        </w:rPr>
        <w:t xml:space="preserve"> в изданиях, индексируемых в информационной системе </w:t>
      </w:r>
      <w:r w:rsidR="00F36D65" w:rsidRPr="00916B3A">
        <w:rPr>
          <w:rFonts w:ascii="Times New Roman" w:hAnsi="Times New Roman" w:cs="Times New Roman"/>
          <w:bCs/>
          <w:sz w:val="28"/>
          <w:szCs w:val="28"/>
          <w:lang w:val="en-US"/>
        </w:rPr>
        <w:t>Scopus</w:t>
      </w:r>
      <w:r w:rsidR="00F36D65" w:rsidRPr="00916B3A">
        <w:rPr>
          <w:rFonts w:ascii="Times New Roman" w:hAnsi="Times New Roman" w:cs="Times New Roman"/>
          <w:bCs/>
          <w:sz w:val="28"/>
          <w:szCs w:val="28"/>
        </w:rPr>
        <w:t xml:space="preserve">, </w:t>
      </w:r>
      <w:r w:rsidRPr="00916B3A">
        <w:rPr>
          <w:rFonts w:ascii="Times New Roman" w:hAnsi="Times New Roman" w:cs="Times New Roman"/>
          <w:bCs/>
          <w:sz w:val="28"/>
          <w:szCs w:val="28"/>
          <w:lang w:val="kk-KZ"/>
        </w:rPr>
        <w:t xml:space="preserve">из них </w:t>
      </w:r>
      <w:r w:rsidRPr="00916B3A">
        <w:rPr>
          <w:rFonts w:ascii="Times New Roman" w:hAnsi="Times New Roman" w:cs="Times New Roman"/>
          <w:bCs/>
          <w:sz w:val="28"/>
          <w:szCs w:val="28"/>
        </w:rPr>
        <w:t xml:space="preserve">2 статьи </w:t>
      </w:r>
      <w:r w:rsidR="00F36D65" w:rsidRPr="00916B3A">
        <w:rPr>
          <w:rFonts w:ascii="Times New Roman" w:hAnsi="Times New Roman" w:cs="Times New Roman"/>
          <w:bCs/>
          <w:sz w:val="28"/>
          <w:szCs w:val="28"/>
        </w:rPr>
        <w:t xml:space="preserve">в издании </w:t>
      </w:r>
      <w:r w:rsidR="00F36D65" w:rsidRPr="00916B3A">
        <w:rPr>
          <w:rFonts w:ascii="Times New Roman" w:hAnsi="Times New Roman" w:cs="Times New Roman"/>
          <w:bCs/>
          <w:sz w:val="28"/>
          <w:szCs w:val="28"/>
          <w:lang w:val="en-US"/>
        </w:rPr>
        <w:t>Scopus</w:t>
      </w:r>
      <w:r w:rsidR="00F36D65" w:rsidRPr="00916B3A">
        <w:rPr>
          <w:rFonts w:ascii="Times New Roman" w:hAnsi="Times New Roman" w:cs="Times New Roman"/>
          <w:bCs/>
          <w:sz w:val="28"/>
          <w:szCs w:val="28"/>
        </w:rPr>
        <w:t xml:space="preserve"> </w:t>
      </w:r>
      <w:r w:rsidR="00F36D65" w:rsidRPr="00916B3A">
        <w:rPr>
          <w:rFonts w:ascii="Times New Roman" w:hAnsi="Times New Roman" w:cs="Times New Roman"/>
          <w:bCs/>
          <w:sz w:val="28"/>
          <w:szCs w:val="28"/>
          <w:lang w:val="en-US"/>
        </w:rPr>
        <w:t>CiteScore</w:t>
      </w:r>
      <w:r w:rsidR="00AE39C7" w:rsidRPr="00916B3A">
        <w:rPr>
          <w:rFonts w:ascii="Times New Roman" w:hAnsi="Times New Roman" w:cs="Times New Roman"/>
          <w:bCs/>
          <w:sz w:val="28"/>
          <w:szCs w:val="28"/>
        </w:rPr>
        <w:t xml:space="preserve"> 3.6, процентиль 72</w:t>
      </w:r>
      <w:r w:rsidR="00F36D65" w:rsidRPr="00916B3A">
        <w:rPr>
          <w:rFonts w:ascii="Times New Roman" w:hAnsi="Times New Roman" w:cs="Times New Roman"/>
          <w:bCs/>
          <w:sz w:val="28"/>
          <w:szCs w:val="28"/>
        </w:rPr>
        <w:t xml:space="preserve">% </w:t>
      </w:r>
      <w:r w:rsidR="00F36D65" w:rsidRPr="00916B3A">
        <w:rPr>
          <w:rFonts w:ascii="Times New Roman" w:hAnsi="Times New Roman" w:cs="Times New Roman"/>
          <w:bCs/>
          <w:sz w:val="28"/>
          <w:szCs w:val="28"/>
          <w:lang w:val="kk-KZ"/>
        </w:rPr>
        <w:t>в</w:t>
      </w:r>
      <w:r w:rsidR="00F36D65" w:rsidRPr="00916B3A">
        <w:rPr>
          <w:rFonts w:ascii="Times New Roman" w:hAnsi="Times New Roman" w:cs="Times New Roman"/>
          <w:bCs/>
          <w:sz w:val="28"/>
          <w:szCs w:val="28"/>
        </w:rPr>
        <w:t xml:space="preserve"> </w:t>
      </w:r>
      <w:r w:rsidR="00AE39C7" w:rsidRPr="00916B3A">
        <w:rPr>
          <w:rFonts w:ascii="Times New Roman" w:hAnsi="Times New Roman" w:cs="Times New Roman"/>
          <w:bCs/>
          <w:sz w:val="28"/>
          <w:szCs w:val="28"/>
          <w:lang w:val="en-US"/>
        </w:rPr>
        <w:t>Acta</w:t>
      </w:r>
      <w:r w:rsidR="00AE39C7" w:rsidRPr="00916B3A">
        <w:rPr>
          <w:rFonts w:ascii="Times New Roman" w:hAnsi="Times New Roman" w:cs="Times New Roman"/>
          <w:bCs/>
          <w:sz w:val="28"/>
          <w:szCs w:val="28"/>
        </w:rPr>
        <w:t xml:space="preserve"> </w:t>
      </w:r>
      <w:r w:rsidR="00AE39C7" w:rsidRPr="00916B3A">
        <w:rPr>
          <w:rFonts w:ascii="Times New Roman" w:hAnsi="Times New Roman" w:cs="Times New Roman"/>
          <w:bCs/>
          <w:sz w:val="28"/>
          <w:szCs w:val="28"/>
          <w:lang w:val="en-US"/>
        </w:rPr>
        <w:t>Biomedica</w:t>
      </w:r>
      <w:r w:rsidR="00F36D65" w:rsidRPr="00916B3A">
        <w:rPr>
          <w:rFonts w:ascii="Times New Roman" w:hAnsi="Times New Roman" w:cs="Times New Roman"/>
          <w:bCs/>
          <w:sz w:val="28"/>
          <w:szCs w:val="28"/>
        </w:rPr>
        <w:t xml:space="preserve"> </w:t>
      </w:r>
      <w:r w:rsidR="00AE39C7" w:rsidRPr="00916B3A">
        <w:rPr>
          <w:rFonts w:ascii="Times New Roman" w:hAnsi="Times New Roman" w:cs="Times New Roman"/>
          <w:bCs/>
          <w:sz w:val="28"/>
          <w:szCs w:val="28"/>
        </w:rPr>
        <w:t>(2023</w:t>
      </w:r>
      <w:r w:rsidR="00ED512A" w:rsidRPr="00916B3A">
        <w:rPr>
          <w:rFonts w:ascii="Times New Roman" w:hAnsi="Times New Roman" w:cs="Times New Roman"/>
          <w:bCs/>
          <w:sz w:val="28"/>
          <w:szCs w:val="28"/>
        </w:rPr>
        <w:t>, 2024</w:t>
      </w:r>
      <w:r w:rsidR="00F36D65" w:rsidRPr="00916B3A">
        <w:rPr>
          <w:rFonts w:ascii="Times New Roman" w:hAnsi="Times New Roman" w:cs="Times New Roman"/>
          <w:bCs/>
          <w:sz w:val="28"/>
          <w:szCs w:val="28"/>
        </w:rPr>
        <w:t xml:space="preserve">); </w:t>
      </w:r>
      <w:bookmarkStart w:id="12" w:name="_Hlk115337268"/>
      <w:r w:rsidRPr="00916B3A">
        <w:rPr>
          <w:rFonts w:ascii="Times New Roman" w:hAnsi="Times New Roman" w:cs="Times New Roman"/>
          <w:bCs/>
          <w:sz w:val="28"/>
          <w:szCs w:val="28"/>
        </w:rPr>
        <w:t xml:space="preserve">1 статья в издании </w:t>
      </w:r>
      <w:r w:rsidRPr="00916B3A">
        <w:rPr>
          <w:rFonts w:ascii="Times New Roman" w:hAnsi="Times New Roman" w:cs="Times New Roman"/>
          <w:bCs/>
          <w:sz w:val="28"/>
          <w:szCs w:val="28"/>
          <w:lang w:val="en-US"/>
        </w:rPr>
        <w:t>Scopus</w:t>
      </w:r>
      <w:r w:rsidRPr="00916B3A">
        <w:rPr>
          <w:rFonts w:ascii="Times New Roman" w:hAnsi="Times New Roman" w:cs="Times New Roman"/>
          <w:bCs/>
          <w:sz w:val="28"/>
          <w:szCs w:val="28"/>
        </w:rPr>
        <w:t xml:space="preserve"> </w:t>
      </w:r>
      <w:r w:rsidRPr="00916B3A">
        <w:rPr>
          <w:rFonts w:ascii="Times New Roman" w:hAnsi="Times New Roman" w:cs="Times New Roman"/>
          <w:bCs/>
          <w:sz w:val="28"/>
          <w:szCs w:val="28"/>
          <w:lang w:val="en-US"/>
        </w:rPr>
        <w:t>CiteScore</w:t>
      </w:r>
      <w:r w:rsidRPr="00916B3A">
        <w:rPr>
          <w:rFonts w:ascii="Times New Roman" w:hAnsi="Times New Roman" w:cs="Times New Roman"/>
          <w:bCs/>
          <w:sz w:val="28"/>
          <w:szCs w:val="28"/>
        </w:rPr>
        <w:t xml:space="preserve"> 4.7, процентиль 62% </w:t>
      </w:r>
      <w:r w:rsidRPr="00916B3A">
        <w:rPr>
          <w:rFonts w:ascii="Times New Roman" w:hAnsi="Times New Roman" w:cs="Times New Roman"/>
          <w:bCs/>
          <w:sz w:val="28"/>
          <w:szCs w:val="28"/>
          <w:lang w:val="kk-KZ"/>
        </w:rPr>
        <w:t>в</w:t>
      </w:r>
      <w:r w:rsidRPr="00916B3A">
        <w:rPr>
          <w:rFonts w:ascii="Times New Roman" w:hAnsi="Times New Roman" w:cs="Times New Roman"/>
          <w:bCs/>
          <w:sz w:val="28"/>
          <w:szCs w:val="28"/>
        </w:rPr>
        <w:t xml:space="preserve"> </w:t>
      </w:r>
      <w:r w:rsidRPr="00916B3A">
        <w:rPr>
          <w:rFonts w:ascii="Times New Roman" w:hAnsi="Times New Roman" w:cs="Times New Roman"/>
          <w:bCs/>
          <w:sz w:val="28"/>
          <w:szCs w:val="28"/>
          <w:lang w:val="en-US"/>
        </w:rPr>
        <w:t>Diagnostics</w:t>
      </w:r>
      <w:r w:rsidRPr="00916B3A">
        <w:rPr>
          <w:rFonts w:ascii="Times New Roman" w:hAnsi="Times New Roman" w:cs="Times New Roman"/>
          <w:bCs/>
          <w:sz w:val="28"/>
          <w:szCs w:val="28"/>
          <w:lang w:val="kk-KZ"/>
        </w:rPr>
        <w:t xml:space="preserve">, 1 статья </w:t>
      </w:r>
      <w:r w:rsidR="00226BEE" w:rsidRPr="00916B3A">
        <w:rPr>
          <w:rFonts w:ascii="Times New Roman" w:hAnsi="Times New Roman" w:cs="Times New Roman"/>
          <w:bCs/>
          <w:sz w:val="28"/>
          <w:szCs w:val="28"/>
        </w:rPr>
        <w:t xml:space="preserve">в издании </w:t>
      </w:r>
      <w:r w:rsidR="00226BEE" w:rsidRPr="00916B3A">
        <w:rPr>
          <w:rFonts w:ascii="Times New Roman" w:hAnsi="Times New Roman" w:cs="Times New Roman"/>
          <w:bCs/>
          <w:sz w:val="28"/>
          <w:szCs w:val="28"/>
          <w:lang w:val="en-US"/>
        </w:rPr>
        <w:t>Scopus</w:t>
      </w:r>
      <w:r w:rsidR="00226BEE" w:rsidRPr="00916B3A">
        <w:rPr>
          <w:rFonts w:ascii="Times New Roman" w:hAnsi="Times New Roman" w:cs="Times New Roman"/>
          <w:bCs/>
          <w:sz w:val="28"/>
          <w:szCs w:val="28"/>
        </w:rPr>
        <w:t xml:space="preserve"> </w:t>
      </w:r>
      <w:r w:rsidR="00226BEE" w:rsidRPr="00916B3A">
        <w:rPr>
          <w:rFonts w:ascii="Times New Roman" w:hAnsi="Times New Roman" w:cs="Times New Roman"/>
          <w:bCs/>
          <w:sz w:val="28"/>
          <w:szCs w:val="28"/>
          <w:lang w:val="en-US"/>
        </w:rPr>
        <w:t>CiteScore</w:t>
      </w:r>
      <w:r w:rsidR="00226BEE" w:rsidRPr="00916B3A">
        <w:rPr>
          <w:rFonts w:ascii="Times New Roman" w:hAnsi="Times New Roman" w:cs="Times New Roman"/>
          <w:bCs/>
          <w:sz w:val="28"/>
          <w:szCs w:val="28"/>
        </w:rPr>
        <w:t xml:space="preserve"> 4.5, процентиль 75% </w:t>
      </w:r>
      <w:r w:rsidR="00226BEE" w:rsidRPr="00916B3A">
        <w:rPr>
          <w:rFonts w:ascii="Times New Roman" w:hAnsi="Times New Roman" w:cs="Times New Roman"/>
          <w:bCs/>
          <w:sz w:val="28"/>
          <w:szCs w:val="28"/>
          <w:lang w:val="kk-KZ"/>
        </w:rPr>
        <w:t>в</w:t>
      </w:r>
      <w:r w:rsidR="00226BEE" w:rsidRPr="00916B3A">
        <w:rPr>
          <w:rFonts w:ascii="Times New Roman" w:hAnsi="Times New Roman" w:cs="Times New Roman"/>
          <w:bCs/>
          <w:sz w:val="28"/>
          <w:szCs w:val="28"/>
        </w:rPr>
        <w:t xml:space="preserve"> </w:t>
      </w:r>
      <w:r w:rsidR="00226BEE" w:rsidRPr="00916B3A">
        <w:rPr>
          <w:rFonts w:ascii="Times New Roman" w:hAnsi="Times New Roman" w:cs="Times New Roman"/>
          <w:bCs/>
          <w:sz w:val="28"/>
          <w:szCs w:val="28"/>
          <w:lang w:val="en-US"/>
        </w:rPr>
        <w:t>Journal</w:t>
      </w:r>
      <w:r w:rsidR="00226BEE" w:rsidRPr="00916B3A">
        <w:rPr>
          <w:rFonts w:ascii="Times New Roman" w:hAnsi="Times New Roman" w:cs="Times New Roman"/>
          <w:bCs/>
          <w:sz w:val="28"/>
          <w:szCs w:val="28"/>
        </w:rPr>
        <w:t xml:space="preserve"> </w:t>
      </w:r>
      <w:r w:rsidR="00226BEE" w:rsidRPr="00916B3A">
        <w:rPr>
          <w:rFonts w:ascii="Times New Roman" w:hAnsi="Times New Roman" w:cs="Times New Roman"/>
          <w:bCs/>
          <w:sz w:val="28"/>
          <w:szCs w:val="28"/>
          <w:lang w:val="en-US"/>
        </w:rPr>
        <w:t>of</w:t>
      </w:r>
      <w:r w:rsidR="00226BEE" w:rsidRPr="00916B3A">
        <w:rPr>
          <w:rFonts w:ascii="Times New Roman" w:hAnsi="Times New Roman" w:cs="Times New Roman"/>
          <w:bCs/>
          <w:sz w:val="28"/>
          <w:szCs w:val="28"/>
        </w:rPr>
        <w:t xml:space="preserve"> </w:t>
      </w:r>
      <w:r w:rsidR="00226BEE" w:rsidRPr="00916B3A">
        <w:rPr>
          <w:rFonts w:ascii="Times New Roman" w:hAnsi="Times New Roman" w:cs="Times New Roman"/>
          <w:bCs/>
          <w:sz w:val="28"/>
          <w:szCs w:val="28"/>
          <w:lang w:val="en-US"/>
        </w:rPr>
        <w:t>Clinical</w:t>
      </w:r>
      <w:r w:rsidR="00133DFA" w:rsidRPr="00916B3A">
        <w:rPr>
          <w:rFonts w:ascii="Times New Roman" w:hAnsi="Times New Roman" w:cs="Times New Roman"/>
          <w:bCs/>
          <w:sz w:val="28"/>
          <w:szCs w:val="28"/>
        </w:rPr>
        <w:t xml:space="preserve"> </w:t>
      </w:r>
      <w:r w:rsidR="00226BEE" w:rsidRPr="00916B3A">
        <w:rPr>
          <w:rFonts w:ascii="Times New Roman" w:hAnsi="Times New Roman" w:cs="Times New Roman"/>
          <w:bCs/>
          <w:sz w:val="28"/>
          <w:szCs w:val="28"/>
          <w:lang w:val="en-US"/>
        </w:rPr>
        <w:t>Medicine</w:t>
      </w:r>
      <w:r w:rsidR="00D120CD" w:rsidRPr="00916B3A">
        <w:rPr>
          <w:rFonts w:ascii="Times New Roman" w:hAnsi="Times New Roman" w:cs="Times New Roman"/>
          <w:bCs/>
          <w:sz w:val="28"/>
          <w:szCs w:val="28"/>
        </w:rPr>
        <w:t>.</w:t>
      </w:r>
    </w:p>
    <w:p w14:paraId="49DBD948" w14:textId="1039283D" w:rsidR="005C1F7F" w:rsidRPr="00916B3A" w:rsidRDefault="001B686B" w:rsidP="00997125">
      <w:pPr>
        <w:pStyle w:val="a6"/>
        <w:numPr>
          <w:ilvl w:val="0"/>
          <w:numId w:val="43"/>
        </w:numPr>
        <w:pBdr>
          <w:bottom w:val="single" w:sz="4" w:space="31" w:color="FFFFFF"/>
        </w:pBdr>
        <w:shd w:val="clear" w:color="auto" w:fill="FFFFFF" w:themeFill="background1"/>
        <w:tabs>
          <w:tab w:val="left" w:pos="851"/>
        </w:tabs>
        <w:autoSpaceDE w:val="0"/>
        <w:spacing w:after="0" w:line="240" w:lineRule="auto"/>
        <w:ind w:left="0" w:firstLine="567"/>
        <w:jc w:val="both"/>
        <w:rPr>
          <w:rFonts w:ascii="Times New Roman" w:hAnsi="Times New Roman" w:cs="Times New Roman"/>
          <w:bCs/>
          <w:sz w:val="28"/>
          <w:szCs w:val="28"/>
        </w:rPr>
      </w:pPr>
      <w:r w:rsidRPr="00916B3A">
        <w:rPr>
          <w:rFonts w:ascii="Times New Roman" w:hAnsi="Times New Roman" w:cs="Times New Roman"/>
          <w:bCs/>
          <w:sz w:val="28"/>
          <w:szCs w:val="28"/>
        </w:rPr>
        <w:t>2</w:t>
      </w:r>
      <w:r w:rsidR="0087541D" w:rsidRPr="00916B3A">
        <w:rPr>
          <w:rFonts w:ascii="Times New Roman" w:hAnsi="Times New Roman" w:cs="Times New Roman"/>
          <w:bCs/>
          <w:sz w:val="28"/>
          <w:szCs w:val="28"/>
        </w:rPr>
        <w:t xml:space="preserve"> тезис</w:t>
      </w:r>
      <w:r w:rsidRPr="00916B3A">
        <w:rPr>
          <w:rFonts w:ascii="Times New Roman" w:hAnsi="Times New Roman" w:cs="Times New Roman"/>
          <w:bCs/>
          <w:sz w:val="28"/>
          <w:szCs w:val="28"/>
        </w:rPr>
        <w:t>а</w:t>
      </w:r>
      <w:r w:rsidR="0087541D" w:rsidRPr="00916B3A">
        <w:rPr>
          <w:rFonts w:ascii="Times New Roman" w:hAnsi="Times New Roman" w:cs="Times New Roman"/>
          <w:bCs/>
          <w:sz w:val="28"/>
          <w:szCs w:val="28"/>
        </w:rPr>
        <w:t xml:space="preserve"> в сборник</w:t>
      </w:r>
      <w:r w:rsidR="0087541D" w:rsidRPr="00916B3A">
        <w:rPr>
          <w:rFonts w:ascii="Times New Roman" w:hAnsi="Times New Roman" w:cs="Times New Roman"/>
          <w:bCs/>
          <w:sz w:val="28"/>
          <w:szCs w:val="28"/>
          <w:lang w:val="kk-KZ"/>
        </w:rPr>
        <w:t>е</w:t>
      </w:r>
      <w:r w:rsidR="0087541D" w:rsidRPr="00916B3A">
        <w:rPr>
          <w:rFonts w:ascii="Times New Roman" w:hAnsi="Times New Roman" w:cs="Times New Roman"/>
          <w:bCs/>
          <w:sz w:val="28"/>
          <w:szCs w:val="28"/>
        </w:rPr>
        <w:t xml:space="preserve"> зарубежн</w:t>
      </w:r>
      <w:r w:rsidR="0087541D" w:rsidRPr="00916B3A">
        <w:rPr>
          <w:rFonts w:ascii="Times New Roman" w:hAnsi="Times New Roman" w:cs="Times New Roman"/>
          <w:bCs/>
          <w:sz w:val="28"/>
          <w:szCs w:val="28"/>
          <w:lang w:val="kk-KZ"/>
        </w:rPr>
        <w:t>ой</w:t>
      </w:r>
      <w:r w:rsidR="0087541D" w:rsidRPr="00916B3A">
        <w:rPr>
          <w:rFonts w:ascii="Times New Roman" w:hAnsi="Times New Roman" w:cs="Times New Roman"/>
          <w:bCs/>
          <w:sz w:val="28"/>
          <w:szCs w:val="28"/>
        </w:rPr>
        <w:t xml:space="preserve"> международн</w:t>
      </w:r>
      <w:r w:rsidR="0087541D" w:rsidRPr="00916B3A">
        <w:rPr>
          <w:rFonts w:ascii="Times New Roman" w:hAnsi="Times New Roman" w:cs="Times New Roman"/>
          <w:bCs/>
          <w:sz w:val="28"/>
          <w:szCs w:val="28"/>
          <w:lang w:val="kk-KZ"/>
        </w:rPr>
        <w:t>ой</w:t>
      </w:r>
      <w:r w:rsidR="00F36D65" w:rsidRPr="00916B3A">
        <w:rPr>
          <w:rFonts w:ascii="Times New Roman" w:hAnsi="Times New Roman" w:cs="Times New Roman"/>
          <w:bCs/>
          <w:sz w:val="28"/>
          <w:szCs w:val="28"/>
        </w:rPr>
        <w:t xml:space="preserve"> конференций;</w:t>
      </w:r>
      <w:bookmarkStart w:id="13" w:name="_Hlk113974268"/>
      <w:bookmarkEnd w:id="12"/>
    </w:p>
    <w:p w14:paraId="0BBDE727" w14:textId="17557E36" w:rsidR="005C1F7F" w:rsidRPr="00916B3A" w:rsidRDefault="00F36D65" w:rsidP="00997125">
      <w:pPr>
        <w:pStyle w:val="a6"/>
        <w:numPr>
          <w:ilvl w:val="0"/>
          <w:numId w:val="43"/>
        </w:numPr>
        <w:pBdr>
          <w:bottom w:val="single" w:sz="4" w:space="31" w:color="FFFFFF"/>
        </w:pBdr>
        <w:shd w:val="clear" w:color="auto" w:fill="FFFFFF" w:themeFill="background1"/>
        <w:tabs>
          <w:tab w:val="left" w:pos="851"/>
        </w:tabs>
        <w:autoSpaceDE w:val="0"/>
        <w:spacing w:after="0" w:line="240" w:lineRule="auto"/>
        <w:ind w:left="0" w:firstLine="567"/>
        <w:jc w:val="both"/>
        <w:rPr>
          <w:rFonts w:ascii="Times New Roman" w:hAnsi="Times New Roman" w:cs="Times New Roman"/>
          <w:bCs/>
          <w:sz w:val="28"/>
          <w:szCs w:val="28"/>
        </w:rPr>
      </w:pPr>
      <w:r w:rsidRPr="00916B3A">
        <w:rPr>
          <w:rFonts w:ascii="Times New Roman" w:hAnsi="Times New Roman" w:cs="Times New Roman"/>
          <w:bCs/>
          <w:sz w:val="28"/>
          <w:szCs w:val="28"/>
        </w:rPr>
        <w:t>Свидетельство о внесении сведений в государственный реестр прав на объекты, ох</w:t>
      </w:r>
      <w:r w:rsidR="00B22BE3" w:rsidRPr="00916B3A">
        <w:rPr>
          <w:rFonts w:ascii="Times New Roman" w:hAnsi="Times New Roman" w:cs="Times New Roman"/>
          <w:bCs/>
          <w:sz w:val="28"/>
          <w:szCs w:val="28"/>
        </w:rPr>
        <w:t>раняемые авторским правом</w:t>
      </w:r>
      <w:r w:rsidR="00ED512A" w:rsidRPr="00916B3A">
        <w:rPr>
          <w:rFonts w:ascii="Times New Roman" w:hAnsi="Times New Roman" w:cs="Times New Roman"/>
          <w:bCs/>
          <w:sz w:val="28"/>
          <w:szCs w:val="28"/>
        </w:rPr>
        <w:t>,</w:t>
      </w:r>
      <w:r w:rsidR="00B22BE3" w:rsidRPr="00916B3A">
        <w:rPr>
          <w:rFonts w:ascii="Times New Roman" w:hAnsi="Times New Roman" w:cs="Times New Roman"/>
          <w:bCs/>
          <w:sz w:val="28"/>
          <w:szCs w:val="28"/>
        </w:rPr>
        <w:t xml:space="preserve"> №52487 от 11 декабря 2024</w:t>
      </w:r>
      <w:r w:rsidRPr="00916B3A">
        <w:rPr>
          <w:rFonts w:ascii="Times New Roman" w:hAnsi="Times New Roman" w:cs="Times New Roman"/>
          <w:bCs/>
          <w:sz w:val="28"/>
          <w:szCs w:val="28"/>
        </w:rPr>
        <w:t xml:space="preserve"> года</w:t>
      </w:r>
      <w:bookmarkEnd w:id="13"/>
      <w:r w:rsidR="00ED512A" w:rsidRPr="00916B3A">
        <w:rPr>
          <w:rFonts w:ascii="Times New Roman" w:hAnsi="Times New Roman" w:cs="Times New Roman"/>
          <w:bCs/>
          <w:sz w:val="28"/>
          <w:szCs w:val="28"/>
        </w:rPr>
        <w:t xml:space="preserve"> «А</w:t>
      </w:r>
      <w:r w:rsidR="00B22BE3" w:rsidRPr="00916B3A">
        <w:rPr>
          <w:rFonts w:ascii="Times New Roman" w:hAnsi="Times New Roman" w:cs="Times New Roman"/>
          <w:bCs/>
          <w:sz w:val="28"/>
          <w:szCs w:val="28"/>
        </w:rPr>
        <w:t>лгоритм ведения пациенто</w:t>
      </w:r>
      <w:r w:rsidR="001B686B" w:rsidRPr="00916B3A">
        <w:rPr>
          <w:rFonts w:ascii="Times New Roman" w:hAnsi="Times New Roman" w:cs="Times New Roman"/>
          <w:bCs/>
          <w:sz w:val="28"/>
          <w:szCs w:val="28"/>
        </w:rPr>
        <w:t xml:space="preserve">к с репродуктивными потерями </w:t>
      </w:r>
      <w:r w:rsidR="00C9244C" w:rsidRPr="00916B3A">
        <w:rPr>
          <w:rFonts w:ascii="Times New Roman" w:hAnsi="Times New Roman" w:cs="Times New Roman"/>
          <w:bCs/>
          <w:sz w:val="28"/>
          <w:szCs w:val="28"/>
        </w:rPr>
        <w:t>в анамнезе</w:t>
      </w:r>
      <w:r w:rsidR="00B22BE3" w:rsidRPr="00916B3A">
        <w:rPr>
          <w:rFonts w:ascii="Times New Roman" w:hAnsi="Times New Roman" w:cs="Times New Roman"/>
          <w:bCs/>
          <w:sz w:val="28"/>
          <w:szCs w:val="28"/>
        </w:rPr>
        <w:t xml:space="preserve"> на основании клинико-инструментальных данных и транскриптомного анализа биоптата эндометрия</w:t>
      </w:r>
      <w:r w:rsidR="00E86C6A" w:rsidRPr="00916B3A">
        <w:rPr>
          <w:rFonts w:ascii="Times New Roman" w:hAnsi="Times New Roman" w:cs="Times New Roman"/>
          <w:bCs/>
          <w:sz w:val="28"/>
          <w:szCs w:val="28"/>
        </w:rPr>
        <w:t>»</w:t>
      </w:r>
      <w:r w:rsidR="00B22BE3" w:rsidRPr="00916B3A">
        <w:rPr>
          <w:rFonts w:ascii="Times New Roman" w:hAnsi="Times New Roman" w:cs="Times New Roman"/>
          <w:bCs/>
          <w:sz w:val="28"/>
          <w:szCs w:val="28"/>
        </w:rPr>
        <w:t xml:space="preserve"> </w:t>
      </w:r>
      <w:r w:rsidRPr="00916B3A">
        <w:rPr>
          <w:rFonts w:ascii="Times New Roman" w:hAnsi="Times New Roman" w:cs="Times New Roman"/>
          <w:bCs/>
          <w:sz w:val="28"/>
          <w:szCs w:val="28"/>
        </w:rPr>
        <w:t>(Приложение В).</w:t>
      </w:r>
    </w:p>
    <w:p w14:paraId="0CB9E25B" w14:textId="4715F164" w:rsidR="00273C23" w:rsidRPr="009205BE" w:rsidRDefault="00F36D65" w:rsidP="009205BE">
      <w:pPr>
        <w:pBdr>
          <w:bottom w:val="single" w:sz="4" w:space="31" w:color="FFFFFF"/>
        </w:pBdr>
        <w:shd w:val="clear" w:color="auto" w:fill="FFFFFF" w:themeFill="background1"/>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b/>
          <w:sz w:val="28"/>
          <w:szCs w:val="28"/>
        </w:rPr>
        <w:t xml:space="preserve">Объем и структура диссертации. </w:t>
      </w:r>
      <w:r w:rsidRPr="00916B3A">
        <w:rPr>
          <w:rFonts w:ascii="Times New Roman" w:hAnsi="Times New Roman" w:cs="Times New Roman"/>
          <w:sz w:val="28"/>
          <w:szCs w:val="28"/>
        </w:rPr>
        <w:t>Диссертационная работа выполнена согласно установленным правилам, и состоит из введения, обзора литературы, материалов и методов исследования, результатов собственных исследований, закл</w:t>
      </w:r>
      <w:r w:rsidR="00EB6B6B" w:rsidRPr="00916B3A">
        <w:rPr>
          <w:rFonts w:ascii="Times New Roman" w:hAnsi="Times New Roman" w:cs="Times New Roman"/>
          <w:sz w:val="28"/>
          <w:szCs w:val="28"/>
        </w:rPr>
        <w:t>юче</w:t>
      </w:r>
      <w:r w:rsidR="00962E5C" w:rsidRPr="00916B3A">
        <w:rPr>
          <w:rFonts w:ascii="Times New Roman" w:hAnsi="Times New Roman" w:cs="Times New Roman"/>
          <w:sz w:val="28"/>
          <w:szCs w:val="28"/>
        </w:rPr>
        <w:t>ния, списка литературы из</w:t>
      </w:r>
      <w:r w:rsidR="00662250" w:rsidRPr="00916B3A">
        <w:rPr>
          <w:rFonts w:ascii="Times New Roman" w:hAnsi="Times New Roman" w:cs="Times New Roman"/>
          <w:sz w:val="28"/>
          <w:szCs w:val="28"/>
        </w:rPr>
        <w:t xml:space="preserve"> </w:t>
      </w:r>
      <w:r w:rsidR="00962E5C" w:rsidRPr="00916B3A">
        <w:rPr>
          <w:rFonts w:ascii="Times New Roman" w:hAnsi="Times New Roman" w:cs="Times New Roman"/>
          <w:sz w:val="28"/>
          <w:szCs w:val="28"/>
        </w:rPr>
        <w:t>133</w:t>
      </w:r>
      <w:r w:rsidRPr="00916B3A">
        <w:rPr>
          <w:rFonts w:ascii="Times New Roman" w:hAnsi="Times New Roman" w:cs="Times New Roman"/>
          <w:sz w:val="28"/>
          <w:szCs w:val="28"/>
        </w:rPr>
        <w:t xml:space="preserve"> источников. Диссертация изложена </w:t>
      </w:r>
      <w:proofErr w:type="gramStart"/>
      <w:r w:rsidRPr="00916B3A">
        <w:rPr>
          <w:rFonts w:ascii="Times New Roman" w:hAnsi="Times New Roman" w:cs="Times New Roman"/>
          <w:sz w:val="28"/>
          <w:szCs w:val="28"/>
        </w:rPr>
        <w:t xml:space="preserve">на </w:t>
      </w:r>
      <w:r w:rsidR="00DD1967" w:rsidRPr="00916B3A">
        <w:rPr>
          <w:rFonts w:ascii="Times New Roman" w:hAnsi="Times New Roman" w:cs="Times New Roman"/>
          <w:sz w:val="28"/>
          <w:szCs w:val="28"/>
          <w:lang w:val="kk-KZ"/>
        </w:rPr>
        <w:t xml:space="preserve"> </w:t>
      </w:r>
      <w:r w:rsidRPr="00916B3A">
        <w:rPr>
          <w:rFonts w:ascii="Times New Roman" w:hAnsi="Times New Roman" w:cs="Times New Roman"/>
          <w:sz w:val="28"/>
          <w:szCs w:val="28"/>
        </w:rPr>
        <w:t>страницах</w:t>
      </w:r>
      <w:proofErr w:type="gramEnd"/>
      <w:r w:rsidRPr="00916B3A">
        <w:rPr>
          <w:rFonts w:ascii="Times New Roman" w:hAnsi="Times New Roman" w:cs="Times New Roman"/>
          <w:sz w:val="28"/>
          <w:szCs w:val="28"/>
        </w:rPr>
        <w:t xml:space="preserve"> компьютерного текста, оформленного с соблюдением нео</w:t>
      </w:r>
      <w:r w:rsidR="00273C23" w:rsidRPr="00916B3A">
        <w:rPr>
          <w:rFonts w:ascii="Times New Roman" w:hAnsi="Times New Roman" w:cs="Times New Roman"/>
          <w:sz w:val="28"/>
          <w:szCs w:val="28"/>
        </w:rPr>
        <w:t>бходимых стандартов, содержит 21</w:t>
      </w:r>
      <w:r w:rsidRPr="00916B3A">
        <w:rPr>
          <w:rFonts w:ascii="Times New Roman" w:hAnsi="Times New Roman" w:cs="Times New Roman"/>
          <w:sz w:val="28"/>
          <w:szCs w:val="28"/>
        </w:rPr>
        <w:t xml:space="preserve"> таблиц</w:t>
      </w:r>
      <w:r w:rsidR="00DD1967" w:rsidRPr="00916B3A">
        <w:rPr>
          <w:rFonts w:ascii="Times New Roman" w:hAnsi="Times New Roman" w:cs="Times New Roman"/>
          <w:sz w:val="28"/>
          <w:szCs w:val="28"/>
        </w:rPr>
        <w:t>у</w:t>
      </w:r>
      <w:r w:rsidRPr="00916B3A">
        <w:rPr>
          <w:rFonts w:ascii="Times New Roman" w:hAnsi="Times New Roman" w:cs="Times New Roman"/>
          <w:sz w:val="28"/>
          <w:szCs w:val="28"/>
        </w:rPr>
        <w:t xml:space="preserve"> и 1</w:t>
      </w:r>
      <w:r w:rsidR="005C305C" w:rsidRPr="00916B3A">
        <w:rPr>
          <w:rFonts w:ascii="Times New Roman" w:hAnsi="Times New Roman" w:cs="Times New Roman"/>
          <w:sz w:val="28"/>
          <w:szCs w:val="28"/>
        </w:rPr>
        <w:t>0</w:t>
      </w:r>
      <w:r w:rsidR="009205BE">
        <w:rPr>
          <w:rFonts w:ascii="Times New Roman" w:hAnsi="Times New Roman" w:cs="Times New Roman"/>
          <w:sz w:val="28"/>
          <w:szCs w:val="28"/>
        </w:rPr>
        <w:t xml:space="preserve"> изображений.</w:t>
      </w:r>
    </w:p>
    <w:p w14:paraId="5E69271D" w14:textId="414238B9" w:rsidR="00C33D22" w:rsidRPr="00916B3A" w:rsidRDefault="00B81DFD" w:rsidP="009205BE">
      <w:pPr>
        <w:rPr>
          <w:rFonts w:ascii="Times New Roman" w:hAnsi="Times New Roman" w:cs="Times New Roman"/>
          <w:b/>
          <w:sz w:val="28"/>
          <w:szCs w:val="28"/>
        </w:rPr>
      </w:pPr>
      <w:r>
        <w:rPr>
          <w:rFonts w:ascii="Times New Roman" w:hAnsi="Times New Roman" w:cs="Times New Roman"/>
          <w:b/>
          <w:sz w:val="28"/>
          <w:szCs w:val="28"/>
        </w:rPr>
        <w:t>1</w:t>
      </w:r>
      <w:r w:rsidR="00140EBD" w:rsidRPr="00916B3A">
        <w:rPr>
          <w:rFonts w:ascii="Times New Roman" w:hAnsi="Times New Roman" w:cs="Times New Roman"/>
          <w:b/>
          <w:sz w:val="28"/>
          <w:szCs w:val="28"/>
        </w:rPr>
        <w:t xml:space="preserve"> </w:t>
      </w:r>
      <w:r w:rsidR="00A51C5D" w:rsidRPr="00916B3A">
        <w:rPr>
          <w:rFonts w:ascii="Times New Roman" w:hAnsi="Times New Roman" w:cs="Times New Roman"/>
          <w:b/>
          <w:sz w:val="28"/>
          <w:szCs w:val="28"/>
        </w:rPr>
        <w:t xml:space="preserve">СОВРЕМЕННОЕ ПРЕДСТАВЛЕНИЕ О ПАТОГЕНЕТИЧЕСКИХ АСПЕКТАХ НАРУШЕНИЯ РЕЦЕПТИВНОСТИ </w:t>
      </w:r>
    </w:p>
    <w:p w14:paraId="03200F87" w14:textId="2160CCA3" w:rsidR="00C33D22" w:rsidRPr="00916B3A" w:rsidRDefault="009D3EB0" w:rsidP="00997125">
      <w:pPr>
        <w:pStyle w:val="a9"/>
        <w:tabs>
          <w:tab w:val="left" w:pos="0"/>
        </w:tabs>
        <w:spacing w:before="0" w:beforeAutospacing="0" w:after="0" w:afterAutospacing="0"/>
        <w:ind w:firstLine="567"/>
        <w:jc w:val="both"/>
        <w:rPr>
          <w:b/>
          <w:color w:val="000000"/>
          <w:spacing w:val="4"/>
          <w:sz w:val="28"/>
          <w:szCs w:val="28"/>
        </w:rPr>
      </w:pPr>
      <w:r w:rsidRPr="00916B3A">
        <w:rPr>
          <w:b/>
          <w:color w:val="000000"/>
          <w:sz w:val="28"/>
          <w:szCs w:val="28"/>
        </w:rPr>
        <w:t xml:space="preserve">1.1 </w:t>
      </w:r>
      <w:r w:rsidRPr="00916B3A">
        <w:rPr>
          <w:b/>
          <w:sz w:val="28"/>
          <w:szCs w:val="28"/>
        </w:rPr>
        <w:t>Факторы риска</w:t>
      </w:r>
      <w:r w:rsidR="000D35BB" w:rsidRPr="00916B3A">
        <w:rPr>
          <w:b/>
          <w:sz w:val="28"/>
          <w:szCs w:val="28"/>
        </w:rPr>
        <w:t xml:space="preserve"> </w:t>
      </w:r>
      <w:r w:rsidR="00951C76" w:rsidRPr="00916B3A">
        <w:rPr>
          <w:b/>
          <w:sz w:val="28"/>
          <w:szCs w:val="28"/>
        </w:rPr>
        <w:t xml:space="preserve">рецидивов </w:t>
      </w:r>
      <w:r w:rsidR="00951C76" w:rsidRPr="00916B3A">
        <w:rPr>
          <w:b/>
          <w:color w:val="000000"/>
          <w:spacing w:val="4"/>
          <w:sz w:val="28"/>
          <w:szCs w:val="28"/>
        </w:rPr>
        <w:t>репродуктивных</w:t>
      </w:r>
      <w:r w:rsidR="000D35BB" w:rsidRPr="00916B3A">
        <w:rPr>
          <w:b/>
          <w:color w:val="000000"/>
          <w:spacing w:val="4"/>
          <w:sz w:val="28"/>
          <w:szCs w:val="28"/>
        </w:rPr>
        <w:t xml:space="preserve"> потерь</w:t>
      </w:r>
    </w:p>
    <w:p w14:paraId="601218FD" w14:textId="404A353B" w:rsidR="00140EBD" w:rsidRPr="00916B3A" w:rsidRDefault="00140EBD" w:rsidP="00997125">
      <w:pPr>
        <w:shd w:val="clear" w:color="auto" w:fill="FFFFFF"/>
        <w:tabs>
          <w:tab w:val="left" w:pos="180"/>
        </w:tabs>
        <w:autoSpaceDE w:val="0"/>
        <w:autoSpaceDN w:val="0"/>
        <w:adjustRightInd w:val="0"/>
        <w:spacing w:after="0" w:line="240" w:lineRule="auto"/>
        <w:ind w:firstLine="567"/>
        <w:jc w:val="both"/>
        <w:rPr>
          <w:rFonts w:ascii="Times New Roman" w:hAnsi="Times New Roman" w:cs="Times New Roman"/>
          <w:color w:val="000000"/>
          <w:spacing w:val="4"/>
          <w:sz w:val="28"/>
          <w:szCs w:val="28"/>
        </w:rPr>
      </w:pPr>
      <w:r w:rsidRPr="00916B3A">
        <w:rPr>
          <w:rFonts w:ascii="Times New Roman" w:hAnsi="Times New Roman" w:cs="Times New Roman"/>
          <w:color w:val="000000"/>
          <w:spacing w:val="4"/>
          <w:sz w:val="28"/>
          <w:szCs w:val="28"/>
        </w:rPr>
        <w:t xml:space="preserve">Репродуктивные потери связанные с невынашивание беременности и безэффективность программ </w:t>
      </w:r>
      <w:r w:rsidR="00116BEA" w:rsidRPr="00916B3A">
        <w:rPr>
          <w:rFonts w:ascii="Times New Roman" w:hAnsi="Times New Roman" w:cs="Times New Roman"/>
          <w:color w:val="000000"/>
          <w:spacing w:val="4"/>
          <w:sz w:val="28"/>
          <w:szCs w:val="28"/>
        </w:rPr>
        <w:t>вспомогательных репродуктивны</w:t>
      </w:r>
      <w:r w:rsidR="00750FB4" w:rsidRPr="00916B3A">
        <w:rPr>
          <w:rFonts w:ascii="Times New Roman" w:hAnsi="Times New Roman" w:cs="Times New Roman"/>
          <w:color w:val="000000"/>
          <w:spacing w:val="4"/>
          <w:sz w:val="28"/>
          <w:szCs w:val="28"/>
        </w:rPr>
        <w:t>х технологии</w:t>
      </w:r>
      <w:r w:rsidR="00527FAA" w:rsidRPr="00916B3A">
        <w:rPr>
          <w:rFonts w:ascii="Times New Roman" w:hAnsi="Times New Roman" w:cs="Times New Roman"/>
          <w:color w:val="000000"/>
          <w:spacing w:val="4"/>
          <w:sz w:val="28"/>
          <w:szCs w:val="28"/>
        </w:rPr>
        <w:t xml:space="preserve"> </w:t>
      </w:r>
      <w:r w:rsidRPr="00916B3A">
        <w:rPr>
          <w:rFonts w:ascii="Times New Roman" w:hAnsi="Times New Roman" w:cs="Times New Roman"/>
          <w:color w:val="000000"/>
          <w:spacing w:val="4"/>
          <w:sz w:val="28"/>
          <w:szCs w:val="28"/>
        </w:rPr>
        <w:t>ВРТ</w:t>
      </w:r>
      <w:r w:rsidRPr="00916B3A">
        <w:rPr>
          <w:rFonts w:ascii="Times New Roman" w:hAnsi="Times New Roman" w:cs="Times New Roman"/>
          <w:color w:val="000000"/>
          <w:spacing w:val="4"/>
          <w:sz w:val="28"/>
          <w:szCs w:val="28"/>
          <w:lang w:val="kk-KZ"/>
        </w:rPr>
        <w:t xml:space="preserve"> является медицинской и социальной проблемой</w:t>
      </w:r>
      <w:r w:rsidR="008C6800">
        <w:rPr>
          <w:rFonts w:ascii="Times New Roman" w:hAnsi="Times New Roman" w:cs="Times New Roman"/>
          <w:color w:val="000000"/>
          <w:spacing w:val="4"/>
          <w:sz w:val="28"/>
          <w:szCs w:val="28"/>
          <w:lang w:val="kk-KZ"/>
        </w:rPr>
        <w:fldChar w:fldCharType="begin" w:fldLock="1"/>
      </w:r>
      <w:r w:rsidR="008C6800">
        <w:rPr>
          <w:rFonts w:ascii="Times New Roman" w:hAnsi="Times New Roman" w:cs="Times New Roman"/>
          <w:color w:val="000000"/>
          <w:spacing w:val="4"/>
          <w:sz w:val="28"/>
          <w:szCs w:val="28"/>
          <w:lang w:val="kk-KZ"/>
        </w:rPr>
        <w:instrText>ADDIN CSL_CITATION {"citationItems":[{"id":"ITEM-1","itemData":{"author":[{"dropping-particle":"","family":"Оплодотворения","given":"После Экстракорпорального","non-dropping-particle":"","parse-names":false,"suffix":""}],"id":"ITEM-1","issued":{"date-parts":[["2016"]]},"page":"88-94","title":"Факторы риска и профилактика ранних потерь беременности","type":"article-journal"},"uris":["http://www.mendeley.com/documents/?uuid=04790a1f-5bec-4331-a674-d0900dd70849"]}],"mendeley":{"formattedCitation":"[16]","plainTextFormattedCitation":"[16]","previouslyFormattedCitation":"(16)"},"properties":{"noteIndex":0},"schema":"https://github.com/citation-style-language/schema/raw/master/csl-citation.json"}</w:instrText>
      </w:r>
      <w:r w:rsidR="008C6800">
        <w:rPr>
          <w:rFonts w:ascii="Times New Roman" w:hAnsi="Times New Roman" w:cs="Times New Roman"/>
          <w:color w:val="000000"/>
          <w:spacing w:val="4"/>
          <w:sz w:val="28"/>
          <w:szCs w:val="28"/>
          <w:lang w:val="kk-KZ"/>
        </w:rPr>
        <w:fldChar w:fldCharType="separate"/>
      </w:r>
      <w:r w:rsidR="008C6800" w:rsidRPr="008C6800">
        <w:rPr>
          <w:rFonts w:ascii="Times New Roman" w:hAnsi="Times New Roman" w:cs="Times New Roman"/>
          <w:noProof/>
          <w:color w:val="000000"/>
          <w:spacing w:val="4"/>
          <w:sz w:val="28"/>
          <w:szCs w:val="28"/>
          <w:lang w:val="kk-KZ"/>
        </w:rPr>
        <w:t>[16]</w:t>
      </w:r>
      <w:r w:rsidR="008C6800">
        <w:rPr>
          <w:rFonts w:ascii="Times New Roman" w:hAnsi="Times New Roman" w:cs="Times New Roman"/>
          <w:color w:val="000000"/>
          <w:spacing w:val="4"/>
          <w:sz w:val="28"/>
          <w:szCs w:val="28"/>
          <w:lang w:val="kk-KZ"/>
        </w:rPr>
        <w:fldChar w:fldCharType="end"/>
      </w:r>
      <w:r w:rsidRPr="00916B3A">
        <w:rPr>
          <w:rFonts w:ascii="Times New Roman" w:hAnsi="Times New Roman" w:cs="Times New Roman"/>
          <w:color w:val="000000"/>
          <w:spacing w:val="4"/>
          <w:sz w:val="28"/>
          <w:szCs w:val="28"/>
        </w:rPr>
        <w:t>. Научный интерес к проблеме невынашивания возрастает в связи с появлением новых диагностических возможностей, позволяющих уточнить этиологические факторы, и по-новому подойти к выяснению патогенетических механизмов невынашивания беременности</w:t>
      </w:r>
      <w:r w:rsidR="008C6800">
        <w:rPr>
          <w:rFonts w:ascii="Times New Roman" w:hAnsi="Times New Roman" w:cs="Times New Roman"/>
          <w:color w:val="000000"/>
          <w:spacing w:val="4"/>
          <w:sz w:val="28"/>
          <w:szCs w:val="28"/>
        </w:rPr>
        <w:fldChar w:fldCharType="begin" w:fldLock="1"/>
      </w:r>
      <w:r w:rsidR="008C6800">
        <w:rPr>
          <w:rFonts w:ascii="Times New Roman" w:hAnsi="Times New Roman" w:cs="Times New Roman"/>
          <w:color w:val="000000"/>
          <w:spacing w:val="4"/>
          <w:sz w:val="28"/>
          <w:szCs w:val="28"/>
        </w:rPr>
        <w:instrText>ADDIN CSL_CITATION {"citationItems":[{"id":"ITEM-1","itemData":{"DOI":"10.21045/2071-5021-2020-66-5-6","abstract":"Significance. Reproductive loss is considered as a system indicator of mother and child service. The majority of spontaneous abortions occur in the first trimester. The frequency of this pathology, despite the development of medical and biological research and introduction of organizational measures, does not tend to decrease due to multifactorial nature of its etiology and pathogenesis. To reduce loss due to early spontaneous abortions, it is necessary to improve health care delivery to women through developing preventive measures with due regard to etiopathogenetic aspect of early reproductive loss. Purpose. To identify main etiopathogenetic and medico-social aspects of early spontaneous reproductive loss in order to improve organization of care delivery to women with this problem. Material and methods. Content analysis of 200 scientific publications by the Russian and foreign authors published in the main electronic databases (\"CyberLeninka\", \"disserCat\", \"PubFacts\", \"PubMed\", \"Google Scholar\", \"eLibrary\"). Results. The study analyzed major risk factors and causes of early spontaneous reproductive loss according to modern researchers. In parallel, the analysis of possible ways to improve organization of care delivery to women with spontaneous abortions at the present stage was carried out on the basis of the data obtained. Scope of application. An in-depth study of the etiology and pathogenesis of reproductive loss early in pregnancy contributes to the development of new well-founded organizational methods to reduce it. Avery described etiopathogenetic aspect should be reflected in the complex of preventive and rehabilitation measures for women with a history of early reproductive loss or at risk for miscarriage, as well as in the algorithms for managing pregnant women of these categories. The importance of a differentiated approach to patients with early spontaneous pregnancy loss and the need for their observation by doctors of different specialties are emphasized. Keywords: reproductive loss; early spontaneous pregnancy loss; miscarriage; spontaneous abortion; review; organization of care delivery for miscarriage.","author":[{"dropping-particle":"","family":"Bushmeleva","given":"N.N.","non-dropping-particle":"","parse-names":false,"suffix":""},{"dropping-particle":"","family":"Vakhrusheva","given":"Yu.N.","non-dropping-particle":"","parse-names":false,"suffix":""}],"container-title":"Social Aspects of Population Health","id":"ITEM-1","issue":"5","issued":{"date-parts":[["2020"]]},"page":"6-6","title":"Etiopathogenetic Aspect of Early Reproductive Loss Within the Framework of Improving Organization of Care Delivery To Women (Analytical Review)","type":"article-journal","volume":"66"},"uris":["http://www.mendeley.com/documents/?uuid=3da0afff-e300-44fc-96ad-39368b9adbeb"]}],"mendeley":{"formattedCitation":"[17]","plainTextFormattedCitation":"[17]","previouslyFormattedCitation":"(17)"},"properties":{"noteIndex":0},"schema":"https://github.com/citation-style-language/schema/raw/master/csl-citation.json"}</w:instrText>
      </w:r>
      <w:r w:rsidR="008C6800">
        <w:rPr>
          <w:rFonts w:ascii="Times New Roman" w:hAnsi="Times New Roman" w:cs="Times New Roman"/>
          <w:color w:val="000000"/>
          <w:spacing w:val="4"/>
          <w:sz w:val="28"/>
          <w:szCs w:val="28"/>
        </w:rPr>
        <w:fldChar w:fldCharType="separate"/>
      </w:r>
      <w:r w:rsidR="008C6800" w:rsidRPr="008C6800">
        <w:rPr>
          <w:rFonts w:ascii="Times New Roman" w:hAnsi="Times New Roman" w:cs="Times New Roman"/>
          <w:noProof/>
          <w:color w:val="000000"/>
          <w:spacing w:val="4"/>
          <w:sz w:val="28"/>
          <w:szCs w:val="28"/>
        </w:rPr>
        <w:t>[17]</w:t>
      </w:r>
      <w:r w:rsidR="008C6800">
        <w:rPr>
          <w:rFonts w:ascii="Times New Roman" w:hAnsi="Times New Roman" w:cs="Times New Roman"/>
          <w:color w:val="000000"/>
          <w:spacing w:val="4"/>
          <w:sz w:val="28"/>
          <w:szCs w:val="28"/>
        </w:rPr>
        <w:fldChar w:fldCharType="end"/>
      </w:r>
      <w:r w:rsidRPr="00916B3A">
        <w:rPr>
          <w:rFonts w:ascii="Times New Roman" w:hAnsi="Times New Roman" w:cs="Times New Roman"/>
          <w:color w:val="000000"/>
          <w:spacing w:val="4"/>
          <w:sz w:val="28"/>
          <w:szCs w:val="28"/>
        </w:rPr>
        <w:t xml:space="preserve">.  </w:t>
      </w:r>
    </w:p>
    <w:p w14:paraId="1FEEC3C8" w14:textId="3B20288A" w:rsidR="00AC38EC" w:rsidRPr="00916B3A" w:rsidRDefault="008F1599" w:rsidP="00997125">
      <w:pPr>
        <w:spacing w:after="0" w:line="240" w:lineRule="auto"/>
        <w:ind w:firstLine="567"/>
        <w:jc w:val="both"/>
        <w:rPr>
          <w:rFonts w:ascii="Times New Roman" w:eastAsia="Arial Unicode MS" w:hAnsi="Times New Roman" w:cs="Times New Roman"/>
          <w:color w:val="000000"/>
          <w:sz w:val="28"/>
          <w:szCs w:val="28"/>
          <w:u w:color="000000"/>
          <w:bdr w:val="nil"/>
          <w:lang w:eastAsia="ru-RU"/>
        </w:rPr>
      </w:pPr>
      <w:r w:rsidRPr="00916B3A">
        <w:rPr>
          <w:rFonts w:ascii="Times New Roman" w:hAnsi="Times New Roman" w:cs="Times New Roman"/>
          <w:sz w:val="28"/>
          <w:szCs w:val="28"/>
        </w:rPr>
        <w:t>Согласно данным Европейского общества репродукции человека и эмбриологии (ESHRE), примерно каждая шестая пара в мире сталкивается с нарушениями репродуктивной функции в репродуктивном возрасте</w:t>
      </w:r>
      <w:r w:rsidR="007B20A4">
        <w:rPr>
          <w:rFonts w:ascii="Times New Roman" w:hAnsi="Times New Roman" w:cs="Times New Roman"/>
          <w:color w:val="0D0D0D"/>
          <w:sz w:val="28"/>
          <w:szCs w:val="28"/>
          <w:shd w:val="clear" w:color="auto" w:fill="FFFFFF"/>
        </w:rPr>
        <w:fldChar w:fldCharType="begin" w:fldLock="1"/>
      </w:r>
      <w:r w:rsidR="005678F1">
        <w:rPr>
          <w:rFonts w:ascii="Times New Roman" w:hAnsi="Times New Roman" w:cs="Times New Roman"/>
          <w:color w:val="0D0D0D"/>
          <w:sz w:val="28"/>
          <w:szCs w:val="28"/>
          <w:shd w:val="clear" w:color="auto" w:fill="FFFFFF"/>
        </w:rPr>
        <w:instrText>ADDIN CSL_CITATION {"citationItems":[{"id":"ITEM-1","itemData":{"DOI":"10.1093/humrep/der092","ISBN":"3951307307","ISSN":"0268-1161","abstract":"The definition presented here represents the first realistic attempt by the scientific community to standardize the definition of poor ovarian response (POR) in a simple and reproducible manner. POR to ovarian stimulation usually indicates a reduction in follicular response, resulting in a reduced number of retrieved oocytes. It has been recognized that, in order to define the poor response in IVF, at least two of the following three features must be present: (i) advanced maternal age or any other risk factor for POR; (ii) a previous POR; and (iii) an abnormal ovarian reserve test (ORT). Two episodes of POR after maximal stimulation are sufficient to define a patient as poor responder in the absence of advanced maternal age or abnormal ORT. By definition, the term POR refers to the ovarian response, and therefore, one stimulated cycle is considered essential for the diagnosis of POR. However, patients of advanced age with an abnormal ORT may be classified as poor responders since both advanced age and an abnormal ORT may indicate reduced ovarian reserve and act as a surrogate of ovarian stimulation cycle outcome. In this case, the patients should be more properly defined as 'expected poor responder'. If this definition of POR is uniformly adapted as the 'minimal criteria needed to select patients for future clinical trials, more homogeneous populations will be tested for any new protocols. Finally, by reducing bias caused by spurious POR definitions, it will be possible to compare Results: and to draw reliable conclusions. © 2011 The Author.","author":[{"dropping-particle":"","family":"Ferraretti","given":"A. P.","non-dropping-particle":"","parse-names":false,"suffix":""},{"dropping-particle":"","family":"Marca","given":"A.","non-dropping-particle":"La","parse-names":false,"suffix":""},{"dropping-particle":"","family":"Fauser","given":"B. C. J. M.","non-dropping-particle":"","parse-names":false,"suffix":""},{"dropping-particle":"","family":"Tarlatzis","given":"B.","non-dropping-particle":"","parse-names":false,"suffix":""},{"dropping-particle":"","family":"Nargund","given":"G.","non-dropping-particle":"","parse-names":false,"suffix":""},{"dropping-particle":"","family":"Gianaroli","given":"L.","non-dropping-particle":"","parse-names":false,"suffix":""}],"container-title":"Human Reproduction","id":"ITEM-1","issue":"7","issued":{"date-parts":[["2011","7","1"]]},"page":"1616-1624","title":"ESHRE consensus on the definition of 'poor response' to ovarian stimulation for in vitro fertilization: the Bologna criteria","type":"article-journal","volume":"26"},"uris":["http://www.mendeley.com/documents/?uuid=55289a63-e0a3-4c55-9cbb-652020896db5"]}],"mendeley":{"formattedCitation":"[1]","manualFormatting":"[1, с. 1616]","plainTextFormattedCitation":"[1]","previouslyFormattedCitation":"(1)"},"properties":{"noteIndex":0},"schema":"https://github.com/citation-style-language/schema/raw/master/csl-citation.json"}</w:instrText>
      </w:r>
      <w:r w:rsidR="007B20A4">
        <w:rPr>
          <w:rFonts w:ascii="Times New Roman" w:hAnsi="Times New Roman" w:cs="Times New Roman"/>
          <w:color w:val="0D0D0D"/>
          <w:sz w:val="28"/>
          <w:szCs w:val="28"/>
          <w:shd w:val="clear" w:color="auto" w:fill="FFFFFF"/>
        </w:rPr>
        <w:fldChar w:fldCharType="separate"/>
      </w:r>
      <w:r w:rsidR="007B20A4" w:rsidRPr="008C6800">
        <w:rPr>
          <w:rFonts w:ascii="Times New Roman" w:hAnsi="Times New Roman" w:cs="Times New Roman"/>
          <w:noProof/>
          <w:color w:val="0D0D0D"/>
          <w:sz w:val="28"/>
          <w:szCs w:val="28"/>
          <w:shd w:val="clear" w:color="auto" w:fill="FFFFFF"/>
        </w:rPr>
        <w:t>[1</w:t>
      </w:r>
      <w:r w:rsidR="007B20A4">
        <w:rPr>
          <w:rFonts w:ascii="Times New Roman" w:hAnsi="Times New Roman" w:cs="Times New Roman"/>
          <w:noProof/>
          <w:color w:val="0D0D0D"/>
          <w:sz w:val="28"/>
          <w:szCs w:val="28"/>
          <w:shd w:val="clear" w:color="auto" w:fill="FFFFFF"/>
        </w:rPr>
        <w:t>, с. 1616</w:t>
      </w:r>
      <w:r w:rsidR="007B20A4" w:rsidRPr="008C6800">
        <w:rPr>
          <w:rFonts w:ascii="Times New Roman" w:hAnsi="Times New Roman" w:cs="Times New Roman"/>
          <w:noProof/>
          <w:color w:val="0D0D0D"/>
          <w:sz w:val="28"/>
          <w:szCs w:val="28"/>
          <w:shd w:val="clear" w:color="auto" w:fill="FFFFFF"/>
        </w:rPr>
        <w:t>]</w:t>
      </w:r>
      <w:r w:rsidR="007B20A4">
        <w:rPr>
          <w:rFonts w:ascii="Times New Roman" w:hAnsi="Times New Roman" w:cs="Times New Roman"/>
          <w:color w:val="0D0D0D"/>
          <w:sz w:val="28"/>
          <w:szCs w:val="28"/>
          <w:shd w:val="clear" w:color="auto" w:fill="FFFFFF"/>
        </w:rPr>
        <w:fldChar w:fldCharType="end"/>
      </w:r>
      <w:r w:rsidRPr="00916B3A">
        <w:rPr>
          <w:rFonts w:ascii="Times New Roman" w:hAnsi="Times New Roman" w:cs="Times New Roman"/>
          <w:sz w:val="28"/>
          <w:szCs w:val="28"/>
        </w:rPr>
        <w:t>. Включение вспомогательных</w:t>
      </w:r>
      <w:r w:rsidR="00734A60" w:rsidRPr="00916B3A">
        <w:rPr>
          <w:rFonts w:ascii="Times New Roman" w:hAnsi="Times New Roman" w:cs="Times New Roman"/>
          <w:sz w:val="28"/>
          <w:szCs w:val="28"/>
        </w:rPr>
        <w:t xml:space="preserve"> репродуктивных технологий</w:t>
      </w:r>
      <w:r w:rsidRPr="00916B3A">
        <w:rPr>
          <w:rFonts w:ascii="Times New Roman" w:hAnsi="Times New Roman" w:cs="Times New Roman"/>
          <w:sz w:val="28"/>
          <w:szCs w:val="28"/>
        </w:rPr>
        <w:t>, таких как экстрак</w:t>
      </w:r>
      <w:r w:rsidR="00734A60" w:rsidRPr="00916B3A">
        <w:rPr>
          <w:rFonts w:ascii="Times New Roman" w:hAnsi="Times New Roman" w:cs="Times New Roman"/>
          <w:sz w:val="28"/>
          <w:szCs w:val="28"/>
        </w:rPr>
        <w:t>орпоральное оплодотворение  и перенос эмбрионов</w:t>
      </w:r>
      <w:r w:rsidRPr="00916B3A">
        <w:rPr>
          <w:rFonts w:ascii="Times New Roman" w:hAnsi="Times New Roman" w:cs="Times New Roman"/>
          <w:sz w:val="28"/>
          <w:szCs w:val="28"/>
        </w:rPr>
        <w:t>, в программы обязательного социа</w:t>
      </w:r>
      <w:r w:rsidR="00734A60" w:rsidRPr="00916B3A">
        <w:rPr>
          <w:rFonts w:ascii="Times New Roman" w:hAnsi="Times New Roman" w:cs="Times New Roman"/>
          <w:sz w:val="28"/>
          <w:szCs w:val="28"/>
        </w:rPr>
        <w:t>льного медицинского страхования</w:t>
      </w:r>
      <w:r w:rsidRPr="00916B3A">
        <w:rPr>
          <w:rFonts w:ascii="Times New Roman" w:hAnsi="Times New Roman" w:cs="Times New Roman"/>
          <w:sz w:val="28"/>
          <w:szCs w:val="28"/>
        </w:rPr>
        <w:t xml:space="preserve"> открыло доступ к медицинской помощи для множества семей</w:t>
      </w:r>
      <w:r w:rsidR="005536C0" w:rsidRPr="005536C0">
        <w:rPr>
          <w:rFonts w:ascii="Times New Roman" w:hAnsi="Times New Roman" w:cs="Times New Roman"/>
          <w:sz w:val="28"/>
          <w:szCs w:val="28"/>
        </w:rPr>
        <w:t xml:space="preserve"> </w:t>
      </w:r>
      <w:r w:rsidR="009B4E71"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{"citationItems":[{"id":"ITEM-1","itemData":{"DOI":"10.37800/rm.3.2022.7-14","ISSN":"2303-9949","abstract":"Актуальность: Статья содержит сводные данные о проведенных в 2019 г. программах вспомогательных репродуктивных технологий (ВРТ) в клиниках Казахстана, занимающихся лечением бесплодия. Цель исследования - проанализировать структуру и исходы зарегистрированных циклов ВРТ, проведенных в Республике Казахстан в течение 2019 г. с 1 января по 31 декабря. Методы: Проведен дескриптивный анализ данных из отчетов, зарегистрированных Казахстанской Ассоциации Репродуктивной Медицины (КАРМ) за период с 1 января по 31 декабря 2019 г. Отчеты включали в себя данные о циклах ЭКО, ИКСИ, криопереносах эмбрионов, суррогатного материнства, преимплантационных генетических тестов и донорства яйцеклеток. Результаты: В общей сложности за 2019 г. были зарегистрированы 15,552 циклов лечения с помощью ВРТ, в результате которых родились 4042 новорожденных. Доступность лечения с помощью ВРТ составила 835,1 циклов на 1 млн населения. Заключение: Таким образом, по данным регистра в 2019 г. число программ ВРТ увеличилось на 13,7%. Сбор данных был проведен добровольно, в регистре приняли участие 18 клиник, что составило 78,2%, от числа работавших в стране на 31 декабря 2019 г., а доля полученных данных составила 95%.","author":[{"dropping-particle":"","family":"Локшин","given":"В.Н.","non-dropping-particle":"","parse-names":false,"suffix":""},{"dropping-particle":"","family":"Сулейменова","given":"М.Д.","non-dropping-particle":"","parse-names":false,"suffix":""},{"dropping-particle":"","family":"Карибаева","given":"Ш.К.","non-dropping-particle":"","parse-names":false,"suffix":""},{"dropping-particle":"","family":"Джусбалиева","given":"Т.М.","non-dropping-particle":"","parse-names":false,"suffix":""},{"dropping-particle":"","family":"Байкошкарова","given":"Б.С.","non-dropping-particle":"","parse-names":false,"suffix":""},{"dropping-particle":"","family":"Отарбаев","given":"М.К.","non-dropping-particle":"","parse-names":false,"suffix":""},{"dropping-particle":"","family":"Ахметова","given":"А.А.","non-dropping-particle":"","parse-names":false,"suffix":""},{"dropping-particle":"","family":"Покотило","given":"Л.И.","non-dropping-particle":"","parse-names":false,"suffix":""},{"dropping-particle":"","family":"Макишева","given":"А.Т.","non-dropping-particle":"","parse-names":false,"suffix":""},{"dropping-particle":"","family":"Тарарака","given":"К.С.","non-dropping-particle":"","parse-names":false,"suffix":""},{"dropping-particle":"","family":"Тарарака","given":"С.С.","non-dropping-particle":"","parse-names":false,"suffix":""},{"dropping-particle":"","family":"Чалова","given":"Л.Р.","non-dropping-particle":"","parse-names":false,"suffix":""},{"dropping-particle":"","family":"Ким","given":"В.В.","non-dropping-particle":"","parse-names":false,"suffix":""},{"dropping-particle":"","family":"Молбаев","given":"А.Т.","non-dropping-particle":"","parse-names":false,"suffix":""},{"dropping-particle":"","family":"Имтосими","given":"Д.Г.","non-dropping-particle":"","parse-names":false,"suffix":""},{"dropping-particle":"","family":"Лапина","given":"Е.В.","non-dropping-particle":"","parse-names":false,"suffix":""}],"container-title":"Reproductive Medicine","id":"ITEM-1","issue":"3(52)","issued":{"date-parts":[["2022"]]},"page":"7-14","title":"Вспомогательные Репродуктивные Технологии В Казахстане За 2019 Год: Данные Национального Регистра","type":"article-journal","volume":"3"},"uris":["http://www.mendeley.com/documents/?uuid=2129e4f1-e63b-4db7-817d-7e7b308de5b5"]}],"mendeley":{"formattedCitation":"[18]","plainTextFormattedCitation":"[18]","previouslyFormattedCitation":"(18)"},"properties":{"noteIndex":0},"schema":"https://github.com/citation-style-language/schema/raw/master/csl-citation.json"}</w:instrText>
      </w:r>
      <w:r w:rsidR="009B4E71"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[18]</w:t>
      </w:r>
      <w:r w:rsidR="009B4E71" w:rsidRPr="00916B3A">
        <w:rPr>
          <w:rFonts w:ascii="Times New Roman" w:hAnsi="Times New Roman" w:cs="Times New Roman"/>
          <w:sz w:val="28"/>
          <w:szCs w:val="28"/>
        </w:rPr>
        <w:fldChar w:fldCharType="end"/>
      </w:r>
      <w:r w:rsidR="009B4E71" w:rsidRPr="00916B3A">
        <w:rPr>
          <w:rFonts w:ascii="Times New Roman" w:hAnsi="Times New Roman" w:cs="Times New Roman"/>
          <w:sz w:val="28"/>
          <w:szCs w:val="28"/>
        </w:rPr>
        <w:t>.</w:t>
      </w:r>
      <w:r w:rsidRPr="00916B3A">
        <w:rPr>
          <w:rFonts w:ascii="Times New Roman" w:hAnsi="Times New Roman" w:cs="Times New Roman"/>
          <w:sz w:val="28"/>
          <w:szCs w:val="28"/>
        </w:rPr>
        <w:t xml:space="preserve"> Реализация программы «Аңсаған сәби» позволила значительно расширить доступ к этим услугам, увеличив квоты на процедуру ЭКО в 7 раз</w:t>
      </w:r>
      <w:r w:rsidR="00734A60"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{"citationItems":[{"id":"ITEM-1","itemData":{"id":"ITEM-1","issued":{"date-parts":[["2020"]]},"number-of-pages":"1-25","title":"Приказ Министра здравоохранения Республики Казахстан. Об утверждении правил и условий проведения вспомогательных репродуктивных методов и технологий: утв. 15 декабря 2020 года, № ҚР ДСМ-272/2020","type":"report"},"uris":["http://www.mendeley.com/documents/?uuid=37730498-077b-4fb6-9bad-04bbb4c64952"]}],"mendeley":{"formattedCitation":"[19]","plainTextFormattedCitation":"[19]","previouslyFormattedCitation":"(19)"},"properties":{"noteIndex":0},"schema":"https://github.com/citation-style-language/schema/raw/master/csl-citation.json"}</w:instrText>
      </w:r>
      <w:r w:rsidR="00734A60"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[19]</w:t>
      </w:r>
      <w:r w:rsidR="00734A60" w:rsidRPr="00916B3A">
        <w:rPr>
          <w:rFonts w:ascii="Times New Roman" w:hAnsi="Times New Roman" w:cs="Times New Roman"/>
          <w:sz w:val="28"/>
          <w:szCs w:val="28"/>
        </w:rPr>
        <w:fldChar w:fldCharType="end"/>
      </w:r>
      <w:r w:rsidRPr="00916B3A">
        <w:rPr>
          <w:rFonts w:ascii="Times New Roman" w:hAnsi="Times New Roman" w:cs="Times New Roman"/>
          <w:sz w:val="28"/>
          <w:szCs w:val="28"/>
        </w:rPr>
        <w:t xml:space="preserve">. </w:t>
      </w:r>
      <w:r w:rsidR="00AC38EC" w:rsidRPr="00916B3A">
        <w:rPr>
          <w:rFonts w:ascii="Times New Roman" w:eastAsia="Arial Unicode MS" w:hAnsi="Times New Roman" w:cs="Times New Roman"/>
          <w:color w:val="000000"/>
          <w:sz w:val="28"/>
          <w:szCs w:val="28"/>
          <w:u w:color="000000"/>
          <w:bdr w:val="nil"/>
          <w:lang w:eastAsia="ru-RU"/>
        </w:rPr>
        <w:t>Внедрение Государственной программы «</w:t>
      </w:r>
      <w:r w:rsidR="00AC38EC" w:rsidRPr="00916B3A">
        <w:rPr>
          <w:rFonts w:ascii="Times New Roman" w:eastAsia="Arial Unicode MS" w:hAnsi="Times New Roman" w:cs="Times New Roman"/>
          <w:color w:val="000000"/>
          <w:sz w:val="28"/>
          <w:szCs w:val="28"/>
          <w:u w:color="000000"/>
          <w:bdr w:val="nil"/>
          <w:lang w:val="kk-KZ" w:eastAsia="ru-RU"/>
        </w:rPr>
        <w:t>Аңсаған сәби</w:t>
      </w:r>
      <w:r w:rsidR="00AC38EC" w:rsidRPr="00916B3A">
        <w:rPr>
          <w:rFonts w:ascii="Times New Roman" w:eastAsia="Arial Unicode MS" w:hAnsi="Times New Roman" w:cs="Times New Roman"/>
          <w:color w:val="000000"/>
          <w:sz w:val="28"/>
          <w:szCs w:val="28"/>
          <w:u w:color="000000"/>
          <w:bdr w:val="nil"/>
          <w:lang w:eastAsia="ru-RU"/>
        </w:rPr>
        <w:t>» позволило увеличить количество процедур ВРТ в 2,2 раза в 2021 году и 1,6 раз в 2022 году, при этом средний показатель эффективности процедуры (наступление беременности) составил 29,6%. В 2021-2022 гг. увеличилась обращаемость пациенток с более благоприятным анамнезом, позволяющим увеличить шансы на успешность процедуры ЭКО (возраст до 34 лет, наличие трубного фактора), однако, в системе ОСМС сохраняется проблема недообследования пациенток перед ЭКО, и как следствие, значимое увеличение доли потерь беременности (29,5%), недооценки других фактора риска неудач имплантации</w:t>
      </w:r>
      <w:r w:rsidR="00734A60" w:rsidRPr="00916B3A">
        <w:rPr>
          <w:rFonts w:ascii="Times New Roman" w:eastAsia="Arial Unicode MS" w:hAnsi="Times New Roman" w:cs="Times New Roman"/>
          <w:color w:val="000000"/>
          <w:sz w:val="28"/>
          <w:szCs w:val="28"/>
          <w:u w:color="000000"/>
          <w:bdr w:val="nil"/>
          <w:lang w:eastAsia="ru-RU"/>
        </w:rPr>
        <w:fldChar w:fldCharType="begin" w:fldLock="1"/>
      </w:r>
      <w:r w:rsidR="008C6800">
        <w:rPr>
          <w:rFonts w:ascii="Times New Roman" w:eastAsia="Arial Unicode MS" w:hAnsi="Times New Roman" w:cs="Times New Roman"/>
          <w:color w:val="000000"/>
          <w:sz w:val="28"/>
          <w:szCs w:val="28"/>
          <w:u w:color="000000"/>
          <w:bdr w:val="nil"/>
          <w:lang w:eastAsia="ru-RU"/>
        </w:rPr>
        <w:instrText>ADDIN CSL_CITATION {"citationItems":[{"id":"ITEM-1","itemData":{"DOI":"10.26212/2227-1937.2024.72.69.010","ISSN":"22271937","abstract":"Репродуктивные потери в виде неудач имплантации достигают более 50% в программах экстракорпорального оплодотворения. Крайне актуальным является изучение факторов, оказывающих негативное влияние на результативность программ экстракорпорального оплодотворения. Цель работы: оценить результативность вспомогательных репродуктивных технологий до и после внедрения в Республике Казахстан Государственной программы «Аңсаған сәби». Материалы и методы: Мониторинг качества программы экстракорпорального оплодотворения проведен у 401 пациентки в 2020-2022 гг., в том числе в 2020 г – у 58, 2021 г. – у 133, 2022 г. – у 210 пациенток на базе Научного центра акушерства, гинекологии и перинатологии г. Алматы. Результаты: Внедрение Государственной программы «Аңсаған сәби» позволило увеличить количество процедур вспомогательных репродуктивных технологий в 2,2 раза в 2021 году и 1,6 раз в 2022 году, при этом средний показатель эффективности процедуры (наступление беременности) составил 29,6%. В 2021-2022 гг. увеличилась обращаемость пациенток с более благоприятным анамнезом, позволяющим увеличить шансы на успешность процедуры экстракорпорального оплодотворения (возраст до 34 лет, наличие трубного фактора), однако, в системе обязательного социального медицинского страхования сохраняется проблема недообследования пациенток перед экстракорпоральным оплодотворением, и как следствие, значимое увеличение доли потерь беременности (29,5%), недооценки других фактора риска неудач имплантации.","author":[{"dropping-particle":"","family":"Курманова","given":"А.М.","non-dropping-particle":"","parse-names":false,"suffix":""},{"dropping-particle":"","family":"Мамедалиева","given":"Н.М.","non-dropping-particle":"","parse-names":false,"suffix":""},{"dropping-particle":"","family":"Мошкалова","given":"Г.Н.","non-dropping-particle":"","parse-names":false,"suffix":""},{"dropping-particle":"","family":"Салимбаева","given":"Д.Н.","non-dropping-particle":"","parse-names":false,"suffix":""},{"dropping-particle":"","family":"Арипова","given":"Р.С.","non-dropping-particle":"","parse-names":false,"suffix":""},{"dropping-particle":"","family":"Анартаева","given":"Г.Ж.","non-dropping-particle":"","parse-names":false,"suffix":""}],"container-title":"Научно — Практический Журнал Фтизиопульмонология","id":"ITEM-1","issue":"2","issued":{"date-parts":[["2024"]]},"page":"74-81","title":"Мониторинг Качества Вспомогательных Репродуктивных Технологий В Системе Обязательного Социального Медицинского Страхования","type":"article-journal"},"uris":["http://www.mendeley.com/documents/?uuid=87c18e5b-756d-4252-9c85-ab26e58bc72b"]}],"mendeley":{"formattedCitation":"[20]","plainTextFormattedCitation":"[20]","previouslyFormattedCitation":"(20)"},"properties":{"noteIndex":0},"schema":"https://github.com/citation-style-language/schema/raw/master/csl-citation.json"}</w:instrText>
      </w:r>
      <w:r w:rsidR="00734A60" w:rsidRPr="00916B3A">
        <w:rPr>
          <w:rFonts w:ascii="Times New Roman" w:eastAsia="Arial Unicode MS" w:hAnsi="Times New Roman" w:cs="Times New Roman"/>
          <w:color w:val="000000"/>
          <w:sz w:val="28"/>
          <w:szCs w:val="28"/>
          <w:u w:color="000000"/>
          <w:bdr w:val="nil"/>
          <w:lang w:eastAsia="ru-RU"/>
        </w:rPr>
        <w:fldChar w:fldCharType="separate"/>
      </w:r>
      <w:r w:rsidR="008C6800" w:rsidRPr="008C6800">
        <w:rPr>
          <w:rFonts w:ascii="Times New Roman" w:eastAsia="Arial Unicode MS" w:hAnsi="Times New Roman" w:cs="Times New Roman"/>
          <w:noProof/>
          <w:color w:val="000000"/>
          <w:sz w:val="28"/>
          <w:szCs w:val="28"/>
          <w:u w:color="000000"/>
          <w:bdr w:val="nil"/>
          <w:lang w:eastAsia="ru-RU"/>
        </w:rPr>
        <w:t>[20]</w:t>
      </w:r>
      <w:r w:rsidR="00734A60" w:rsidRPr="00916B3A">
        <w:rPr>
          <w:rFonts w:ascii="Times New Roman" w:eastAsia="Arial Unicode MS" w:hAnsi="Times New Roman" w:cs="Times New Roman"/>
          <w:color w:val="000000"/>
          <w:sz w:val="28"/>
          <w:szCs w:val="28"/>
          <w:u w:color="000000"/>
          <w:bdr w:val="nil"/>
          <w:lang w:eastAsia="ru-RU"/>
        </w:rPr>
        <w:fldChar w:fldCharType="end"/>
      </w:r>
      <w:r w:rsidR="00AC38EC" w:rsidRPr="00916B3A">
        <w:rPr>
          <w:rFonts w:ascii="Times New Roman" w:eastAsia="Arial Unicode MS" w:hAnsi="Times New Roman" w:cs="Times New Roman"/>
          <w:color w:val="000000"/>
          <w:sz w:val="28"/>
          <w:szCs w:val="28"/>
          <w:u w:color="000000"/>
          <w:bdr w:val="nil"/>
          <w:lang w:eastAsia="ru-RU"/>
        </w:rPr>
        <w:t>.</w:t>
      </w:r>
      <w:r w:rsidR="00734A60" w:rsidRPr="00916B3A">
        <w:rPr>
          <w:rFonts w:ascii="Times New Roman" w:eastAsia="Arial Unicode MS" w:hAnsi="Times New Roman" w:cs="Times New Roman"/>
          <w:color w:val="000000"/>
          <w:sz w:val="28"/>
          <w:szCs w:val="28"/>
          <w:u w:color="000000"/>
          <w:bdr w:val="nil"/>
          <w:lang w:eastAsia="ru-RU"/>
        </w:rPr>
        <w:t xml:space="preserve"> </w:t>
      </w:r>
      <w:r w:rsidR="00734A60" w:rsidRPr="00916B3A">
        <w:rPr>
          <w:rFonts w:ascii="Times New Roman" w:hAnsi="Times New Roman" w:cs="Times New Roman"/>
          <w:sz w:val="28"/>
          <w:szCs w:val="28"/>
        </w:rPr>
        <w:t>В этом контексте определение факторов риска неудач имплантации позволит провести всестороннюю оценку качества программы ЭКО и разработать меры по профилактике потерь беременности в ходе этой процедуры.</w:t>
      </w:r>
    </w:p>
    <w:p w14:paraId="15075D84" w14:textId="3A1C5DBA" w:rsidR="007305AD" w:rsidRPr="00916B3A" w:rsidRDefault="008F1599" w:rsidP="00997125">
      <w:pPr>
        <w:shd w:val="clear" w:color="auto" w:fill="FFFFFF"/>
        <w:tabs>
          <w:tab w:val="left" w:pos="180"/>
        </w:tabs>
        <w:autoSpaceDE w:val="0"/>
        <w:autoSpaceDN w:val="0"/>
        <w:adjustRightInd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Хотя общая эффективность ЭКО продолжает расти, на данный момент основным ограничивающим фактором остаются неудачные попытки имплантации. Потери беременности после ЭКО и ПЭ превышают 50% и обусловлены множеством факторов, среди которых ведущими являются иммунные (алло- и аутоиммунные), тромбофилии (как врожденные, так и приобретенные), инфекционные и гормональные нарушения</w:t>
      </w:r>
      <w:r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{"citationItems":[{"id":"ITEM-1","itemData":{"author":[{"dropping-particle":"","family":"Самойлович","given":"Я. А.","non-dropping-particle":"","parse-names":false,"suffix":""}],"container-title":"Репродуктивная медицина","id":"ITEM-1","issue":"36","issued":{"date-parts":[["2018"]]},"page":"27-37","title":"Особенности ВРТ при бесплодии, ассоциированном с патологией матки и эндометрия","type":"article-journal","volume":"3"},"uris":["http://www.mendeley.com/documents/?uuid=badd5653-f939-4e2d-af67-3d96079a1afa"]}],"mendeley":{"formattedCitation":"[21]","plainTextFormattedCitation":"[21]","previouslyFormattedCitation":"(21)"},"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[21</w:t>
      </w:r>
      <w:r w:rsidR="00355F98">
        <w:rPr>
          <w:rFonts w:ascii="Times New Roman" w:hAnsi="Times New Roman" w:cs="Times New Roman"/>
          <w:noProof/>
          <w:sz w:val="28"/>
          <w:szCs w:val="28"/>
        </w:rPr>
        <w:t>,</w:t>
      </w:r>
      <w:r w:rsidR="00355F98" w:rsidRPr="008C6800">
        <w:rPr>
          <w:rFonts w:ascii="Times New Roman" w:hAnsi="Times New Roman" w:cs="Times New Roman"/>
          <w:noProof/>
          <w:sz w:val="28"/>
          <w:szCs w:val="28"/>
        </w:rPr>
        <w:t>22</w:t>
      </w:r>
      <w:r w:rsidR="008C6800" w:rsidRPr="008C6800">
        <w:rPr>
          <w:rFonts w:ascii="Times New Roman" w:hAnsi="Times New Roman" w:cs="Times New Roman"/>
          <w:noProof/>
          <w:sz w:val="28"/>
          <w:szCs w:val="28"/>
        </w:rPr>
        <w:t>]</w:t>
      </w:r>
      <w:r w:rsidRPr="00916B3A">
        <w:rPr>
          <w:rFonts w:ascii="Times New Roman" w:hAnsi="Times New Roman" w:cs="Times New Roman"/>
          <w:sz w:val="28"/>
          <w:szCs w:val="28"/>
        </w:rPr>
        <w:fldChar w:fldCharType="end"/>
      </w:r>
      <w:r w:rsidR="002F11EB" w:rsidRPr="00916B3A">
        <w:rPr>
          <w:rFonts w:ascii="Times New Roman" w:hAnsi="Times New Roman" w:cs="Times New Roman"/>
          <w:sz w:val="28"/>
          <w:szCs w:val="28"/>
        </w:rPr>
        <w:t>.</w:t>
      </w:r>
    </w:p>
    <w:p w14:paraId="315581AB" w14:textId="7F172D52" w:rsidR="00140EBD" w:rsidRPr="00916B3A" w:rsidRDefault="00140EBD" w:rsidP="00997125">
      <w:pPr>
        <w:shd w:val="clear" w:color="auto" w:fill="FFFFFF"/>
        <w:tabs>
          <w:tab w:val="left" w:pos="180"/>
        </w:tabs>
        <w:autoSpaceDE w:val="0"/>
        <w:autoSpaceDN w:val="0"/>
        <w:adjustRightInd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Этиология невынашивания чрезвычайно разнообразна. Данная патология может быть обусловлена хромосомными аномалиями, генными мутациями, наследственной предрасположенностью, эндокринными и иммунными нарушениями, аномалией развития матки</w:t>
      </w:r>
      <w:r w:rsidR="002F11EB" w:rsidRPr="00916B3A">
        <w:rPr>
          <w:rFonts w:ascii="Times New Roman" w:hAnsi="Times New Roman" w:cs="Times New Roman"/>
          <w:sz w:val="28"/>
          <w:szCs w:val="28"/>
        </w:rPr>
        <w:fldChar w:fldCharType="begin" w:fldLock="1"/>
      </w:r>
      <w:r w:rsidR="005678F1">
        <w:rPr>
          <w:rFonts w:ascii="Times New Roman" w:hAnsi="Times New Roman" w:cs="Times New Roman"/>
          <w:sz w:val="28"/>
          <w:szCs w:val="28"/>
        </w:rPr>
        <w:instrText>ADDIN CSL_CITATION {"citationItems":[{"id":"ITEM-1","itemData":{"DOI":"10.21045/2071-5021-2020-66-5-6","abstract":"Significance. Reproductive loss is considered as a system indicator of mother and child service. The majority of spontaneous abortions occur in the first trimester. The frequency of this pathology, despite the development of medical and biological research and introduction of organizational measures, does not tend to decrease due to multifactorial nature of its etiology and pathogenesis. To reduce loss due to early spontaneous abortions, it is necessary to improve health care delivery to women through developing preventive measures with due regard to etiopathogenetic aspect of early reproductive loss. Purpose. To identify main etiopathogenetic and medico-social aspects of early spontaneous reproductive loss in order to improve organization of care delivery to women with this problem. Material and methods. Content analysis of 200 scientific publications by the Russian and foreign authors published in the main electronic databases (\"CyberLeninka\", \"disserCat\", \"PubFacts\", \"PubMed\", \"Google Scholar\", \"eLibrary\"). Results. The study analyzed major risk factors and causes of early spontaneous reproductive loss according to modern researchers. In parallel, the analysis of possible ways to improve organization of care delivery to women with spontaneous abortions at the present stage was carried out on the basis of the data obtained. Scope of application. An in-depth study of the etiology and pathogenesis of reproductive loss early in pregnancy contributes to the development of new well-founded organizational methods to reduce it. Avery described etiopathogenetic aspect should be reflected in the complex of preventive and rehabilitation measures for women with a history of early reproductive loss or at risk for miscarriage, as well as in the algorithms for managing pregnant women of these categories. The importance of a differentiated approach to patients with early spontaneous pregnancy loss and the need for their observation by doctors of different specialties are emphasized. Keywords: reproductive loss; early spontaneous pregnancy loss; miscarriage; spontaneous abortion; review; organization of care delivery for miscarriage.","author":[{"dropping-particle":"","family":"Bushmeleva","given":"N.N.","non-dropping-particle":"","parse-names":false,"suffix":""},{"dropping-particle":"","family":"Vakhrusheva","given":"Yu.N.","non-dropping-particle":"","parse-names":false,"suffix":""}],"container-title":"Social Aspects of Population Health","id":"ITEM-1","issue":"5","issued":{"date-parts":[["2020"]]},"page":"6-6","title":"Etiopathogenetic Aspect of Early Reproductive Loss Within the Framework of Improving Organization of Care Delivery To Women (Analytical Review)","type":"article-journal","volume":"66"},"uris":["http://www.mendeley.com/documents/?uuid=3da0afff-e300-44fc-96ad-39368b9adbeb"]}],"mendeley":{"formattedCitation":"[17]","manualFormatting":"[17, с. 6]","plainTextFormattedCitation":"[17]","previouslyFormattedCitation":"(17)"},"properties":{"noteIndex":0},"schema":"https://github.com/citation-style-language/schema/raw/master/csl-citation.json"}</w:instrText>
      </w:r>
      <w:r w:rsidR="002F11EB"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[17</w:t>
      </w:r>
      <w:r w:rsidR="005678F1">
        <w:rPr>
          <w:rFonts w:ascii="Times New Roman" w:hAnsi="Times New Roman" w:cs="Times New Roman"/>
          <w:noProof/>
          <w:sz w:val="28"/>
          <w:szCs w:val="28"/>
        </w:rPr>
        <w:t>, с. 6</w:t>
      </w:r>
      <w:r w:rsidR="008C6800" w:rsidRPr="008C6800">
        <w:rPr>
          <w:rFonts w:ascii="Times New Roman" w:hAnsi="Times New Roman" w:cs="Times New Roman"/>
          <w:noProof/>
          <w:sz w:val="28"/>
          <w:szCs w:val="28"/>
        </w:rPr>
        <w:t>]</w:t>
      </w:r>
      <w:r w:rsidR="002F11EB"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r w:rsidR="002F11EB" w:rsidRPr="00916B3A">
        <w:rPr>
          <w:rFonts w:ascii="Times New Roman" w:hAnsi="Times New Roman" w:cs="Times New Roman"/>
          <w:sz w:val="28"/>
          <w:szCs w:val="28"/>
        </w:rPr>
        <w:t xml:space="preserve"> Также выделяют идиопатическое прерывание беременности, которое происходит, когда установить точную причину выкидыша не представляется возможным</w:t>
      </w:r>
      <w:r w:rsidR="00987D3D"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{"citationItems":[{"id":"ITEM-1","itemData":{"DOI":"10.1093/humrep/deq025","ISSN":"14602350","abstract":"BACKGROUND: Obesity has been identified as a risk factor for spontaneous miscarriage although the mechanism is unclear. The purpose of this study is to better understand the effect of obesity on early pregnancy success by examining the cytogenetic results of miscarriages in women with normal and elevated body mass index (BMI).METHODSWe conducted a retrospective case-control study in an academic infertility practice. Medical records of women ages &lt;40 years with first trimester missed abortion (n = 204), who underwent dilatation and curettage between 1999 and 2008, were reviewed for demographics, BMI, diagnosis of polycystic ovary syndrome (PCOS) and karyotype analysis. χ2 and Student's t-test analysis were used for statistical analysis, with P &lt; 0.05 considered significant.RESULTSA total of 204 miscarriages were included, from women with a mean age of 34.5 years. The overall rate of aneuploidy was 59. Women with BMI ≥ 25 kg/m2 had a significant increase in euploid miscarriages compared with women with lower BMI (P = 0.04), despite a similar mean age (34.4 years for both).CONCLUSIONSWe found a significant increase in normal embryonic karyotypes in the miscarriages of overweight and obese women (BMI ≥ 25). These results suggest that the excess risk of miscarriages in the overweight and obese population is independent of embryonic aneuploidy. Further studies are needed to assess the impact of lifestyle modification, insulin resistance and PCOS on pregnancy outcomes in the overweight and obese population. © 2010 The Author.","author":[{"dropping-particle":"V.","family":"Landres","given":"Inna","non-dropping-particle":"","parse-names":false,"suffix":""},{"dropping-particle":"","family":"Milki","given":"Amin A.","non-dropping-particle":"","parse-names":false,"suffix":""},{"dropping-particle":"","family":"Lathi","given":"Ruth B.","non-dropping-particle":"","parse-names":false,"suffix":""}],"container-title":"Human Reproduction","id":"ITEM-1","issue":"5","issued":{"date-parts":[["2010"]]},"page":"1123-1126","title":"Karyotype of miscarriages in relation to maternal weight","type":"article-journal","volume":"25"},"uris":["http://www.mendeley.com/documents/?uuid=8fc90e98-d858-460f-952c-828b79f168d3"]}],"mendeley":{"formattedCitation":"[23]","plainTextFormattedCitation":"[23]","previouslyFormattedCitation":"(23)"},"properties":{"noteIndex":0},"schema":"https://github.com/citation-style-language/schema/raw/master/csl-citation.json"}</w:instrText>
      </w:r>
      <w:r w:rsidR="00987D3D"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[23]</w:t>
      </w:r>
      <w:r w:rsidR="00987D3D" w:rsidRPr="00916B3A">
        <w:rPr>
          <w:rFonts w:ascii="Times New Roman" w:hAnsi="Times New Roman" w:cs="Times New Roman"/>
          <w:sz w:val="28"/>
          <w:szCs w:val="28"/>
        </w:rPr>
        <w:fldChar w:fldCharType="end"/>
      </w:r>
      <w:r w:rsidR="002F11EB" w:rsidRPr="00916B3A">
        <w:rPr>
          <w:rFonts w:ascii="Times New Roman" w:hAnsi="Times New Roman" w:cs="Times New Roman"/>
          <w:sz w:val="28"/>
          <w:szCs w:val="28"/>
        </w:rPr>
        <w:t>.</w:t>
      </w:r>
      <w:r w:rsidR="002F11EB" w:rsidRPr="00916B3A">
        <w:rPr>
          <w:rFonts w:ascii="Times New Roman" w:hAnsi="Times New Roman" w:cs="Times New Roman"/>
          <w:sz w:val="28"/>
          <w:szCs w:val="28"/>
          <w:lang w:val="kk-KZ"/>
        </w:rPr>
        <w:t xml:space="preserve"> </w:t>
      </w:r>
      <w:r w:rsidR="002F11EB" w:rsidRPr="00916B3A">
        <w:rPr>
          <w:rFonts w:ascii="Times New Roman" w:hAnsi="Times New Roman" w:cs="Times New Roman"/>
          <w:sz w:val="28"/>
          <w:szCs w:val="28"/>
        </w:rPr>
        <w:t>При наличии в анамнезе одного выкидыша, риск следующего самопроизвольного выкидыша увеличивается до 20%, после двух выкидышей подряд этот риск возрастает до 28%, а после трех и более — до 43%</w:t>
      </w:r>
      <w:r w:rsidR="00A771F9"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{"citationItems":[{"id":"ITEM-1","itemData":{"author":[{"dropping-particle":"","family":"Боровкова Е.И.","given":"","non-dropping-particle":"","parse-names":false,"suffix":""},{"dropping-particle":"","family":"Мартынова И.В.","given":"","non-dropping-particle":"","parse-names":false,"suffix":""}],"id":"ITEM-1","issued":{"date-parts":[["2014"]]},"page":"52-56","title":"Самопроизвольный выкидыш: состояние изучение вопроса.","type":"article-journal"},"uris":["http://www.mendeley.com/documents/?uuid=ec71868d-4d27-4a36-873e-460b28af3b53"]}],"mendeley":{"formattedCitation":"[24]","plainTextFormattedCitation":"[24]","previouslyFormattedCitation":"(24)"},"properties":{"noteIndex":0},"schema":"https://github.com/citation-style-language/schema/raw/master/csl-citation.json"}</w:instrText>
      </w:r>
      <w:r w:rsidR="00A771F9"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[24]</w:t>
      </w:r>
      <w:r w:rsidR="00A771F9" w:rsidRPr="00916B3A">
        <w:rPr>
          <w:rFonts w:ascii="Times New Roman" w:hAnsi="Times New Roman" w:cs="Times New Roman"/>
          <w:sz w:val="28"/>
          <w:szCs w:val="28"/>
        </w:rPr>
        <w:fldChar w:fldCharType="end"/>
      </w:r>
      <w:r w:rsidR="002F11EB" w:rsidRPr="00916B3A">
        <w:rPr>
          <w:rFonts w:ascii="Times New Roman" w:hAnsi="Times New Roman" w:cs="Times New Roman"/>
          <w:sz w:val="28"/>
          <w:szCs w:val="28"/>
        </w:rPr>
        <w:t>. По данным других авторов, неразвивающаяся беременность в анамнезе может увеличивать риск самопроизвольного прерывания беременности до 4 раз</w:t>
      </w:r>
      <w:r w:rsidR="0081151D" w:rsidRPr="00916B3A">
        <w:rPr>
          <w:rFonts w:ascii="Times New Roman" w:hAnsi="Times New Roman" w:cs="Times New Roman"/>
          <w:sz w:val="28"/>
          <w:szCs w:val="28"/>
        </w:rPr>
        <w:t xml:space="preserve"> </w:t>
      </w:r>
      <w:r w:rsidR="0081151D"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{"citationItems":[{"id":"ITEM-1","itemData":{"DOI":"10.24411/2075-4094-2020-16597","ISBN":"2075409420","author":[{"dropping-particle":"","family":"Волков","given":"В Г","non-dropping-particle":"","parse-names":false,"suffix":""},{"dropping-particle":"","family":"Ахильгова","given":"З С","non-dropping-particle":"","parse-names":false,"suffix":""}],"id":"ITEM-1","issued":{"date-parts":[["2020"]]},"page":"66-72","title":"Факторы риска ранних потерь беременности","type":"article-journal","volume":"5"},"uris":["http://www.mendeley.com/documents/?uuid=eec26056-21b4-4cd0-a3d9-45282d7188bc"]}],"mendeley":{"formattedCitation":"[25]","plainTextFormattedCitation":"[25]","previouslyFormattedCitation":"(25)"},"properties":{"noteIndex":0},"schema":"https://github.com/citation-style-language/schema/raw/master/csl-citation.json"}</w:instrText>
      </w:r>
      <w:r w:rsidR="0081151D"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[25]</w:t>
      </w:r>
      <w:r w:rsidR="0081151D" w:rsidRPr="00916B3A">
        <w:rPr>
          <w:rFonts w:ascii="Times New Roman" w:hAnsi="Times New Roman" w:cs="Times New Roman"/>
          <w:sz w:val="28"/>
          <w:szCs w:val="28"/>
        </w:rPr>
        <w:fldChar w:fldCharType="end"/>
      </w:r>
      <w:r w:rsidR="0081151D" w:rsidRPr="00916B3A">
        <w:rPr>
          <w:rFonts w:ascii="Times New Roman" w:hAnsi="Times New Roman" w:cs="Times New Roman"/>
          <w:sz w:val="28"/>
          <w:szCs w:val="28"/>
        </w:rPr>
        <w:t>.</w:t>
      </w:r>
    </w:p>
    <w:p w14:paraId="005C77BD" w14:textId="6119AFD0" w:rsidR="00316F77" w:rsidRPr="00916B3A" w:rsidRDefault="00316F77" w:rsidP="00997125">
      <w:pPr>
        <w:shd w:val="clear" w:color="auto" w:fill="FFFFFF"/>
        <w:tabs>
          <w:tab w:val="left" w:pos="180"/>
        </w:tabs>
        <w:autoSpaceDE w:val="0"/>
        <w:autoSpaceDN w:val="0"/>
        <w:adjustRightInd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Врожденные аномалии или пороки развития могут быть обусловлены генетическими или хромосомными нарушениями, а также воздействием внешних факторов и тератогенов. К анатомическим причинам выкидыша относятся как врожденные, так и приобретенные аномалии матки, такие как внутриматочная перегородка, двурогая матка и внутриматочные спайки</w:t>
      </w:r>
      <w:r w:rsidRPr="00916B3A">
        <w:rPr>
          <w:rFonts w:ascii="Times New Roman" w:hAnsi="Times New Roman" w:cs="Times New Roman"/>
          <w:sz w:val="28"/>
          <w:szCs w:val="28"/>
        </w:rPr>
        <w:fldChar w:fldCharType="begin" w:fldLock="1"/>
      </w:r>
      <w:r w:rsidR="005678F1">
        <w:rPr>
          <w:rFonts w:ascii="Times New Roman" w:hAnsi="Times New Roman" w:cs="Times New Roman"/>
          <w:sz w:val="28"/>
          <w:szCs w:val="28"/>
        </w:rPr>
        <w:instrText>ADDIN CSL_CITATION {"citationItems":[{"id":"ITEM-1","itemData":{"DOI":"10.1093/humrep/deq025","ISSN":"14602350","abstract":"BACKGROUND: Obesity has been identified as a risk factor for spontaneous miscarriage although the mechanism is unclear. The purpose of this study is to better understand the effect of obesity on early pregnancy success by examining the cytogenetic results of miscarriages in women with normal and elevated body mass index (BMI).METHODSWe conducted a retrospective case-control study in an academic infertility practice. Medical records of women ages &lt;40 years with first trimester missed abortion (n = 204), who underwent dilatation and curettage between 1999 and 2008, were reviewed for demographics, BMI, diagnosis of polycystic ovary syndrome (PCOS) and karyotype analysis. χ2 and Student's t-test analysis were used for statistical analysis, with P &lt; 0.05 considered significant.RESULTSA total of 204 miscarriages were included, from women with a mean age of 34.5 years. The overall rate of aneuploidy was 59. Women with BMI ≥ 25 kg/m2 had a significant increase in euploid miscarriages compared with women with lower BMI (P = 0.04), despite a similar mean age (34.4 years for both).CONCLUSIONSWe found a significant increase in normal embryonic karyotypes in the miscarriages of overweight and obese women (BMI ≥ 25). These results suggest that the excess risk of miscarriages in the overweight and obese population is independent of embryonic aneuploidy. Further studies are needed to assess the impact of lifestyle modification, insulin resistance and PCOS on pregnancy outcomes in the overweight and obese population. © 2010 The Author.","author":[{"dropping-particle":"V.","family":"Landres","given":"Inna","non-dropping-particle":"","parse-names":false,"suffix":""},{"dropping-particle":"","family":"Milki","given":"Amin A.","non-dropping-particle":"","parse-names":false,"suffix":""},{"dropping-particle":"","family":"Lathi","given":"Ruth B.","non-dropping-particle":"","parse-names":false,"suffix":""}],"container-title":"Human Reproduction","id":"ITEM-1","issue":"5","issued":{"date-parts":[["2010"]]},"page":"1123-1126","title":"Karyotype of miscarriages in relation to maternal weight","type":"article-journal","volume":"25"},"uris":["http://www.mendeley.com/documents/?uuid=8fc90e98-d858-460f-952c-828b79f168d3"]}],"mendeley":{"formattedCitation":"[23]","manualFormatting":"[23, с. 1123]","plainTextFormattedCitation":"[23]","previouslyFormattedCitation":"(23)"},"properties":{"noteIndex":0},"schema":"https://github.com/citation-style-language/schema/raw/master/csl-citation.json"}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[23</w:t>
      </w:r>
      <w:r w:rsidR="005678F1">
        <w:rPr>
          <w:rFonts w:ascii="Times New Roman" w:hAnsi="Times New Roman" w:cs="Times New Roman"/>
          <w:noProof/>
          <w:sz w:val="28"/>
          <w:szCs w:val="28"/>
        </w:rPr>
        <w:t>, с. 1123</w:t>
      </w:r>
      <w:r w:rsidR="008C6800" w:rsidRPr="008C6800">
        <w:rPr>
          <w:rFonts w:ascii="Times New Roman" w:hAnsi="Times New Roman" w:cs="Times New Roman"/>
          <w:noProof/>
          <w:sz w:val="28"/>
          <w:szCs w:val="28"/>
        </w:rPr>
        <w:t>]</w:t>
      </w:r>
      <w:r w:rsidRPr="00916B3A">
        <w:rPr>
          <w:rFonts w:ascii="Times New Roman" w:hAnsi="Times New Roman" w:cs="Times New Roman"/>
          <w:sz w:val="28"/>
          <w:szCs w:val="28"/>
        </w:rPr>
        <w:fldChar w:fldCharType="end"/>
      </w:r>
      <w:r w:rsidR="00987D3D" w:rsidRPr="00916B3A">
        <w:rPr>
          <w:rFonts w:ascii="Times New Roman" w:hAnsi="Times New Roman" w:cs="Times New Roman"/>
          <w:sz w:val="28"/>
          <w:szCs w:val="28"/>
        </w:rPr>
        <w:t xml:space="preserve">. </w:t>
      </w:r>
      <w:r w:rsidRPr="00916B3A">
        <w:rPr>
          <w:rFonts w:ascii="Times New Roman" w:hAnsi="Times New Roman" w:cs="Times New Roman"/>
          <w:sz w:val="28"/>
          <w:szCs w:val="28"/>
        </w:rPr>
        <w:t xml:space="preserve">Исследования инфекционных агентов показали их важную роль в развитии самопроизвольных выкидышей, вызванных острым воспалительным процессом, который обычно возникает из-за вирусных инфекций </w:t>
      </w:r>
      <w:r w:rsidR="00987D3D" w:rsidRPr="00916B3A">
        <w:rPr>
          <w:rFonts w:ascii="Times New Roman" w:hAnsi="Times New Roman" w:cs="Times New Roman"/>
          <w:sz w:val="28"/>
          <w:szCs w:val="28"/>
        </w:rPr>
        <w:t>(листерия моноцитогенес, токсоплазма гондии, парвовирус В19, вирус краснухи, вирус простого герпеса, цитомегаловирус, вирус лимфоцитарного х</w:t>
      </w:r>
      <w:r w:rsidR="004F61D5" w:rsidRPr="00916B3A">
        <w:rPr>
          <w:rFonts w:ascii="Times New Roman" w:hAnsi="Times New Roman" w:cs="Times New Roman"/>
          <w:sz w:val="28"/>
          <w:szCs w:val="28"/>
        </w:rPr>
        <w:t>ориоменин</w:t>
      </w:r>
      <w:r w:rsidR="00987D3D" w:rsidRPr="00916B3A">
        <w:rPr>
          <w:rFonts w:ascii="Times New Roman" w:hAnsi="Times New Roman" w:cs="Times New Roman"/>
          <w:sz w:val="28"/>
          <w:szCs w:val="28"/>
        </w:rPr>
        <w:t>гита) и приводяще</w:t>
      </w:r>
      <w:r w:rsidR="004F61D5" w:rsidRPr="00916B3A">
        <w:rPr>
          <w:rFonts w:ascii="Times New Roman" w:hAnsi="Times New Roman" w:cs="Times New Roman"/>
          <w:sz w:val="28"/>
          <w:szCs w:val="28"/>
        </w:rPr>
        <w:t>го к формированию первичной пла</w:t>
      </w:r>
      <w:r w:rsidR="00987D3D" w:rsidRPr="00916B3A">
        <w:rPr>
          <w:rFonts w:ascii="Times New Roman" w:hAnsi="Times New Roman" w:cs="Times New Roman"/>
          <w:sz w:val="28"/>
          <w:szCs w:val="28"/>
        </w:rPr>
        <w:t>центарной недостаточности, порокам развития у плод</w:t>
      </w:r>
      <w:r w:rsidRPr="00916B3A">
        <w:rPr>
          <w:rFonts w:ascii="Times New Roman" w:hAnsi="Times New Roman" w:cs="Times New Roman"/>
          <w:sz w:val="28"/>
          <w:szCs w:val="28"/>
        </w:rPr>
        <w:t>а и прерыванию беременности</w:t>
      </w:r>
      <w:r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{"citationItems":[{"id":"ITEM-1","itemData":{"DOI":"10.1016/j.fertnstert.2006.01.021","ISSN":"00150282","PMID":"16806213","abstract":"Objective: To test two hypotheses: In spontaneous conceptions, early pregnancy loss (EPL) is associated with [1] inadequate luteal (ovarian) P, and/or [2] elevated follicular (adrenal) P. Design: A population-based prospective study. Setting: Thirty rural Bolivian communities. Patient(s): Women volunteers (n = 191), 19-40 years old, in stable sexual unions and not using contraception. Intervention(s): Collection of serial saliva samples throughout sequential ovarian cycles and urine samples during late luteal phases. Collections continued throughout pregnancy for each detected conception. Main Outcome Measure(s): Occurrence of spontaneous conceptions and subsequent outcomes. Salivary concentrations of P. Test for elevated urinary human chorionic gonadotropin (hCG). Result(s): Luteal (through implantation) P levels were similar in pregnancies lost within 5 weeks after conception (EPL; n = 8) and those pregnancies that were maintained longer (sustained conceptions, SC; n = 32). Follicular P was significantly higher in EPL than in SC. Conclusion(s): [1] Elevated follicular P was associated with EPL in natural conceptions in healthy women. [2] Early pregnancy loss exhibits absolute luteal P levels comparable to SC, but lower luteal/follicular P ratios. © 2006 American Society for Reproductive Medicine.","author":[{"dropping-particle":"","family":"Vitzthum","given":"Virginia J.","non-dropping-particle":"","parse-names":false,"suffix":""},{"dropping-particle":"","family":"Spielvogel","given":"Hilde","non-dropping-particle":"","parse-names":false,"suffix":""},{"dropping-particle":"","family":"Thornburg","given":"Jonathan","non-dropping-particle":"","parse-names":false,"suffix":""},{"dropping-particle":"","family":"West","given":"Brady","non-dropping-particle":"","parse-names":false,"suffix":""}],"container-title":"Fertility and Sterility","id":"ITEM-1","issue":"2","issued":{"date-parts":[["2006"]]},"page":"373-379","title":"A prospective study of early pregnancy loss in humans","type":"article-journal","volume":"86"},"uris":["http://www.mendeley.com/documents/?uuid=5fdf33ef-84be-4ae2-b38f-c5e323e493cc"]}],"mendeley":{"formattedCitation":"[26]","plainTextFormattedCitation":"[26]","previouslyFormattedCitation":"(26)"},"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[26]</w:t>
      </w:r>
      <w:r w:rsidRPr="00916B3A">
        <w:rPr>
          <w:rFonts w:ascii="Times New Roman" w:hAnsi="Times New Roman" w:cs="Times New Roman"/>
          <w:sz w:val="28"/>
          <w:szCs w:val="28"/>
        </w:rPr>
        <w:fldChar w:fldCharType="end"/>
      </w:r>
      <w:r w:rsidR="00987D3D" w:rsidRPr="00916B3A">
        <w:rPr>
          <w:rFonts w:ascii="Times New Roman" w:hAnsi="Times New Roman" w:cs="Times New Roman"/>
          <w:sz w:val="28"/>
          <w:szCs w:val="28"/>
        </w:rPr>
        <w:t xml:space="preserve">. </w:t>
      </w:r>
    </w:p>
    <w:p w14:paraId="2118C13C" w14:textId="577C4F68" w:rsidR="00FD15F7" w:rsidRPr="00916B3A" w:rsidRDefault="00987D3D" w:rsidP="00997125">
      <w:pPr>
        <w:shd w:val="clear" w:color="auto" w:fill="FFFFFF"/>
        <w:tabs>
          <w:tab w:val="left" w:pos="180"/>
        </w:tabs>
        <w:autoSpaceDE w:val="0"/>
        <w:autoSpaceDN w:val="0"/>
        <w:adjustRightInd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Эндокринопатии (дисфункция щитовидной железы, сахарный диабет, синдром поликистозных яичников) также могут способст</w:t>
      </w:r>
      <w:r w:rsidR="004F61D5" w:rsidRPr="00916B3A">
        <w:rPr>
          <w:rFonts w:ascii="Times New Roman" w:hAnsi="Times New Roman" w:cs="Times New Roman"/>
          <w:sz w:val="28"/>
          <w:szCs w:val="28"/>
        </w:rPr>
        <w:t xml:space="preserve">вовать развитию </w:t>
      </w:r>
      <w:r w:rsidR="004F61D5" w:rsidRPr="00916B3A">
        <w:rPr>
          <w:rFonts w:ascii="Times New Roman" w:hAnsi="Times New Roman" w:cs="Times New Roman"/>
          <w:sz w:val="28"/>
          <w:szCs w:val="28"/>
          <w:lang w:val="kk-KZ"/>
        </w:rPr>
        <w:t>репродуктивных потерь</w:t>
      </w:r>
      <w:r w:rsidR="004F61D5" w:rsidRPr="00916B3A">
        <w:rPr>
          <w:rFonts w:ascii="Times New Roman" w:hAnsi="Times New Roman" w:cs="Times New Roman"/>
          <w:sz w:val="28"/>
          <w:szCs w:val="28"/>
        </w:rPr>
        <w:t xml:space="preserve"> за счет фор</w:t>
      </w:r>
      <w:r w:rsidRPr="00916B3A">
        <w:rPr>
          <w:rFonts w:ascii="Times New Roman" w:hAnsi="Times New Roman" w:cs="Times New Roman"/>
          <w:sz w:val="28"/>
          <w:szCs w:val="28"/>
        </w:rPr>
        <w:t>мирования неполноц</w:t>
      </w:r>
      <w:r w:rsidR="004F61D5" w:rsidRPr="00916B3A">
        <w:rPr>
          <w:rFonts w:ascii="Times New Roman" w:hAnsi="Times New Roman" w:cs="Times New Roman"/>
          <w:sz w:val="28"/>
          <w:szCs w:val="28"/>
        </w:rPr>
        <w:t>енной лютеиновой фазы и недоста</w:t>
      </w:r>
      <w:r w:rsidRPr="00916B3A">
        <w:rPr>
          <w:rFonts w:ascii="Times New Roman" w:hAnsi="Times New Roman" w:cs="Times New Roman"/>
          <w:sz w:val="28"/>
          <w:szCs w:val="28"/>
        </w:rPr>
        <w:t>точной децидуальной трансформации эндометри</w:t>
      </w:r>
      <w:r w:rsidR="0083384C" w:rsidRPr="00916B3A">
        <w:rPr>
          <w:rFonts w:ascii="Times New Roman" w:hAnsi="Times New Roman" w:cs="Times New Roman"/>
          <w:sz w:val="28"/>
          <w:szCs w:val="28"/>
        </w:rPr>
        <w:t>я</w:t>
      </w:r>
      <w:r w:rsidR="0083384C"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{"citationItems":[{"id":"ITEM-1","itemData":{"DOI":"10.1016/j.mefs.2018.04.009","ISSN":"20903251","abstract":"Introduction: Whenever assisted reproductive techniques (ART) leading to successful pregnancy (with live birth), they can be considered useful.This study is aimed at assessing the effect of risk factors associated with the pregnancy loss on pregnancy outcomes in pregnant women undergoing ART. Method: An analytical case-control study was conducted on 318 women referred to three centers in the city of Ahvaz between 2011 and 2016. They have been pregnant with ART. Totally, 199 women have had successful pregnancy, and 119 women have been unsuccessful pregnancy. Effects of 19 risk factors was evaluated on both groups of women with successful and unsuccessful pregnancy. These factors include maternal age, body-mass index, type of ART, abortion, recurrent abortion, Thyroid-Stimulating Hormone (TSH) and anti-thyroid peroxidase antibody (TPO-Ab), uterine leiomyoma, endometrioma, PCOS, maternal smoking, male infertility factor, a history of in vitro fertilization failure, uterus anomalies, cervical incompetence, maternal variables of diabetes and other diseases, multiple pregnancy, number and quality of embryos. Eventually, all data were analyzed using SPSS version 22. Results: A significant statistically correlation was found between the pregnancy loss in patients undergoing ART and the risk factors of recurrent abortion, TPO-Ab and uterine leiomyoma (P-Value &lt; 0.001). Whereas there was not any considerable correlation between pregnancy outcomes in ART and other studied risk factors (P-Value &gt; 0.05). Conclusion: Findings of this study showed that risk factors of recurrent abortion, TPO-Ab and uterine leiomyoma have significant importance in pregnant patients undergoing ART.","author":[{"dropping-particle":"","family":"Zargar","given":"Mahvash","non-dropping-particle":"","parse-names":false,"suffix":""},{"dropping-particle":"","family":"Razmkhah","given":"Nargess","non-dropping-particle":"","parse-names":false,"suffix":""},{"dropping-particle":"","family":"Nikbakht","given":"Roshan","non-dropping-particle":"","parse-names":false,"suffix":""}],"container-title":"Middle East Fertility Society Journal","id":"ITEM-1","issue":"4","issued":{"date-parts":[["2018"]]},"page":"342-345","publisher":"Elsevier B.V.","title":"Evaluating the factors associated with pregnancy loss in pregnant women undergoing assisted reproductive techniques","type":"article-journal","volume":"23"},"uris":["http://www.mendeley.com/documents/?uuid=3f9cfb68-9d01-409d-b40a-5b06bed1c179"]}],"mendeley":{"formattedCitation":"[27]","plainTextFormattedCitation":"[27]","previouslyFormattedCitation":"(27)"},"properties":{"noteIndex":0},"schema":"https://github.com/citation-style-language/schema/raw/master/csl-citation.json"}</w:instrText>
      </w:r>
      <w:r w:rsidR="0083384C"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[27]</w:t>
      </w:r>
      <w:r w:rsidR="0083384C" w:rsidRPr="00916B3A">
        <w:rPr>
          <w:rFonts w:ascii="Times New Roman" w:hAnsi="Times New Roman" w:cs="Times New Roman"/>
          <w:sz w:val="28"/>
          <w:szCs w:val="28"/>
        </w:rPr>
        <w:fldChar w:fldCharType="end"/>
      </w:r>
      <w:r w:rsidR="004F61D5" w:rsidRPr="00916B3A">
        <w:rPr>
          <w:rFonts w:ascii="Times New Roman" w:hAnsi="Times New Roman" w:cs="Times New Roman"/>
          <w:sz w:val="28"/>
          <w:szCs w:val="28"/>
        </w:rPr>
        <w:t xml:space="preserve">. Иммунологические причины </w:t>
      </w:r>
      <w:r w:rsidR="004F61D5" w:rsidRPr="00916B3A">
        <w:rPr>
          <w:rFonts w:ascii="Times New Roman" w:hAnsi="Times New Roman" w:cs="Times New Roman"/>
          <w:sz w:val="28"/>
          <w:szCs w:val="28"/>
          <w:lang w:val="kk-KZ"/>
        </w:rPr>
        <w:t>невынашивания</w:t>
      </w:r>
      <w:r w:rsidR="004F61D5" w:rsidRPr="00916B3A">
        <w:rPr>
          <w:rFonts w:ascii="Times New Roman" w:hAnsi="Times New Roman" w:cs="Times New Roman"/>
          <w:sz w:val="28"/>
          <w:szCs w:val="28"/>
        </w:rPr>
        <w:t xml:space="preserve"> в основном свя</w:t>
      </w:r>
      <w:r w:rsidR="004F61D5" w:rsidRPr="00916B3A">
        <w:rPr>
          <w:rFonts w:ascii="Times New Roman" w:hAnsi="Times New Roman" w:cs="Times New Roman"/>
          <w:sz w:val="28"/>
          <w:szCs w:val="28"/>
          <w:lang w:val="kk-KZ"/>
        </w:rPr>
        <w:t>з</w:t>
      </w:r>
      <w:r w:rsidRPr="00916B3A">
        <w:rPr>
          <w:rFonts w:ascii="Times New Roman" w:hAnsi="Times New Roman" w:cs="Times New Roman"/>
          <w:sz w:val="28"/>
          <w:szCs w:val="28"/>
        </w:rPr>
        <w:t>аны с развитием т</w:t>
      </w:r>
      <w:r w:rsidR="004F61D5" w:rsidRPr="00916B3A">
        <w:rPr>
          <w:rFonts w:ascii="Times New Roman" w:hAnsi="Times New Roman" w:cs="Times New Roman"/>
          <w:sz w:val="28"/>
          <w:szCs w:val="28"/>
        </w:rPr>
        <w:t>ромбофилических осложнений и ги</w:t>
      </w:r>
      <w:r w:rsidRPr="00916B3A">
        <w:rPr>
          <w:rFonts w:ascii="Times New Roman" w:hAnsi="Times New Roman" w:cs="Times New Roman"/>
          <w:sz w:val="28"/>
          <w:szCs w:val="28"/>
        </w:rPr>
        <w:t>перкоагуляции в силу врожденных или приобретенных тромбофилий и на</w:t>
      </w:r>
      <w:r w:rsidR="004F61D5" w:rsidRPr="00916B3A">
        <w:rPr>
          <w:rFonts w:ascii="Times New Roman" w:hAnsi="Times New Roman" w:cs="Times New Roman"/>
          <w:sz w:val="28"/>
          <w:szCs w:val="28"/>
        </w:rPr>
        <w:t>рушения иммунной системы (напри</w:t>
      </w:r>
      <w:r w:rsidRPr="00916B3A">
        <w:rPr>
          <w:rFonts w:ascii="Times New Roman" w:hAnsi="Times New Roman" w:cs="Times New Roman"/>
          <w:sz w:val="28"/>
          <w:szCs w:val="28"/>
        </w:rPr>
        <w:t xml:space="preserve">мер, системная красная волчанка, антифосфолипидный синдром), которые </w:t>
      </w:r>
      <w:r w:rsidR="004F61D5" w:rsidRPr="00916B3A">
        <w:rPr>
          <w:rFonts w:ascii="Times New Roman" w:hAnsi="Times New Roman" w:cs="Times New Roman"/>
          <w:sz w:val="28"/>
          <w:szCs w:val="28"/>
        </w:rPr>
        <w:t>приводят к иммунологическому от</w:t>
      </w:r>
      <w:r w:rsidRPr="00916B3A">
        <w:rPr>
          <w:rFonts w:ascii="Times New Roman" w:hAnsi="Times New Roman" w:cs="Times New Roman"/>
          <w:sz w:val="28"/>
          <w:szCs w:val="28"/>
        </w:rPr>
        <w:t>торжению эмбриона</w:t>
      </w:r>
      <w:r w:rsidR="004F61D5" w:rsidRPr="00916B3A">
        <w:rPr>
          <w:rFonts w:ascii="Times New Roman" w:hAnsi="Times New Roman" w:cs="Times New Roman"/>
          <w:sz w:val="28"/>
          <w:szCs w:val="28"/>
        </w:rPr>
        <w:t xml:space="preserve"> или плода или формированию пла</w:t>
      </w:r>
      <w:r w:rsidRPr="00916B3A">
        <w:rPr>
          <w:rFonts w:ascii="Times New Roman" w:hAnsi="Times New Roman" w:cs="Times New Roman"/>
          <w:sz w:val="28"/>
          <w:szCs w:val="28"/>
        </w:rPr>
        <w:t>центарной недостаточности</w:t>
      </w:r>
      <w:r w:rsidR="00FD15F7"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{"citationItems":[{"id":"ITEM-1","itemData":{"DOI":"10.1093/humrep/dei167","ISSN":"14602350","PMID":"16006453","abstract":"The nomenclature used to describe clinical events in early pregnancy has been criticized for lack of clarity and promoting confusion. There is no agreed glossary of terms or consensus regarding important gestational milestones. In particular there are old and poorly descriptive terms such as 'missed abortion' and 'blighted ovum', which have persisted since their introduction many years ago (Robinson, 1975) and have not undergone revision despite the widespread application of ultrasound for accurate clinical assessment and diagnosis. The authors are aware of these shortcomings in terminology and are keen to provide an updated glossary. We hope that this paper will facilitate the introduction of a revised terminology in an attempt to provide clarity and to enhance uptake and use in the literature as well as clinical assessment and documentation. © The Author 2005. Published by Oxford University Press on behalf of the European Society of Human Reproduction and Embryology. All rights reserved.","author":[{"dropping-particle":"","family":"Farquharson","given":"Roy G.","non-dropping-particle":"","parse-names":false,"suffix":""},{"dropping-particle":"","family":"Jauniaux","given":"Eric","non-dropping-particle":"","parse-names":false,"suffix":""},{"dropping-particle":"","family":"Exalto","given":"Nick","non-dropping-particle":"","parse-names":false,"suffix":""}],"container-title":"Human Reproduction","id":"ITEM-1","issue":"11","issued":{"date-parts":[["2005"]]},"page":"3008-3011","title":"Updated and revised nomenclature for description of early pregnancy events","type":"article-journal","volume":"20"},"uris":["http://www.mendeley.com/documents/?uuid=9be6a819-ef0a-4035-b064-643bad48770d"]}],"mendeley":{"formattedCitation":"[28]","plainTextFormattedCitation":"[28]","previouslyFormattedCitation":"(28)"},"properties":{"noteIndex":0},"schema":"https://github.com/citation-style-language/schema/raw/master/csl-citation.json"}</w:instrText>
      </w:r>
      <w:r w:rsidR="00FD15F7"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[28]</w:t>
      </w:r>
      <w:r w:rsidR="00FD15F7" w:rsidRPr="00916B3A">
        <w:rPr>
          <w:rFonts w:ascii="Times New Roman" w:hAnsi="Times New Roman" w:cs="Times New Roman"/>
          <w:sz w:val="28"/>
          <w:szCs w:val="28"/>
        </w:rPr>
        <w:fldChar w:fldCharType="end"/>
      </w:r>
      <w:r w:rsidRPr="00916B3A">
        <w:rPr>
          <w:rFonts w:ascii="Times New Roman" w:hAnsi="Times New Roman" w:cs="Times New Roman"/>
          <w:sz w:val="28"/>
          <w:szCs w:val="28"/>
        </w:rPr>
        <w:t xml:space="preserve">. </w:t>
      </w:r>
      <w:r w:rsidR="00FD15F7" w:rsidRPr="00916B3A">
        <w:rPr>
          <w:rFonts w:ascii="Times New Roman" w:hAnsi="Times New Roman" w:cs="Times New Roman"/>
          <w:sz w:val="28"/>
          <w:szCs w:val="28"/>
        </w:rPr>
        <w:t>Как упоминалось ранее, генетические аномалии не выявляются с помощью стандартных тестов и, вероятно, являются одной и</w:t>
      </w:r>
      <w:r w:rsidR="007F02F3" w:rsidRPr="00916B3A">
        <w:rPr>
          <w:rFonts w:ascii="Times New Roman" w:hAnsi="Times New Roman" w:cs="Times New Roman"/>
          <w:sz w:val="28"/>
          <w:szCs w:val="28"/>
        </w:rPr>
        <w:t xml:space="preserve">з причин необъяснимых выкидышей. </w:t>
      </w:r>
      <w:r w:rsidR="007F02F3" w:rsidRPr="00916B3A">
        <w:rPr>
          <w:rFonts w:ascii="Times New Roman" w:hAnsi="Times New Roman" w:cs="Times New Roman"/>
          <w:sz w:val="28"/>
          <w:szCs w:val="28"/>
          <w:lang w:val="kk-KZ"/>
        </w:rPr>
        <w:t>Влияние возраста матери на момент зачатия на частоту потерь беременности было установлено, что самый низкий риск потери беременности (9,8%) наблюдается у женщин в возрасте 25-29 лет. Риск потери беременности увеличивается у женщин в возрасте 30-35 лет, а затем резко возрастает до 33,2% у женщин в возрасте 40-44 лет</w:t>
      </w:r>
      <w:r w:rsidR="009205BE" w:rsidRPr="009205BE">
        <w:rPr>
          <w:rFonts w:ascii="Times New Roman" w:hAnsi="Times New Roman" w:cs="Times New Roman"/>
          <w:sz w:val="28"/>
          <w:szCs w:val="28"/>
        </w:rPr>
        <w:t xml:space="preserve"> </w:t>
      </w:r>
      <w:r w:rsidR="007F02F3" w:rsidRPr="00916B3A">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{"citationItems":[{"id":"ITEM-1","itemData":{"DOI":"10.1136/bmj.l869","ISBN":"0000000205","ISSN":"17561833","PMID":"30894356","abstract":"Objectives: To estimate the burden of miscarriage in the Norwegian population and to evaluate the associations with maternal age and pregnancy history. Design: Prospective register based study. Setting: Medical Birth Register of Norway, the Norwegian Patient Register, and the induced abortion register. Participants: All Norwegian women that were pregnant between 2009-13. Main outcome measure: Risk of miscarriage according to the woman's age and pregnancy history estimated by logistic regression. Results: There were 421 201 pregnancies during the study period. The risk of miscarriage was lowest in women aged 25-29 (10%), and rose rapidly after age 30, reaching 53% in women aged 45 and over. There was a strong recurrence risk of miscarriage, with age adjusted odds ratios of 1.54 (95% confidence interval 1.48 to 1.60) after one miscarriage, 2.21 (2.03 to 2.41) after two, and 3.97 (3.29 to 4.78) after three consecutive miscarriages. The risk of miscarriage was modestly increased if the previous birth ended in a preterm delivery (adjusted odds ratio 1.22, 95% confidence interval 1.12 to 1.29), stillbirth (1.30, 1.11 to 1.53), caesarean section (1.16, 1.12 to 1.21), or if the woman had gestational diabetes in the previous pregnancy (1.19, 1.05 to 1.36). The risk of miscarriage was slightly higher in women who themselves had been small for gestational age (1.08, 1.04 to 1.13). Conclusions: The risk of miscarriage varies greatly with maternal age, shows a strong pattern of recurrence, and is also increased after some adverse pregnancy outcomes. Miscarriage and other pregnancy complications might share underlying causes, which could be biological conditions or unmeasured common risk factors.","author":[{"dropping-particle":"","family":"Magnus","given":"Maria C.","non-dropping-particle":"","parse-names":false,"suffix":""},{"dropping-particle":"","family":"Wilcox","given":"Allen J.","non-dropping-particle":"","parse-names":false,"suffix":""},{"dropping-particle":"","family":"Morken","given":"Nils Halvdan","non-dropping-particle":"","parse-names":false,"suffix":""},{"dropping-particle":"","family":"Weinberg","given":"Clarice R.","non-dropping-particle":"","parse-names":false,"suffix":""},{"dropping-particle":"","family":"Håberg","given":"Siri E.","non-dropping-particle":"","parse-names":false,"suffix":""}],"container-title":"BMJ (Online)","id":"ITEM-1","issued":{"date-parts":[["2019"]]},"page":"1-8","title":"Role of maternal age and pregnancy history in risk of miscarriage: Prospective register based study","type":"article-journal","volume":"364"},"uris":["http://www.mendeley.com/documents/?uuid=4e254648-8698-4d2e-a967-fcf93c0dc175"]}],"mendeley":{"formattedCitation":"[29]","plainTextFormattedCitation":"[29]","previouslyFormattedCitation":"(29)"},"properties":{"noteIndex":0},"schema":"https://github.com/citation-style-language/schema/raw/master/csl-citation.json"}</w:instrText>
      </w:r>
      <w:r w:rsidR="007F02F3"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[29]</w:t>
      </w:r>
      <w:r w:rsidR="007F02F3" w:rsidRPr="00916B3A">
        <w:rPr>
          <w:rFonts w:ascii="Times New Roman" w:hAnsi="Times New Roman" w:cs="Times New Roman"/>
          <w:sz w:val="28"/>
          <w:szCs w:val="28"/>
          <w:lang w:val="kk-KZ"/>
        </w:rPr>
        <w:fldChar w:fldCharType="end"/>
      </w:r>
      <w:r w:rsidR="007F02F3" w:rsidRPr="00916B3A">
        <w:rPr>
          <w:rFonts w:ascii="Times New Roman" w:hAnsi="Times New Roman" w:cs="Times New Roman"/>
          <w:sz w:val="28"/>
          <w:szCs w:val="28"/>
          <w:lang w:val="kk-KZ"/>
        </w:rPr>
        <w:t>. Некоторые исследования показали, что &gt;50% беременностей теряются у женщин старше 42 лет</w:t>
      </w:r>
      <w:r w:rsidR="007F02F3" w:rsidRPr="00916B3A">
        <w:rPr>
          <w:rFonts w:ascii="Times New Roman" w:hAnsi="Times New Roman" w:cs="Times New Roman"/>
          <w:sz w:val="28"/>
          <w:szCs w:val="28"/>
        </w:rPr>
        <w:t>.</w:t>
      </w:r>
      <w:r w:rsidR="00D76110" w:rsidRPr="00916B3A">
        <w:rPr>
          <w:rFonts w:ascii="Times New Roman" w:hAnsi="Times New Roman" w:cs="Times New Roman"/>
          <w:sz w:val="28"/>
          <w:szCs w:val="28"/>
          <w:lang w:val="kk-KZ"/>
        </w:rPr>
        <w:t xml:space="preserve"> Возраст ассоциированные репродуктивные потери  в основном обусловлена хромосомными аномалиями (анеуплоидия) в зачаточном состоянии, причем &gt;90% анеуплоидных выкидышей вызваны ошибками мейоза.</w:t>
      </w:r>
      <w:r w:rsidR="00DE4E7A" w:rsidRPr="00916B3A">
        <w:rPr>
          <w:rFonts w:ascii="Times New Roman" w:hAnsi="Times New Roman" w:cs="Times New Roman"/>
          <w:sz w:val="28"/>
          <w:szCs w:val="28"/>
          <w:lang w:val="kk-KZ"/>
        </w:rPr>
        <w:t xml:space="preserve"> </w:t>
      </w:r>
      <w:r w:rsidR="00DE4E7A" w:rsidRPr="00916B3A">
        <w:rPr>
          <w:rFonts w:ascii="Times New Roman" w:hAnsi="Times New Roman" w:cs="Times New Roman"/>
          <w:sz w:val="28"/>
          <w:szCs w:val="28"/>
        </w:rPr>
        <w:t>Генетические факторы также могут быть связаны с риском выкидыша. Большинство исследований, оценивающих участие генетических факторов в риске выкидыша, были основаны на небольших размерах выборки, использовали неоднородные определения рецидивирующей потери беременности и обнаружили крайне противоречивые результаты</w:t>
      </w:r>
      <w:r w:rsidR="005678F1" w:rsidRPr="00916B3A">
        <w:rPr>
          <w:rFonts w:ascii="Times New Roman" w:hAnsi="Times New Roman" w:cs="Times New Roman"/>
          <w:sz w:val="28"/>
          <w:szCs w:val="28"/>
          <w:lang w:val="kk-KZ"/>
        </w:rPr>
        <w:fldChar w:fldCharType="begin" w:fldLock="1"/>
      </w:r>
      <w:r w:rsidR="005678F1">
        <w:rPr>
          <w:rFonts w:ascii="Times New Roman" w:hAnsi="Times New Roman" w:cs="Times New Roman"/>
          <w:sz w:val="28"/>
          <w:szCs w:val="28"/>
          <w:lang w:val="kk-KZ"/>
        </w:rPr>
        <w:instrText>ADDIN CSL_CITATION {"citationItems":[{"id":"ITEM-1","itemData":{"DOI":"10.1038/nrg3245","ISSN":"14710056","PMID":"22705668","abstract":"Trisomic and monosomic (aneuploid) embryos account for at least 10% of human pregnancies and, for women nearing the end of their reproductive lifespan, the incidence may exceed 50%. The errors that lead to aneuploidy almost always occur in the oocyte but, despite intensive investigation, the underlying molecular basis has remained elusive. Recent studies of humans and model organisms have shed new light on the complexity of meiotic defects, providing evidence that the age-related increase in errors in the human female is not attributable to a single factor but to an interplay between unique features of oogenesis and a host of endogenous and exogenous factors. © 2012 Macmillan Publishers Limited. All rights reserved.","author":[{"dropping-particle":"","family":"Nagaoka","given":"So I.","non-dropping-particle":"","parse-names":false,"suffix":""},{"dropping-particle":"","family":"Hassold","given":"Terry J.","non-dropping-particle":"","parse-names":false,"suffix":""},{"dropping-particle":"","family":"Hunt","given":"Patricia A.","non-dropping-particle":"","parse-names":false,"suffix":""}],"container-title":"Nature Reviews Genetics","id":"ITEM-1","issue":"7","issued":{"date-parts":[["2012"]]},"page":"493-504","publisher":"Nature Publishing Group","title":"Human aneuploidy: Mechanisms and new insights into an age-old problem","type":"article-journal","volume":"13"},"uris":["http://www.mendeley.com/documents/?uuid=fc356795-9814-449c-88f0-a9df31c53ef7"]}],"mendeley":{"formattedCitation":"[30]","plainTextFormattedCitation":"[30]","previouslyFormattedCitation":"(30)"},"properties":{"noteIndex":0},"schema":"https://github.com/citation-style-language/schema/raw/master/csl-citation.json"}</w:instrText>
      </w:r>
      <w:r w:rsidR="005678F1" w:rsidRPr="00916B3A">
        <w:rPr>
          <w:rFonts w:ascii="Times New Roman" w:hAnsi="Times New Roman" w:cs="Times New Roman"/>
          <w:sz w:val="28"/>
          <w:szCs w:val="28"/>
          <w:lang w:val="kk-KZ"/>
        </w:rPr>
        <w:fldChar w:fldCharType="separate"/>
      </w:r>
      <w:r w:rsidR="005678F1" w:rsidRPr="008C6800">
        <w:rPr>
          <w:rFonts w:ascii="Times New Roman" w:hAnsi="Times New Roman" w:cs="Times New Roman"/>
          <w:noProof/>
          <w:sz w:val="28"/>
          <w:szCs w:val="28"/>
          <w:lang w:val="kk-KZ"/>
        </w:rPr>
        <w:t>[30]</w:t>
      </w:r>
      <w:r w:rsidR="005678F1" w:rsidRPr="00916B3A">
        <w:rPr>
          <w:rFonts w:ascii="Times New Roman" w:hAnsi="Times New Roman" w:cs="Times New Roman"/>
          <w:sz w:val="28"/>
          <w:szCs w:val="28"/>
          <w:lang w:val="kk-KZ"/>
        </w:rPr>
        <w:fldChar w:fldCharType="end"/>
      </w:r>
      <w:r w:rsidR="004B03F5" w:rsidRPr="00916B3A">
        <w:rPr>
          <w:rFonts w:ascii="Times New Roman" w:hAnsi="Times New Roman" w:cs="Times New Roman"/>
          <w:sz w:val="28"/>
          <w:szCs w:val="28"/>
        </w:rPr>
        <w:t>.</w:t>
      </w:r>
    </w:p>
    <w:p w14:paraId="3541FCF6" w14:textId="38B8D18B" w:rsidR="00527FAA" w:rsidRPr="00916B3A" w:rsidRDefault="001C3116" w:rsidP="00997125">
      <w:pPr>
        <w:shd w:val="clear" w:color="auto" w:fill="FFFFFF"/>
        <w:tabs>
          <w:tab w:val="left" w:pos="180"/>
        </w:tabs>
        <w:autoSpaceDE w:val="0"/>
        <w:autoSpaceDN w:val="0"/>
        <w:adjustRightInd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Перенесенные воспалительные заболевания органов малого таза также достоверно являются факторами риска </w:t>
      </w:r>
      <w:r w:rsidR="004F69C1" w:rsidRPr="00916B3A">
        <w:rPr>
          <w:rFonts w:ascii="Times New Roman" w:hAnsi="Times New Roman" w:cs="Times New Roman"/>
          <w:sz w:val="28"/>
          <w:szCs w:val="28"/>
        </w:rPr>
        <w:t>прерывания беременности в ранни</w:t>
      </w:r>
      <w:r w:rsidR="004F69C1" w:rsidRPr="00916B3A">
        <w:rPr>
          <w:rFonts w:ascii="Times New Roman" w:hAnsi="Times New Roman" w:cs="Times New Roman"/>
          <w:sz w:val="28"/>
          <w:szCs w:val="28"/>
          <w:lang w:val="kk-KZ"/>
        </w:rPr>
        <w:t>х</w:t>
      </w:r>
      <w:r w:rsidR="004F69C1" w:rsidRPr="00916B3A">
        <w:rPr>
          <w:rFonts w:ascii="Times New Roman" w:hAnsi="Times New Roman" w:cs="Times New Roman"/>
          <w:sz w:val="28"/>
          <w:szCs w:val="28"/>
        </w:rPr>
        <w:t xml:space="preserve"> срок</w:t>
      </w:r>
      <w:r w:rsidR="004F69C1" w:rsidRPr="00916B3A">
        <w:rPr>
          <w:rFonts w:ascii="Times New Roman" w:hAnsi="Times New Roman" w:cs="Times New Roman"/>
          <w:sz w:val="28"/>
          <w:szCs w:val="28"/>
          <w:lang w:val="kk-KZ"/>
        </w:rPr>
        <w:t>ах</w:t>
      </w:r>
      <w:r w:rsidRPr="00916B3A">
        <w:rPr>
          <w:rFonts w:ascii="Times New Roman" w:hAnsi="Times New Roman" w:cs="Times New Roman"/>
          <w:sz w:val="28"/>
          <w:szCs w:val="28"/>
        </w:rPr>
        <w:t>.</w:t>
      </w:r>
      <w:r w:rsidR="004B03F5" w:rsidRPr="00916B3A">
        <w:rPr>
          <w:rFonts w:ascii="Times New Roman" w:hAnsi="Times New Roman" w:cs="Times New Roman"/>
          <w:color w:val="000000"/>
          <w:spacing w:val="4"/>
          <w:sz w:val="28"/>
          <w:szCs w:val="28"/>
        </w:rPr>
        <w:t xml:space="preserve"> </w:t>
      </w:r>
      <w:r w:rsidR="00527FAA" w:rsidRPr="00916B3A">
        <w:rPr>
          <w:rFonts w:ascii="Times New Roman" w:hAnsi="Times New Roman" w:cs="Times New Roman"/>
          <w:sz w:val="28"/>
          <w:szCs w:val="28"/>
        </w:rPr>
        <w:t>Инфекционно-воспалительные процессы эндометрия занимают лидирующие позиции среди причинных факторов невынашивания беременности. Среди них особое место принадле</w:t>
      </w:r>
      <w:r w:rsidR="007B1DB7" w:rsidRPr="00916B3A">
        <w:rPr>
          <w:rFonts w:ascii="Times New Roman" w:hAnsi="Times New Roman" w:cs="Times New Roman"/>
          <w:sz w:val="28"/>
          <w:szCs w:val="28"/>
        </w:rPr>
        <w:t>жит хроническому эндометриту</w:t>
      </w:r>
      <w:r w:rsidR="00527FAA" w:rsidRPr="00916B3A">
        <w:rPr>
          <w:rFonts w:ascii="Times New Roman" w:hAnsi="Times New Roman" w:cs="Times New Roman"/>
          <w:sz w:val="28"/>
          <w:szCs w:val="28"/>
        </w:rPr>
        <w:t>. Хронический эндометрит - это клинико-морфологический синдром, при котором в результате персистирующего повреждения эндометрия инфекционным агентом возникают множественные вторичные морфофункциональные изменения, нарушающие циклическую биотрансформацию и прецептивность слизистой оболочки тела матки</w:t>
      </w:r>
      <w:r w:rsidR="007B1DB7"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{"citationItems":[{"id":"ITEM-1","itemData":{"DOI":"10.5935/1518-0557.20190061","ISSN":"15180557","PMID":"31589391","abstract":"Objective: Our primary objective was to evaluate the endometrial changes before and after the transfer of endo-metrial mesenchymal stem cells (enMSCs) in a population of thinned endometrium women, with absence or hypo-re-sponsiveness to estrogen and repeated implantation failure (RIF). The secondary objective was to evaluate the clinical outcomes of the intervention in terms of clinical pregnancy (CP), early abortions, ongoing pregnancy and live birth delivery rate (LBDR) per in vitro fertilization (IVF) cycle. Methods: A longitudinal and experimental study. The intervention was defined as \"subendometrial inoculation of enMSCs,\" and the post-intervention changes were evaluated by the following variables: endometrial thickness (Eth), endometrial flow cytometry (enFC), endometrial histopa-thology (enHP) and endometrial immunohistochemistry (enIHQ). The variables were analyzed after the intervention (Post-treatment) regarding previous values (Pretreat-ment). Results: Eth values before and after treatment with enMSCs were 5.24±1.24 mm vs. 9.93±0.77 (p=0.000), respectively. Endometrial Flow Cytometry showed significant differences in favor of Normalized variables in the post-treatment assessment, associated with the pre-treatment, LT/Li, LB/Li, NK/Li, CD8/CD3+ and CD4/CD8 (p≤0.015), respectively. Only two variables Li/PC and CD4/ CD3 had NS (p=0.167 and 0.118). A similar analysis was performed on enHP with an HP increase post-treatment (p=0.007). The CP rate was 79.31% (23/29), a live birth delivery rate per embryo transfer was 45.45% (10/22) and ongoing pregnancy 7/29 (24.14%). Conclusion: Subendometrial enMSCs inoculation produces a significant increase in endometrial thickness; normalize the enHP, enIHQ and enFC. As a result, IVF after treatment with enMSCs yields a higher rate of CP and LBDR.","author":[{"dropping-particle":"","family":"Tersoglio","given":"Alberto E.","non-dropping-particle":"","parse-names":false,"suffix":""},{"dropping-particle":"","family":"Tersoglio","given":"Sebastian","non-dropping-particle":"","parse-names":false,"suffix":""},{"dropping-particle":"","family":"Salatino","given":"Dante R.","non-dropping-particle":"","parse-names":false,"suffix":""},{"dropping-particle":"","family":"Castro","given":"Matías","non-dropping-particle":"","parse-names":false,"suffix":""},{"dropping-particle":"","family":"Gonzalez","given":"Adriana","non-dropping-particle":"","parse-names":false,"suffix":""},{"dropping-particle":"","family":"Hinojosa","given":"Mariana","non-dropping-particle":"","parse-names":false,"suffix":""},{"dropping-particle":"","family":"Castellano","given":"Onias","non-dropping-particle":"","parse-names":false,"suffix":""}],"container-title":"Jornal Brasileiro de Reproducao Assistida","id":"ITEM-1","issue":"2","issued":{"date-parts":[["2020"]]},"page":"118-127","title":"Regenerative therapy by endometrial mesenchymal stem cells in thin endometrium with repeated implantation failure. A novel strategy","type":"article-journal","volume":"24"},"uris":["http://www.mendeley.com/documents/?uuid=b627ae19-0af0-4499-8648-0e14daa5ea3e"]}],"mendeley":{"formattedCitation":"[31]","plainTextFormattedCitation":"[31]","previouslyFormattedCitation":"(31)"},"properties":{"noteIndex":0},"schema":"https://github.com/citation-style-language/schema/raw/master/csl-citation.json"}</w:instrText>
      </w:r>
      <w:r w:rsidR="007B1DB7"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[31]</w:t>
      </w:r>
      <w:r w:rsidR="007B1DB7" w:rsidRPr="00916B3A">
        <w:rPr>
          <w:rFonts w:ascii="Times New Roman" w:hAnsi="Times New Roman" w:cs="Times New Roman"/>
          <w:sz w:val="28"/>
          <w:szCs w:val="28"/>
        </w:rPr>
        <w:fldChar w:fldCharType="end"/>
      </w:r>
      <w:r w:rsidR="00527FAA" w:rsidRPr="00916B3A">
        <w:rPr>
          <w:rFonts w:ascii="Times New Roman" w:hAnsi="Times New Roman" w:cs="Times New Roman"/>
          <w:sz w:val="28"/>
          <w:szCs w:val="28"/>
        </w:rPr>
        <w:t>.</w:t>
      </w:r>
      <w:r w:rsidR="004B03F5" w:rsidRPr="00916B3A">
        <w:rPr>
          <w:rFonts w:ascii="Times New Roman" w:hAnsi="Times New Roman" w:cs="Times New Roman"/>
          <w:sz w:val="28"/>
          <w:szCs w:val="28"/>
        </w:rPr>
        <w:t xml:space="preserve"> </w:t>
      </w:r>
      <w:r w:rsidR="007B1DB7" w:rsidRPr="00916B3A">
        <w:rPr>
          <w:rFonts w:ascii="Times New Roman" w:hAnsi="Times New Roman" w:cs="Times New Roman"/>
          <w:sz w:val="28"/>
          <w:szCs w:val="28"/>
        </w:rPr>
        <w:t>Хронический эндометрит часто протекает бессимптомно или с легкими неспецифическими симптомами, что затрудняет оценку его распространенности в общей популяции. Распространенность заболевания у женщин с повторной потерей беременности варьирует от 9 до 56 %. Такой широкий диапазон оценок, вероятно, связан с отсутствием консенсусных диагностических критериев. Предполагается, что хронический эндометрит может вызывать потерю беременности, поскольку способствует инфильтрации иммунных клеток в эндометрий</w:t>
      </w:r>
      <w:r w:rsidR="007B1DB7"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{"citationItems":[{"id":"ITEM-1","itemData":{"DOI":"10.1016/j.fertnstert.2019.09.001","ISSN":"15565653","PMID":"31718829","abstract":"Objective: To investigate whether chronic endometritis (CE) affects the immune status of peripheral blood and endometrium in patients with recurrent reproductive failure (RRF). Design: Retrospective study. Setting: Private fertility center. Patients(s): A total of 524 RRF patients, including 324 women with recurrent miscarriage (RM) and 200 women with recurrent implantation failure (RIF). Intervention(s): Peripheral blood and endometrium samples were collected in the midluteal phase before in vitro fertilization treatment or pregnancy. The number of peripheral T, natural killer (NK), and B cells, as well as cytotoxicity of NK cells and expression of TH1 cytokines were analyzed with the use of flow cytometry, and uterine immune cells were subjected to immunohistochemistry. Main Outcome Measure(s): Peripheral immune cells, cytokines, NK cytotoxicity, and endometrial immune cells were compared in RRF patients with versus without CE. Result(s): The proportion and function of the analyzed immune cell subsets in peripheral blood as well as the percentages of CD56+ NK cells, CD163+ M2 macrophages, and CD1a+ immature dendritic cells in the endometrium were not significantly altered between non-CE and CE patients, whereas the proportions of uterine CD68+ macrophages, CD83+ mature dendritic cells, CD8+ T cells, and Foxp3+ regulatory T cells were significantly elevated in CE patients. After antibiotic treatment, the percentage of CD68+ macrophages, CD83+ mature dendritic cells, CD8+ T cells, and Foxp3+ regulatory T cells in endometrium were significantly reduced in patients with cured CE. Conclusion(s): CE contributes to elevated endometrial infiltration levels of immune cells. The excessive presence of endometrial immune cells in CE patients may be involved in reduced endometrial receptivity and recurrent pregnancy failures.","author":[{"dropping-particle":"","family":"Li","given":"Yuye","non-dropping-particle":"","parse-names":false,"suffix":""},{"dropping-particle":"","family":"Yu","given":"Shuyi","non-dropping-particle":"","parse-names":false,"suffix":""},{"dropping-particle":"","family":"Huang","given":"Chunyu","non-dropping-particle":"","parse-names":false,"suffix":""},{"dropping-particle":"","family":"Lian","given":"Ruochun","non-dropping-particle":"","parse-names":false,"suffix":""},{"dropping-particle":"","family":"Chen","given":"Cong","non-dropping-particle":"","parse-names":false,"suffix":""},{"dropping-particle":"","family":"Liu","given":"Su","non-dropping-particle":"","parse-names":false,"suffix":""},{"dropping-particle":"","family":"Li","given":"Longfei","non-dropping-particle":"","parse-names":false,"suffix":""},{"dropping-particle":"","family":"Diao","given":"Lianghui","non-dropping-particle":"","parse-names":false,"suffix":""},{"dropping-particle":"","family":"Markert","given":"Udo R.","non-dropping-particle":"","parse-names":false,"suffix":""},{"dropping-particle":"","family":"Zeng","given":"Yong","non-dropping-particle":"","parse-names":false,"suffix":""}],"container-title":"Fertility and Sterility","id":"ITEM-1","issue":"1","issued":{"date-parts":[["2020"]]},"page":"187-196.e1","publisher":"Elsevier Inc.","title":"Evaluation of peripheral and uterine immune status of chronic endometritis in patients with recurrent reproductive failure","type":"article-journal","volume":"113"},"uris":["http://www.mendeley.com/documents/?uuid=525360e0-21dd-45b7-b89a-355b338e7c75"]}],"mendeley":{"formattedCitation":"[32]","plainTextFormattedCitation":"[32]","previouslyFormattedCitation":"(32)"},"properties":{"noteIndex":0},"schema":"https://github.com/citation-style-language/schema/raw/master/csl-citation.json"}</w:instrText>
      </w:r>
      <w:r w:rsidR="007B1DB7"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[32]</w:t>
      </w:r>
      <w:r w:rsidR="007B1DB7" w:rsidRPr="00916B3A">
        <w:rPr>
          <w:rFonts w:ascii="Times New Roman" w:hAnsi="Times New Roman" w:cs="Times New Roman"/>
          <w:sz w:val="28"/>
          <w:szCs w:val="28"/>
        </w:rPr>
        <w:fldChar w:fldCharType="end"/>
      </w:r>
      <w:r w:rsidR="007B1DB7" w:rsidRPr="00916B3A">
        <w:rPr>
          <w:rFonts w:ascii="Times New Roman" w:hAnsi="Times New Roman" w:cs="Times New Roman"/>
          <w:sz w:val="28"/>
          <w:szCs w:val="28"/>
        </w:rPr>
        <w:t>. Однако существует мало исследований, демонстрирующих измененную инфильтрации иммунных клеток, кроме плазматических клеток, и нет экспериментальных данных, подтверждающих, что измененная инфильтрация эндометрия иммунными клетками. В связи с критической ролью устойчивой сигнализации прогестерона для имплантации и беременности, низкая выработка прогестерона во время лютеиновой фазы менструального цикла широко рассматривает</w:t>
      </w:r>
      <w:r w:rsidR="006E7067" w:rsidRPr="00916B3A">
        <w:rPr>
          <w:rFonts w:ascii="Times New Roman" w:hAnsi="Times New Roman" w:cs="Times New Roman"/>
          <w:sz w:val="28"/>
          <w:szCs w:val="28"/>
        </w:rPr>
        <w:t>ся как важная причина выкидыша</w:t>
      </w:r>
      <w:r w:rsidR="007B1DB7" w:rsidRPr="00916B3A">
        <w:rPr>
          <w:rFonts w:ascii="Times New Roman" w:hAnsi="Times New Roman" w:cs="Times New Roman"/>
          <w:sz w:val="28"/>
          <w:szCs w:val="28"/>
        </w:rPr>
        <w:t xml:space="preserve">. Однако </w:t>
      </w:r>
      <w:r w:rsidR="005678F1">
        <w:rPr>
          <w:rFonts w:ascii="Times New Roman" w:hAnsi="Times New Roman" w:cs="Times New Roman"/>
          <w:sz w:val="28"/>
          <w:szCs w:val="28"/>
        </w:rPr>
        <w:t>п</w:t>
      </w:r>
      <w:r w:rsidR="00886A7D" w:rsidRPr="00916B3A">
        <w:rPr>
          <w:rFonts w:ascii="Times New Roman" w:hAnsi="Times New Roman" w:cs="Times New Roman"/>
          <w:sz w:val="28"/>
          <w:szCs w:val="28"/>
        </w:rPr>
        <w:t>опытки обнаружить нарушения лютеиновой фазы у женщин с повторными выкидышами не принесли положительных результатов</w:t>
      </w:r>
      <w:r w:rsidR="00886A7D"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{"citationItems":[{"id":"ITEM-1","itemData":{"DOI":"10.1016/j.ajog.2019.12.006","ISSN":"10976868","PMID":"32008730","abstract":"Progesterone is essential for the maintenance of pregnancy. Several small trials have suggested that progesterone supplementation may reduce the risk of miscarriage in women with recurrent or threatened miscarriage. Cochrane Reviews summarized the evidence and found that the trials were small with substantial methodologic weaknesses. Since then, the effects of first-trimester use of vaginal micronized progesterone have been evaluated in 2 large, high-quality, multicenter placebo-controlled trials, one targeting women with unexplained recurrent miscarriages (the PROMISE [PROgesterone in recurrent MIScarriagE] trial) and the other targeting women with early pregnancy bleeding (the PRISM [PRogesterone In Spontaneous Miscarriage] trial). The PROMISE trial studied 836 women from 45 hospitals in the United Kingdom and the Netherlands and found a 3% greater live birth rate with progesterone but with substantial statistical uncertainty. The PRISM trial studied 4153 women from 48 hospitals in the United Kingdom and found a 3% greater live birth rate with progesterone, but with a P value of. 08. A key finding, first observed in the PROMISE trial, and then replicated in the PRISM trial, was that treatment with vaginal micronized progesterone 400 mg twice daily was associated with increasing live birth rates according to the number of previous miscarriages. Prespecified PRISM trial subgroup analysis in women with the dual risk factors of previous miscarriage(s) and current pregnancy bleeding fulfilled all 11 conditions for credible subgroup analysis. For the subgroup of women with a history of 1 or more miscarriage(s) and current pregnancy bleeding, the live birth rate was 75% (689/914) with progesterone vs 70% (619/886) with placebo (rate difference 5%; risk ratio, 1.09, 95% confidence interval, 1.03–1.15; P=.003). The benefit was greater for the subgroup of women with 3 or more previous miscarriages and current pregnancy bleeding; live birth rate was 72% (98/137) with progesterone vs 57% (85/148) with placebo (rate difference 15%; risk ratio, 1.28, 95% confidence interval, 1.08–1.51; P=.004). No short-term safety concerns were identified from the PROMISE and PRISM trials. Therefore, women with a history of miscarriage who present with bleeding in early pregnancy may benefit from the use of vaginal micronized progesterone 400 mg twice daily. Women and their care providers should use the findings for shared decision-making.","author":[{"dropping-particle":"","family":"Coomarasamy","given":"Arri","non-dropping-particle":"","parse-names":false,"suffix":""},{"dropping-particle":"","family":"Devall","given":"Adam J.","non-dropping-particle":"","parse-names":false,"suffix":""},{"dropping-particle":"","family":"Brosens","given":"Jan J.","non-dropping-particle":"","parse-names":false,"suffix":""},{"dropping-particle":"","family":"Quenby","given":"Siobhan","non-dropping-particle":"","parse-names":false,"suffix":""},{"dropping-particle":"","family":"Stephenson","given":"Mary D.","non-dropping-particle":"","parse-names":false,"suffix":""},{"dropping-particle":"","family":"Sierra","given":"Sony","non-dropping-particle":"","parse-names":false,"suffix":""},{"dropping-particle":"","family":"Christiansen","given":"Ole B.","non-dropping-particle":"","parse-names":false,"suffix":""},{"dropping-particle":"","family":"Small","given":"Rachel","non-dropping-particle":"","parse-names":false,"suffix":""},{"dropping-particle":"","family":"Brewin","given":"Jane","non-dropping-particle":"","parse-names":false,"suffix":""},{"dropping-particle":"","family":"Roberts","given":"Tracy E.","non-dropping-particle":"","parse-names":false,"suffix":""},{"dropping-particle":"","family":"Dhillon-Smith","given":"Rima","non-dropping-particle":"","parse-names":false,"suffix":""},{"dropping-particle":"","family":"Harb","given":"Hoda","non-dropping-particle":"","parse-names":false,"suffix":""},{"dropping-particle":"","family":"Noordali","given":"Hannah","non-dropping-particle":"","parse-names":false,"suffix":""},{"dropping-particle":"","family":"Papadopoulou","given":"Argyro","non-dropping-particle":"","parse-names":false,"suffix":""},{"dropping-particle":"","family":"Eapen","given":"Abey","non-dropping-particle":"","parse-names":false,"suffix":""},{"dropping-particle":"","family":"Prior","given":"Matt","non-dropping-particle":"","parse-names":false,"suffix":""},{"dropping-particle":"","family":"Renzo","given":"Gian Carlo","non-dropping-particle":"Di","parse-names":false,"suffix":""},{"dropping-particle":"","family":"Hinshaw","given":"Kim","non-dropping-particle":"","parse-names":false,"suffix":""},{"dropping-particle":"","family":"Mol","given":"Ben W.","non-dropping-particle":"","parse-names":false,"suffix":""},{"dropping-particle":"","family":"Lumsden","given":"Mary Ann","non-dropping-particle":"","parse-names":false,"suffix":""},{"dropping-particle":"","family":"Khalaf","given":"Yacoub","non-dropping-particle":"","parse-names":false,"suffix":""},{"dropping-particle":"","family":"Shennan","given":"Andrew","non-dropping-particle":"","parse-names":false,"suffix":""},{"dropping-particle":"","family":"Goddijn","given":"Mariette","non-dropping-particle":"","parse-names":false,"suffix":""},{"dropping-particle":"","family":"Wely","given":"Madelon","non-dropping-particle":"van","parse-names":false,"suffix":""},{"dropping-particle":"","family":"Al-Memar","given":"Maya","non-dropping-particle":"","parse-names":false,"suffix":""},{"dropping-particle":"","family":"Bennett","given":"Phil","non-dropping-particle":"","parse-names":false,"suffix":""},{"dropping-particle":"","family":"Bourne","given":"Tom","non-dropping-particle":"","parse-names":false,"suffix":""},{"dropping-particle":"","family":"Rai","given":"Raj","non-dropping-particle":"","parse-names":false,"suffix":""},{"dropping-particle":"","family":"Regan","given":"Lesley","non-dropping-particle":"","parse-names":false,"suffix":""},{"dropping-particle":"","family":"Gallos","given":"Ioannis D.","non-dropping-particle":"","parse-names":false,"suffix":""}],"container-title":"American Journal of Obstetrics and Gynecology","id":"ITEM-1","issue":"2","issued":{"date-parts":[["2020"]]},"page":"167-176","publisher":"Elsevier Inc.","title":"Micronized vaginal progesterone to prevent miscarriage: a critical evaluation of randomized evidence","type":"article-journal","volume":"223"},"uris":["http://www.mendeley.com/documents/?uuid=26633fde-a5f2-44ec-8452-26ae1de67f3a"]}],"mendeley":{"formattedCitation":"[33]","plainTextFormattedCitation":"[33]","previouslyFormattedCitation":"(33)"},"properties":{"noteIndex":0},"schema":"https://github.com/citation-style-language/schema/raw/master/csl-citation.json"}</w:instrText>
      </w:r>
      <w:r w:rsidR="00886A7D"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[33]</w:t>
      </w:r>
      <w:r w:rsidR="00886A7D" w:rsidRPr="00916B3A">
        <w:rPr>
          <w:rFonts w:ascii="Times New Roman" w:hAnsi="Times New Roman" w:cs="Times New Roman"/>
          <w:sz w:val="28"/>
          <w:szCs w:val="28"/>
        </w:rPr>
        <w:fldChar w:fldCharType="end"/>
      </w:r>
      <w:r w:rsidR="00886A7D" w:rsidRPr="00916B3A">
        <w:rPr>
          <w:rFonts w:ascii="Times New Roman" w:hAnsi="Times New Roman" w:cs="Times New Roman"/>
          <w:sz w:val="28"/>
          <w:szCs w:val="28"/>
        </w:rPr>
        <w:t>.</w:t>
      </w:r>
      <w:r w:rsidR="007B1DB7" w:rsidRPr="00916B3A">
        <w:rPr>
          <w:rFonts w:ascii="Times New Roman" w:hAnsi="Times New Roman" w:cs="Times New Roman"/>
          <w:sz w:val="28"/>
          <w:szCs w:val="28"/>
        </w:rPr>
        <w:t xml:space="preserve"> Тем не менее, метаанализ двух крупных клинических испытаний показал, что вагинально вводимый микронизированный прогестерон улучшает результаты у женщин с вагинальным кровотечением во время беременности и с историей одного или нескольких выкиды</w:t>
      </w:r>
      <w:r w:rsidR="006E7067" w:rsidRPr="00916B3A">
        <w:rPr>
          <w:rFonts w:ascii="Times New Roman" w:hAnsi="Times New Roman" w:cs="Times New Roman"/>
          <w:sz w:val="28"/>
          <w:szCs w:val="28"/>
        </w:rPr>
        <w:t>шей</w:t>
      </w:r>
      <w:r w:rsidR="007B1DB7" w:rsidRPr="00916B3A">
        <w:rPr>
          <w:rFonts w:ascii="Times New Roman" w:hAnsi="Times New Roman" w:cs="Times New Roman"/>
          <w:sz w:val="28"/>
          <w:szCs w:val="28"/>
        </w:rPr>
        <w:t>. Эффективность лечения прогестероном положительно коррелировала с количеством предыдущих потерь</w:t>
      </w:r>
      <w:r w:rsidR="006E7067" w:rsidRPr="00916B3A">
        <w:rPr>
          <w:rFonts w:ascii="Times New Roman" w:hAnsi="Times New Roman" w:cs="Times New Roman"/>
          <w:sz w:val="28"/>
          <w:szCs w:val="28"/>
        </w:rPr>
        <w:t xml:space="preserve">. Лечение прогестероном, вероятно, улучшает децидуализацию </w:t>
      </w:r>
      <w:r w:rsidR="006E7067" w:rsidRPr="00916B3A">
        <w:rPr>
          <w:rFonts w:ascii="Times New Roman" w:hAnsi="Times New Roman" w:cs="Times New Roman"/>
          <w:sz w:val="28"/>
          <w:szCs w:val="28"/>
          <w:lang w:val="kk-KZ"/>
        </w:rPr>
        <w:t xml:space="preserve">эндометрия </w:t>
      </w:r>
      <w:r w:rsidR="006E7067" w:rsidRPr="00916B3A">
        <w:rPr>
          <w:rFonts w:ascii="Times New Roman" w:hAnsi="Times New Roman" w:cs="Times New Roman"/>
          <w:sz w:val="28"/>
          <w:szCs w:val="28"/>
        </w:rPr>
        <w:t>у этих женщин, поскольку эндометриальные стромальные клетки, выделенные от небеременных женщин с историей повторных выкидышей, демонстрируют нарушенную способность к децидуализации и повышенное клеточное старение</w:t>
      </w:r>
      <w:r w:rsidR="00886A7D"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{"citationItems":[{"id":"ITEM-1","itemData":{"DOI":"10.1093/hropen/hoab011","abstract":"This article summarises and contextualises the accumulated basic and clinical data on the ERA test and addresses specific comments and opinions presented by the opponent as part of an invited debate. Progress in medicine depends on new technologies and concepts that translate to practice to solve long-standing problems. In a key example, combining RNA sequencing data (transcriptomics) with artificial intelligence (AI) led to a clinical revolution in personalising disease diagnosis and fostered the concept of precision medicine. The reproductive field is no exception. Translation of endometrial transcriptomics to the clinic yielded an objective definition of the limited time period during which the maternal endometrium is receptive to an embryo, known as the window of implantation (WOI). The WOI is induced by the presence of exogenous and/or endogenous progesterone (P) after proper oestradiol (E2) priming. The window lasts 30–36 hours and, depending on the patient, occurs between LH + 6 and LH + 9 in natural cycles or between P + 4 and P + 7 in hormonal replacement therapy (HRT) cycles. In approximately 30% of IVF cycles in which embryo transfer is performed blindly, the WOI is displaced and embryo-endometrial synchrony is not achieved. Extending this application of endometrial transcriptomics, the endometrial receptivity analysis (ERA) test couples next-generation sequencing (NGS) to a computational predictor to identify transcriptomic signatures for each endometrial stage: proliferative (PRO), pre-receptive (PRE), receptive (R) and post-receptive (POST). In this way, personalised embryo transfer (pET) may be possible by synchronising embryo transfer with each patient’s WOI. Data are the only way to confront arguments sustained in opinions and/or misleading concepts; it is up to the reader to make their own conclusions regarding its clinical utility.","author":[{"dropping-particle":"","family":"Ruiz-Alonso","given":"Maria","non-dropping-particle":"","parse-names":false,"suffix":""},{"dropping-particle":"","family":"Valbuena","given":"Diana","non-dropping-particle":"","parse-names":false,"suffix":""},{"dropping-particle":"","family":"Gomez","given":"Carlos","non-dropping-particle":"","parse-names":false,"suffix":""},{"dropping-particle":"","family":"Cuzzi","given":"Juliana","non-dropping-particle":"","parse-names":false,"suffix":""},{"dropping-particle":"","family":"Simon","given":"Carlos","non-dropping-particle":"","parse-names":false,"suffix":""}],"container-title":"Human Reproduction Open","id":"ITEM-1","issue":"2","issued":{"date-parts":[["2021"]]},"page":"1-11","title":"Endometrial Receptivity Analysis (ERA): data versus opinions","type":"article-journal","volume":"2021"},"uris":["http://www.mendeley.com/documents/?uuid=dbd5fd89-4cd2-4765-be35-7b9c50c3331a"]}],"mendeley":{"formattedCitation":"[34]","plainTextFormattedCitation":"[34]","previouslyFormattedCitation":"(34)"},"properties":{"noteIndex":0},"schema":"https://github.com/citation-style-language/schema/raw/master/csl-citation.json"}</w:instrText>
      </w:r>
      <w:r w:rsidR="00886A7D"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[34]</w:t>
      </w:r>
      <w:r w:rsidR="00886A7D" w:rsidRPr="00916B3A">
        <w:rPr>
          <w:rFonts w:ascii="Times New Roman" w:hAnsi="Times New Roman" w:cs="Times New Roman"/>
          <w:sz w:val="28"/>
          <w:szCs w:val="28"/>
        </w:rPr>
        <w:fldChar w:fldCharType="end"/>
      </w:r>
      <w:r w:rsidR="006E7067" w:rsidRPr="00916B3A">
        <w:rPr>
          <w:rFonts w:ascii="Times New Roman" w:hAnsi="Times New Roman" w:cs="Times New Roman"/>
          <w:sz w:val="28"/>
          <w:szCs w:val="28"/>
        </w:rPr>
        <w:t>.</w:t>
      </w:r>
    </w:p>
    <w:p w14:paraId="2422EC8E" w14:textId="40760B15" w:rsidR="006E7067" w:rsidRPr="00916B3A" w:rsidRDefault="006E7067" w:rsidP="00997125">
      <w:pPr>
        <w:shd w:val="clear" w:color="auto" w:fill="FFFFFF"/>
        <w:tabs>
          <w:tab w:val="left" w:pos="180"/>
        </w:tabs>
        <w:autoSpaceDE w:val="0"/>
        <w:autoSpaceDN w:val="0"/>
        <w:adjustRightInd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Поскольку плод является полуаллотрансплантатом материнского хозяина, иммунная толерантность имеет важное значение для успешной беременности. Эндометрий является первым местом прямого контакта между материнским иммунитетом и плацентарными клетками плода. Иммунные клетки, находя</w:t>
      </w:r>
      <w:r w:rsidR="002750F1" w:rsidRPr="00916B3A">
        <w:rPr>
          <w:rFonts w:ascii="Times New Roman" w:hAnsi="Times New Roman" w:cs="Times New Roman"/>
          <w:sz w:val="28"/>
          <w:szCs w:val="28"/>
        </w:rPr>
        <w:t xml:space="preserve">щиеся в эндометрии, составляют  </w:t>
      </w:r>
      <w:r w:rsidR="002750F1" w:rsidRPr="00916B3A">
        <w:rPr>
          <w:rFonts w:ascii="Times New Roman" w:hAnsi="Times New Roman" w:cs="Times New Roman"/>
          <w:sz w:val="28"/>
          <w:szCs w:val="28"/>
          <w:lang w:val="kk-KZ"/>
        </w:rPr>
        <w:t xml:space="preserve">около </w:t>
      </w:r>
      <w:r w:rsidRPr="00916B3A">
        <w:rPr>
          <w:rFonts w:ascii="Times New Roman" w:hAnsi="Times New Roman" w:cs="Times New Roman"/>
          <w:sz w:val="28"/>
          <w:szCs w:val="28"/>
        </w:rPr>
        <w:t>40% всех клеток в децидуальной об</w:t>
      </w:r>
      <w:r w:rsidR="002750F1" w:rsidRPr="00916B3A">
        <w:rPr>
          <w:rFonts w:ascii="Times New Roman" w:hAnsi="Times New Roman" w:cs="Times New Roman"/>
          <w:sz w:val="28"/>
          <w:szCs w:val="28"/>
        </w:rPr>
        <w:t>олочке первого триместра</w:t>
      </w:r>
      <w:r w:rsidR="002750F1" w:rsidRPr="00916B3A">
        <w:rPr>
          <w:rFonts w:ascii="Times New Roman" w:hAnsi="Times New Roman" w:cs="Times New Roman"/>
          <w:sz w:val="28"/>
          <w:szCs w:val="28"/>
          <w:lang w:val="kk-KZ"/>
        </w:rPr>
        <w:t xml:space="preserve"> </w:t>
      </w:r>
      <w:r w:rsidRPr="00916B3A">
        <w:rPr>
          <w:rFonts w:ascii="Times New Roman" w:hAnsi="Times New Roman" w:cs="Times New Roman"/>
          <w:sz w:val="28"/>
          <w:szCs w:val="28"/>
        </w:rPr>
        <w:t>и подвергаются модуляции до и после имплантации эмбриона, чтобы обеспечить материнскую</w:t>
      </w:r>
      <w:r w:rsidR="002750F1" w:rsidRPr="00916B3A">
        <w:rPr>
          <w:rFonts w:ascii="Times New Roman" w:hAnsi="Times New Roman" w:cs="Times New Roman"/>
          <w:sz w:val="28"/>
          <w:szCs w:val="28"/>
        </w:rPr>
        <w:t xml:space="preserve"> толерантность плаценты плода</w:t>
      </w:r>
      <w:r w:rsidR="00C45D79"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{"citationItems":[{"id":"ITEM-1","itemData":{"DOI":"10.3390/ijms20215332","ISSN":"14220067","PMID":"31717776","abstract":"Recurrent pregnancy loss (RPL) represents an unresolved problem for contemporary gynecology and obstetrics. In fact, it is not only a relevant complication of pregnancy, but is also a significant reproductive disorder affecting around 5% of couples desiring a child. The current knowledge on RPL is largely incomplete, since nearly 50% of RPL cases are still classified as unexplained. Emerging evidence indicates that the endometrium is a key tissue involved in the correct immunologic dialogue between the mother and the conceptus, which is a condition essential for the proper establishment and maintenance of a successful pregnancy. The immunologic events occurring at the maternal–fetal interface within the endometrium in early pregnancy are extremely complex and involve a large array of immune cells and molecules with immunoregulatory properties. A growing body of experimental studies suggests that endometrial immune dysregulation could be responsible for several, if not many, cases of RPL of unknown origin. The present article reviews the major immunologic pathways, cells, and molecular determinants involved in the endometrial dysfunction observed with specific application to RPL.","author":[{"dropping-particle":"","family":"Ticconi","given":"Carlo","non-dropping-particle":"","parse-names":false,"suffix":""},{"dropping-particle":"","family":"Pietropolli","given":"Adalgisa","non-dropping-particle":"","parse-names":false,"suffix":""},{"dropping-particle":"","family":"Simone","given":"Nicoletta","non-dropping-particle":"Di","parse-names":false,"suffix":""},{"dropping-particle":"","family":"Piccione","given":"Emilio","non-dropping-particle":"","parse-names":false,"suffix":""},{"dropping-particle":"","family":"Fazleabas","given":"Asgerally","non-dropping-particle":"","parse-names":false,"suffix":""}],"container-title":"International Journal of Molecular Sciences","id":"ITEM-1","issue":"21","issued":{"date-parts":[["2019"]]},"title":"Endometrial immune dysfunction in recurrent pregnancy loss","type":"article-journal","volume":"20"},"uris":["http://www.mendeley.com/documents/?uuid=70346bf1-e534-4626-b9bb-867a468df533"]}],"mendeley":{"formattedCitation":"[35]","plainTextFormattedCitation":"[35]","previouslyFormattedCitation":"(35)"},"properties":{"noteIndex":0},"schema":"https://github.com/citation-style-language/schema/raw/master/csl-citation.json"}</w:instrText>
      </w:r>
      <w:r w:rsidR="00C45D79"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[35]</w:t>
      </w:r>
      <w:r w:rsidR="00C45D79"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r w:rsidR="002750F1" w:rsidRPr="00916B3A">
        <w:rPr>
          <w:rFonts w:ascii="Times New Roman" w:hAnsi="Times New Roman" w:cs="Times New Roman"/>
          <w:sz w:val="28"/>
          <w:szCs w:val="28"/>
        </w:rPr>
        <w:t xml:space="preserve"> Основная функция эндометрия заключается в создании и обеспечение оптимальной эндокринной/паракринной, иммунной и молекулярной среды, которая позволяет обеспечить правильное прикрепления, имплантации, инвазии, развития и полного созревания эмбриона. Чтобы выполнить эту задачу, эндометрий должен развить серию уникальных и поразительных адаптивных изменений, которые в совокупности называются децидуализацией и приводят к глубокому морфологическому и функциональному перепрограммированию стромальных клеток эндометрия, которые дифференцируются в высокоспециализированные клетки с секреторными способностями.</w:t>
      </w:r>
      <w:r w:rsidRPr="00916B3A">
        <w:rPr>
          <w:rFonts w:ascii="Times New Roman" w:hAnsi="Times New Roman" w:cs="Times New Roman"/>
          <w:sz w:val="28"/>
          <w:szCs w:val="28"/>
        </w:rPr>
        <w:t xml:space="preserve"> Ключевая функция иммунной толерантности во время беременности положила начало десятилетиям исследований иммунно-связанных причин и целей лечения рецидивирующей потери беременности</w:t>
      </w:r>
      <w:r w:rsidR="00C45D79"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{"citationItems":[{"id":"ITEM-1","itemData":{"DOI":"10.1186/1741-7015-11-154","ISSN":"17417015","PMID":"23803387","abstract":"Sporadic miscarriage is the most common complication of early pregnancy. Two or three consecutive pregnancy losses is a less common phenomenon, and this is considered a distinct disease entity. Sporadic miscarriages are considered to primarily represent failure of abnormal embryos to progress to viability. Recurrent miscarriage is thought to have multiple etiologies, including parental chromosomal anomalies, maternal thrombophilic disorders, immune dysfunction and various endocrine disturbances. However, none of these conditions is specific to recurrent miscarriage or always associated with repeated early pregnancy loss. In recent years, new theories about the mechanisms behind sporadic and recurrent miscarriage have emerged. Epidemiological and genetic studies suggest a multifactorial background where immunological dysregulation in pregnancy may play a role, as well as lifestyle factors and changes in sperm DNA integrity. Recent experimental evidence has led to the concept that the decidualized endometrium acts as biosensor of embryo quality, which if disrupted, may lead to implantation of embryos destined to miscarry. These new insights into the mechanisms behind miscarriage offer the prospect of novel effective interventions that may prevent this distressing condition. © 2013 Larsen et al.; licensee BioMed Central Ltd.","author":[{"dropping-particle":"","family":"Larsen","given":"Elisabeth Clare","non-dropping-particle":"","parse-names":false,"suffix":""},{"dropping-particle":"","family":"Christiansen","given":"Ole Bjarne","non-dropping-particle":"","parse-names":false,"suffix":""},{"dropping-particle":"","family":"Kolte","given":"Astrid Marie","non-dropping-particle":"","parse-names":false,"suffix":""},{"dropping-particle":"","family":"Macklon","given":"Nick","non-dropping-particle":"","parse-names":false,"suffix":""}],"container-title":"BMC Medicine","id":"ITEM-1","issue":"1","issued":{"date-parts":[["2013"]]},"title":"New insights into mechanisms behind miscarriage","type":"article-journal","volume":"11"},"uris":["http://www.mendeley.com/documents/?uuid=1a0c6f3d-dc68-4093-abd1-7597b1fb55dd"]}],"mendeley":{"formattedCitation":"[36]","plainTextFormattedCitation":"[36]","previouslyFormattedCitation":"(36)"},"properties":{"noteIndex":0},"schema":"https://github.com/citation-style-language/schema/raw/master/csl-citation.json"}</w:instrText>
      </w:r>
      <w:r w:rsidR="00C45D79"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[36]</w:t>
      </w:r>
      <w:r w:rsidR="00C45D79" w:rsidRPr="00916B3A">
        <w:rPr>
          <w:rFonts w:ascii="Times New Roman" w:hAnsi="Times New Roman" w:cs="Times New Roman"/>
          <w:sz w:val="28"/>
          <w:szCs w:val="28"/>
        </w:rPr>
        <w:fldChar w:fldCharType="end"/>
      </w:r>
      <w:r w:rsidRPr="00916B3A">
        <w:rPr>
          <w:rFonts w:ascii="Times New Roman" w:hAnsi="Times New Roman" w:cs="Times New Roman"/>
          <w:sz w:val="28"/>
          <w:szCs w:val="28"/>
        </w:rPr>
        <w:t>. Децидуальные лимфоциты выполняют важную функцию на ранних сроках беременности, включая контроль и поддержание децидуализации, содействие инвазии трофобласта, локальный ангиогенез и ремоделирование децидуальных спиральных артерий, очистку апоптотических и клеточных остат</w:t>
      </w:r>
      <w:r w:rsidR="00C45D79" w:rsidRPr="00916B3A">
        <w:rPr>
          <w:rFonts w:ascii="Times New Roman" w:hAnsi="Times New Roman" w:cs="Times New Roman"/>
          <w:sz w:val="28"/>
          <w:szCs w:val="28"/>
        </w:rPr>
        <w:t>ков и распознавание патогенов</w:t>
      </w:r>
      <w:r w:rsidR="00C45D79" w:rsidRPr="00916B3A">
        <w:rPr>
          <w:rFonts w:ascii="Times New Roman" w:hAnsi="Times New Roman" w:cs="Times New Roman"/>
          <w:sz w:val="28"/>
          <w:szCs w:val="28"/>
        </w:rPr>
        <w:fldChar w:fldCharType="begin" w:fldLock="1"/>
      </w:r>
      <w:r w:rsidR="009170EC">
        <w:rPr>
          <w:rFonts w:ascii="Times New Roman" w:hAnsi="Times New Roman" w:cs="Times New Roman"/>
          <w:sz w:val="28"/>
          <w:szCs w:val="28"/>
        </w:rPr>
        <w:instrText>ADDIN CSL_CITATION {"citationItems":[{"id":"ITEM-1","itemData":{"DOI":"10.3390/ijms20215332","ISSN":"14220067","PMID":"31717776","abstract":"Recurrent pregnancy loss (RPL) represents an unresolved problem for contemporary gynecology and obstetrics. In fact, it is not only a relevant complication of pregnancy, but is also a significant reproductive disorder affecting around 5% of couples desiring a child. The current knowledge on RPL is largely incomplete, since nearly 50% of RPL cases are still classified as unexplained. Emerging evidence indicates that the endometrium is a key tissue involved in the correct immunologic dialogue between the mother and the conceptus, which is a condition essential for the proper establishment and maintenance of a successful pregnancy. The immunologic events occurring at the maternal–fetal interface within the endometrium in early pregnancy are extremely complex and involve a large array of immune cells and molecules with immunoregulatory properties. A growing body of experimental studies suggests that endometrial immune dysregulation could be responsible for several, if not many, cases of RPL of unknown origin. The present article reviews the major immunologic pathways, cells, and molecular determinants involved in the endometrial dysfunction observed with specific application to RPL.","author":[{"dropping-particle":"","family":"Ticconi","given":"Carlo","non-dropping-particle":"","parse-names":false,"suffix":""},{"dropping-particle":"","family":"Pietropolli","given":"Adalgisa","non-dropping-particle":"","parse-names":false,"suffix":""},{"dropping-particle":"","family":"Simone","given":"Nicoletta","non-dropping-particle":"Di","parse-names":false,"suffix":""},{"dropping-particle":"","family":"Piccione","given":"Emilio","non-dropping-particle":"","parse-names":false,"suffix":""},{"dropping-particle":"","family":"Fazleabas","given":"Asgerally","non-dropping-particle":"","parse-names":false,"suffix":""}],"container-title":"International Journal of Molecular Sciences","id":"ITEM-1","issue":"21","issued":{"date-parts":[["2019"]]},"title":"Endometrial immune dysfunction in recurrent pregnancy loss","type":"article-journal","volume":"20"},"uris":["http://www.mendeley.com/documents/?uuid=70346bf1-e534-4626-b9bb-867a468df533"]}],"mendeley":{"formattedCitation":"[35]","manualFormatting":"[35, с.15]","plainTextFormattedCitation":"[35]","previouslyFormattedCitation":"(35)"},"properties":{"noteIndex":0},"schema":"https://github.com/citation-style-language/schema/raw/master/csl-citation.json"}</w:instrText>
      </w:r>
      <w:r w:rsidR="00C45D79"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[35</w:t>
      </w:r>
      <w:r w:rsidR="009170EC">
        <w:rPr>
          <w:rFonts w:ascii="Times New Roman" w:hAnsi="Times New Roman" w:cs="Times New Roman"/>
          <w:noProof/>
          <w:sz w:val="28"/>
          <w:szCs w:val="28"/>
        </w:rPr>
        <w:t>, с.15</w:t>
      </w:r>
      <w:r w:rsidR="008C6800" w:rsidRPr="008C6800">
        <w:rPr>
          <w:rFonts w:ascii="Times New Roman" w:hAnsi="Times New Roman" w:cs="Times New Roman"/>
          <w:noProof/>
          <w:sz w:val="28"/>
          <w:szCs w:val="28"/>
        </w:rPr>
        <w:t>]</w:t>
      </w:r>
      <w:r w:rsidR="00C45D79" w:rsidRPr="00916B3A">
        <w:rPr>
          <w:rFonts w:ascii="Times New Roman" w:hAnsi="Times New Roman" w:cs="Times New Roman"/>
          <w:sz w:val="28"/>
          <w:szCs w:val="28"/>
        </w:rPr>
        <w:fldChar w:fldCharType="end"/>
      </w:r>
      <w:r w:rsidRPr="00916B3A">
        <w:rPr>
          <w:rFonts w:ascii="Times New Roman" w:hAnsi="Times New Roman" w:cs="Times New Roman"/>
          <w:sz w:val="28"/>
          <w:szCs w:val="28"/>
        </w:rPr>
        <w:t xml:space="preserve">. </w:t>
      </w:r>
      <w:r w:rsidR="002750F1" w:rsidRPr="00916B3A">
        <w:rPr>
          <w:rFonts w:ascii="Times New Roman" w:hAnsi="Times New Roman" w:cs="Times New Roman"/>
          <w:sz w:val="28"/>
          <w:szCs w:val="28"/>
        </w:rPr>
        <w:t>Связанные с беременностью изменения в</w:t>
      </w:r>
      <w:r w:rsidR="002750F1" w:rsidRPr="00916B3A">
        <w:rPr>
          <w:rFonts w:ascii="Times New Roman" w:hAnsi="Times New Roman" w:cs="Times New Roman"/>
          <w:sz w:val="28"/>
          <w:szCs w:val="28"/>
          <w:lang w:val="kk-KZ"/>
        </w:rPr>
        <w:t xml:space="preserve"> </w:t>
      </w:r>
      <w:r w:rsidR="002750F1" w:rsidRPr="00916B3A">
        <w:rPr>
          <w:rFonts w:ascii="Times New Roman" w:hAnsi="Times New Roman" w:cs="Times New Roman"/>
          <w:sz w:val="28"/>
          <w:szCs w:val="28"/>
        </w:rPr>
        <w:t>иммунных клет</w:t>
      </w:r>
      <w:r w:rsidR="0039093F" w:rsidRPr="00916B3A">
        <w:rPr>
          <w:rFonts w:ascii="Times New Roman" w:hAnsi="Times New Roman" w:cs="Times New Roman"/>
          <w:sz w:val="28"/>
          <w:szCs w:val="28"/>
        </w:rPr>
        <w:t>ках</w:t>
      </w:r>
      <w:r w:rsidR="002750F1" w:rsidRPr="00916B3A">
        <w:rPr>
          <w:rFonts w:ascii="Times New Roman" w:hAnsi="Times New Roman" w:cs="Times New Roman"/>
          <w:sz w:val="28"/>
          <w:szCs w:val="28"/>
        </w:rPr>
        <w:t xml:space="preserve"> и системы, происходящие в эндометрии и децидуа во время беременности, определены лишь частично.</w:t>
      </w:r>
      <w:r w:rsidR="002750F1" w:rsidRPr="00916B3A">
        <w:rPr>
          <w:rFonts w:ascii="Times New Roman" w:hAnsi="Times New Roman" w:cs="Times New Roman"/>
          <w:sz w:val="28"/>
          <w:szCs w:val="28"/>
          <w:lang w:val="kk-KZ"/>
        </w:rPr>
        <w:t xml:space="preserve"> </w:t>
      </w:r>
      <w:r w:rsidR="002750F1" w:rsidRPr="00916B3A">
        <w:rPr>
          <w:rFonts w:ascii="Times New Roman" w:hAnsi="Times New Roman" w:cs="Times New Roman"/>
          <w:sz w:val="28"/>
          <w:szCs w:val="28"/>
        </w:rPr>
        <w:t>Тем не менее, с точки зрения успеха имплантации, наиболее важные изменения, известные на сегодняшний день</w:t>
      </w:r>
      <w:r w:rsidR="002750F1" w:rsidRPr="00916B3A">
        <w:rPr>
          <w:rFonts w:ascii="Times New Roman" w:hAnsi="Times New Roman" w:cs="Times New Roman"/>
          <w:sz w:val="28"/>
          <w:szCs w:val="28"/>
          <w:lang w:val="kk-KZ"/>
        </w:rPr>
        <w:t xml:space="preserve"> </w:t>
      </w:r>
      <w:r w:rsidR="002750F1" w:rsidRPr="00916B3A">
        <w:rPr>
          <w:rFonts w:ascii="Times New Roman" w:hAnsi="Times New Roman" w:cs="Times New Roman"/>
          <w:sz w:val="28"/>
          <w:szCs w:val="28"/>
        </w:rPr>
        <w:t>в иммунных клетках эндометрия включают макрофаги, маточные естественные киллерные (NK) клетки, дендритные</w:t>
      </w:r>
      <w:r w:rsidR="002750F1" w:rsidRPr="00916B3A">
        <w:rPr>
          <w:rFonts w:ascii="Times New Roman" w:hAnsi="Times New Roman" w:cs="Times New Roman"/>
          <w:sz w:val="28"/>
          <w:szCs w:val="28"/>
          <w:lang w:val="kk-KZ"/>
        </w:rPr>
        <w:t xml:space="preserve"> </w:t>
      </w:r>
      <w:r w:rsidR="002750F1" w:rsidRPr="00916B3A">
        <w:rPr>
          <w:rFonts w:ascii="Times New Roman" w:hAnsi="Times New Roman" w:cs="Times New Roman"/>
          <w:sz w:val="28"/>
          <w:szCs w:val="28"/>
        </w:rPr>
        <w:t xml:space="preserve">клетки (DCs), Т-клетки, особенно цитолитические Т-клетки (CTLs), чьи специфические роли были, по крайней мере частично, определены. </w:t>
      </w:r>
      <w:r w:rsidRPr="00916B3A">
        <w:rPr>
          <w:rFonts w:ascii="Times New Roman" w:hAnsi="Times New Roman" w:cs="Times New Roman"/>
          <w:sz w:val="28"/>
          <w:szCs w:val="28"/>
        </w:rPr>
        <w:t>Точные механизмы, лежащие в основе набора и дифференциации резидентных в матке лимфоцитов, неясны, хотя вполне вероятно, что они зависят от децидуальных клеток, создающих микросреду, благоприятную для и</w:t>
      </w:r>
      <w:r w:rsidR="00C45D79" w:rsidRPr="00916B3A">
        <w:rPr>
          <w:rFonts w:ascii="Times New Roman" w:hAnsi="Times New Roman" w:cs="Times New Roman"/>
          <w:sz w:val="28"/>
          <w:szCs w:val="28"/>
        </w:rPr>
        <w:t>мплантации и плацентации</w:t>
      </w:r>
      <w:r w:rsidR="00C45D79"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{"citationItems":[{"id":"ITEM-1","itemData":{"DOI":"10.1093/humupd/dmt056","ISSN":"14602369","PMID":"24285824","abstract":"Introduction: Embryo implantation is a complex process involving maternal hormonal changes, immune responses and maturational events in the embryo. A pregnancy could fail when these events are not synchronized. It is speculated that in women, an elevation of natural killer (NK) cells may have an effect on reproductive performance, and NK cell levels in blood are currently being used as a diagnostic test to guide the initiation of therapies in patients with infertility. Methods: We conducted a systematic review to evaluate the (i) levels of NK cells in blood and endometrium in infertile versus fertile women, (ii) association between NK cells and IVF outcome, (iii) levels of NK cells in blood and endometrium in women with recurrent miscarriage (RM) versus controls. The following electronic databases were searched: Medline, EMBASE, Cochrane Library, Web of Science and National Research Register. Results: A total of 22 studies were included. Meta-analysis of studies that evaluated peripheral and uterine NK (uNK) cell percentages in infertile versus fertile women showed no significant difference between the two groups [standardized mean difference (SMD) -0.33; 95% confidence intervals (CI) -1.06, 0.4; P = 0.37; SMD -1.82; 95% CI -4.80, 1.17; P = 0.23 respectively]. Pooling of studies that reported peripheral NK cells as numbers showed significantly higher NK cell numbers in infertile women compared with fertile controls (SMD 3.16; 95% CI 1.07, 5.24; P = 0.003). Meta-analysis of studies that evaluated the role of NK cells in IVF outcome showed no significant difference in live birth rates in women with elevated NK cells or NK cell activity compared with women without elevated peripheral NK cells or NK cell activity (NK activity assessed using a cytotoxicity assay) (relative risk 0.57; 95% CI 0.06, 5.22; P = 0.62). Meta-analysis of studies that evaluated peripheral NK cell percentages in women with RM versus controls showed significantly higher NK cell percentages in women with RM (SMD 1.36; 95% CI 0.04, 2.69; P = 0.04). Meta-analysis of studies that evaluated peripheral NK cell numbers showed significantly higher NK cell numbers in women with RM compared with controls (SMD 0.81; 95% CI 0.47, 1.16; P &lt; 0.00001). Meta-analysis of studies that evaluated uNK cells showed no significant difference in women with RM compared with controls (SMD 0.40; 95% CI -1.24, 2.04; P = 0.63). Conclusions: Further research is needed before NK cell assessment can be recommended as…","author":[{"dropping-particle":"","family":"Seshadri","given":"Srividya","non-dropping-particle":"","parse-names":false,"suffix":""},{"dropping-particle":"","family":"Sunkara","given":"Sesh Kamal","non-dropping-particle":"","parse-names":false,"suffix":""}],"container-title":"Human Reproduction Update","id":"ITEM-1","issue":"3","issued":{"date-parts":[["2014"]]},"page":"429-438","title":"Natural killer cells in female infertility and recurrent miscarriage: A systematic review and meta-analysis","type":"article-journal","volume":"20"},"uris":["http://www.mendeley.com/documents/?uuid=68d85dc9-7270-4dc8-8b60-44693b96152a"]}],"mendeley":{"formattedCitation":"[13]","plainTextFormattedCitation":"[13]","previouslyFormattedCitation":"(13)"},"properties":{"noteIndex":0},"schema":"https://github.com/citation-style-language/schema/raw/master/csl-citation.json"}</w:instrText>
      </w:r>
      <w:r w:rsidR="00C45D79"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[13</w:t>
      </w:r>
      <w:r w:rsidR="009170EC">
        <w:rPr>
          <w:rFonts w:ascii="Times New Roman" w:hAnsi="Times New Roman" w:cs="Times New Roman"/>
          <w:noProof/>
          <w:sz w:val="28"/>
          <w:szCs w:val="28"/>
        </w:rPr>
        <w:t>, с. 429</w:t>
      </w:r>
      <w:r w:rsidR="008C6800" w:rsidRPr="008C6800">
        <w:rPr>
          <w:rFonts w:ascii="Times New Roman" w:hAnsi="Times New Roman" w:cs="Times New Roman"/>
          <w:noProof/>
          <w:sz w:val="28"/>
          <w:szCs w:val="28"/>
        </w:rPr>
        <w:t>]</w:t>
      </w:r>
      <w:r w:rsidR="00C45D79" w:rsidRPr="00916B3A">
        <w:rPr>
          <w:rFonts w:ascii="Times New Roman" w:hAnsi="Times New Roman" w:cs="Times New Roman"/>
          <w:sz w:val="28"/>
          <w:szCs w:val="28"/>
        </w:rPr>
        <w:fldChar w:fldCharType="end"/>
      </w:r>
      <w:r w:rsidR="008C6800">
        <w:rPr>
          <w:rFonts w:ascii="Times New Roman" w:hAnsi="Times New Roman" w:cs="Times New Roman"/>
          <w:sz w:val="28"/>
          <w:szCs w:val="28"/>
        </w:rPr>
        <w:t>.</w:t>
      </w:r>
      <w:r w:rsidRPr="00916B3A">
        <w:rPr>
          <w:rFonts w:ascii="Times New Roman" w:hAnsi="Times New Roman" w:cs="Times New Roman"/>
          <w:sz w:val="28"/>
          <w:szCs w:val="28"/>
        </w:rPr>
        <w:t xml:space="preserve"> Одним из примеров этого процесса является секреция IFNγ и VEGFα маточным NK-клетками памяти у многорожавших женщин, которые стимулируют ангиогенез и сосудистое</w:t>
      </w:r>
      <w:r w:rsidR="00C45D79" w:rsidRPr="00916B3A">
        <w:rPr>
          <w:rFonts w:ascii="Times New Roman" w:hAnsi="Times New Roman" w:cs="Times New Roman"/>
          <w:sz w:val="28"/>
          <w:szCs w:val="28"/>
        </w:rPr>
        <w:t xml:space="preserve"> ремоделирование трофобластом</w:t>
      </w:r>
      <w:r w:rsidRPr="00916B3A">
        <w:rPr>
          <w:rFonts w:ascii="Times New Roman" w:hAnsi="Times New Roman" w:cs="Times New Roman"/>
          <w:sz w:val="28"/>
          <w:szCs w:val="28"/>
        </w:rPr>
        <w:t xml:space="preserve">. После менструации повышение уровня эстрогена в яичниках приводит к быстрой пролиферации эндометриальных клеток перед овуляцией. Интенсивная пролиферация может вызвать репликационный стресс и состояние, предшествующее старению. После постовуляторного повышения уровня прогестерона эндометрий становится временно восприимчивым к имплантирующейся бластоцисте во время средней лютеиновой фазы цикла. Бластоциста прочно прикрепляется к эндометриальному люминальному эпителию, инициируя имплантацию и инвазию в эндометрий. Это окно имплантации также совпадает с интенсивным ремоделированием тканей в строме, вызванным дифференциацией стромальных клеток в специализированные децидуальные клетки и </w:t>
      </w:r>
      <w:r w:rsidR="00C45D79" w:rsidRPr="00916B3A">
        <w:rPr>
          <w:rFonts w:ascii="Times New Roman" w:hAnsi="Times New Roman" w:cs="Times New Roman"/>
          <w:sz w:val="28"/>
          <w:szCs w:val="28"/>
        </w:rPr>
        <w:t xml:space="preserve">накоплением </w:t>
      </w:r>
      <w:r w:rsidR="00C37FFB" w:rsidRPr="00916B3A">
        <w:rPr>
          <w:rFonts w:ascii="Times New Roman" w:hAnsi="Times New Roman" w:cs="Times New Roman"/>
          <w:sz w:val="28"/>
          <w:szCs w:val="28"/>
        </w:rPr>
        <w:t>NK-</w:t>
      </w:r>
      <w:r w:rsidR="00C45D79" w:rsidRPr="00916B3A">
        <w:rPr>
          <w:rFonts w:ascii="Times New Roman" w:hAnsi="Times New Roman" w:cs="Times New Roman"/>
          <w:sz w:val="28"/>
          <w:szCs w:val="28"/>
        </w:rPr>
        <w:t xml:space="preserve">клеток </w:t>
      </w:r>
      <w:r w:rsidRPr="00916B3A">
        <w:rPr>
          <w:rFonts w:ascii="Times New Roman" w:hAnsi="Times New Roman" w:cs="Times New Roman"/>
          <w:sz w:val="28"/>
          <w:szCs w:val="28"/>
        </w:rPr>
        <w:t>матки. Предстареющие стромальные клетки появляются в результате этого процесса как стареющие децидуальные клетки, которые являются сильно воспалительными, производят обилие внеклеточных матричных белков и вызывают вторичное старение в соседних децидуальных клетках. Чтобы избежать этой судьбы, децидуальные клетки секретируют IL-15 и другие факторы, участвующие в рекрутировании и активации NK-клеток матки, которые, в свою очередь, нацеливаются на стареющие децидуальные клетки и устраняют их</w:t>
      </w:r>
      <w:r w:rsidR="00C45D79"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{"citationItems":[{"id":"ITEM-1","itemData":{"DOI":"10.5935/1518-0557.20190061","ISSN":"15180557","PMID":"31589391","abstract":"Objective: Our primary objective was to evaluate the endometrial changes before and after the transfer of endo-metrial mesenchymal stem cells (enMSCs) in a population of thinned endometrium women, with absence or hypo-re-sponsiveness to estrogen and repeated implantation failure (RIF). The secondary objective was to evaluate the clinical outcomes of the intervention in terms of clinical pregnancy (CP), early abortions, ongoing pregnancy and live birth delivery rate (LBDR) per in vitro fertilization (IVF) cycle. Methods: A longitudinal and experimental study. The intervention was defined as \"subendometrial inoculation of enMSCs,\" and the post-intervention changes were evaluated by the following variables: endometrial thickness (Eth), endometrial flow cytometry (enFC), endometrial histopa-thology (enHP) and endometrial immunohistochemistry (enIHQ). The variables were analyzed after the intervention (Post-treatment) regarding previous values (Pretreat-ment). Results: Eth values before and after treatment with enMSCs were 5.24±1.24 mm vs. 9.93±0.77 (p=0.000), respectively. Endometrial Flow Cytometry showed significant differences in favor of Normalized variables in the post-treatment assessment, associated with the pre-treatment, LT/Li, LB/Li, NK/Li, CD8/CD3+ and CD4/CD8 (p≤0.015), respectively. Only two variables Li/PC and CD4/ CD3 had NS (p=0.167 and 0.118). A similar analysis was performed on enHP with an HP increase post-treatment (p=0.007). The CP rate was 79.31% (23/29), a live birth delivery rate per embryo transfer was 45.45% (10/22) and ongoing pregnancy 7/29 (24.14%). Conclusion: Subendometrial enMSCs inoculation produces a significant increase in endometrial thickness; normalize the enHP, enIHQ and enFC. As a result, IVF after treatment with enMSCs yields a higher rate of CP and LBDR.","author":[{"dropping-particle":"","family":"Tersoglio","given":"Alberto E.","non-dropping-particle":"","parse-names":false,"suffix":""},{"dropping-particle":"","family":"Tersoglio","given":"Sebastian","non-dropping-particle":"","parse-names":false,"suffix":""},{"dropping-particle":"","family":"Salatino","given":"Dante R.","non-dropping-particle":"","parse-names":false,"suffix":""},{"dropping-particle":"","family":"Castro","given":"Matías","non-dropping-particle":"","parse-names":false,"suffix":""},{"dropping-particle":"","family":"Gonzalez","given":"Adriana","non-dropping-particle":"","parse-names":false,"suffix":""},{"dropping-particle":"","family":"Hinojosa","given":"Mariana","non-dropping-particle":"","parse-names":false,"suffix":""},{"dropping-particle":"","family":"Castellano","given":"Onias","non-dropping-particle":"","parse-names":false,"suffix":""}],"container-title":"Jornal Brasileiro de Reproducao Assistida","id":"ITEM-1","issue":"2","issued":{"date-parts":[["2020"]]},"page":"118-127","title":"Regenerative therapy by endometrial mesenchymal stem cells in thin endometrium with repeated implantation failure. A novel strategy","type":"article-journal","volume":"24"},"uris":["http://www.mendeley.com/documents/?uuid=b627ae19-0af0-4499-8648-0e14daa5ea3e"]}],"mendeley":{"formattedCitation":"[31]","plainTextFormattedCitation":"[31]","previouslyFormattedCitation":"(31)"},"properties":{"noteIndex":0},"schema":"https://github.com/citation-style-language/schema/raw/master/csl-citation.json"}</w:instrText>
      </w:r>
      <w:r w:rsidR="00C45D79"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[31</w:t>
      </w:r>
      <w:r w:rsidR="009170EC">
        <w:rPr>
          <w:rFonts w:ascii="Times New Roman" w:hAnsi="Times New Roman" w:cs="Times New Roman"/>
          <w:noProof/>
          <w:sz w:val="28"/>
          <w:szCs w:val="28"/>
        </w:rPr>
        <w:t>, с. 118</w:t>
      </w:r>
      <w:r w:rsidR="008C6800" w:rsidRPr="008C6800">
        <w:rPr>
          <w:rFonts w:ascii="Times New Roman" w:hAnsi="Times New Roman" w:cs="Times New Roman"/>
          <w:noProof/>
          <w:sz w:val="28"/>
          <w:szCs w:val="28"/>
        </w:rPr>
        <w:t>]</w:t>
      </w:r>
      <w:r w:rsidR="00C45D79" w:rsidRPr="00916B3A">
        <w:rPr>
          <w:rFonts w:ascii="Times New Roman" w:hAnsi="Times New Roman" w:cs="Times New Roman"/>
          <w:sz w:val="28"/>
          <w:szCs w:val="28"/>
        </w:rPr>
        <w:fldChar w:fldCharType="end"/>
      </w:r>
      <w:r w:rsidRPr="00916B3A">
        <w:rPr>
          <w:rFonts w:ascii="Times New Roman" w:hAnsi="Times New Roman" w:cs="Times New Roman"/>
          <w:sz w:val="28"/>
          <w:szCs w:val="28"/>
        </w:rPr>
        <w:t>. Очистка стареющих децидуальных клеток местными врожденными иммунными клетками омолаживает эндометрий при имплантации и имеет решающее значение для успешной трансформации стромы в децидуальную ткань беременности. Вскоре после имплантации линии плацентарных клеток быстро пролиферируют, и многочисленные ворсинки покрывают хорионический мешок. Каждая ворсинка состоит из мезодермального ядра, окруженного внутренним слоем клеток-предшественников цитотрофобласта и внешни</w:t>
      </w:r>
      <w:r w:rsidR="00C45D79" w:rsidRPr="00916B3A">
        <w:rPr>
          <w:rFonts w:ascii="Times New Roman" w:hAnsi="Times New Roman" w:cs="Times New Roman"/>
          <w:sz w:val="28"/>
          <w:szCs w:val="28"/>
        </w:rPr>
        <w:t>м слоем синцитиотрофобласта</w:t>
      </w:r>
      <w:r w:rsidRPr="00916B3A">
        <w:rPr>
          <w:rFonts w:ascii="Times New Roman" w:hAnsi="Times New Roman" w:cs="Times New Roman"/>
          <w:sz w:val="28"/>
          <w:szCs w:val="28"/>
        </w:rPr>
        <w:t>. На кончике ворсины клетки цитотрофобласта прерывают синцитиотрофобласт и сначала формируют столбчатую структуру, состоящую из клеток цитотрофобласта, прежде чем распространиться латерально, чтобы окружить весь зародыш. Эта цитотрофобластическая оболочка прикрепляет плаценту к децидуальной оболочке, а вневорс</w:t>
      </w:r>
      <w:r w:rsidR="00C45D79" w:rsidRPr="00916B3A">
        <w:rPr>
          <w:rFonts w:ascii="Times New Roman" w:hAnsi="Times New Roman" w:cs="Times New Roman"/>
          <w:sz w:val="28"/>
          <w:szCs w:val="28"/>
        </w:rPr>
        <w:t xml:space="preserve">инчатые клетки трофобласта </w:t>
      </w:r>
      <w:r w:rsidRPr="00916B3A">
        <w:rPr>
          <w:rFonts w:ascii="Times New Roman" w:hAnsi="Times New Roman" w:cs="Times New Roman"/>
          <w:sz w:val="28"/>
          <w:szCs w:val="28"/>
        </w:rPr>
        <w:t>мигрируют и закупоривают терминальные ветви маточных спиральных артерий. Следовательно, зародыш запечатан и развивается при низком напряжении кислорода в критический период органогенеза, питаясь обильными железистыми выделениями. Низкоуровневая инфекция эндометрия может вызвать хронический эндометрит, характеризующийся притоком плазматических клеток. Механизмы, которые связывают инфильтрацию плазматических клеток с последующей потерей беременности, не полностью изучены, но, вероятно, включают хроническое воспаление и аберрантные врожденные иммунные реакции</w:t>
      </w:r>
      <w:r w:rsidR="00C45D79"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{"citationItems":[{"id":"ITEM-1","itemData":{"DOI":"10.1016/j.fertnstert.2019.09.001","ISSN":"15565653","PMID":"31718829","abstract":"Objective: To investigate whether chronic endometritis (CE) affects the immune status of peripheral blood and endometrium in patients with recurrent reproductive failure (RRF). Design: Retrospective study. Setting: Private fertility center. Patients(s): A total of 524 RRF patients, including 324 women with recurrent miscarriage (RM) and 200 women with recurrent implantation failure (RIF). Intervention(s): Peripheral blood and endometrium samples were collected in the midluteal phase before in vitro fertilization treatment or pregnancy. The number of peripheral T, natural killer (NK), and B cells, as well as cytotoxicity of NK cells and expression of TH1 cytokines were analyzed with the use of flow cytometry, and uterine immune cells were subjected to immunohistochemistry. Main Outcome Measure(s): Peripheral immune cells, cytokines, NK cytotoxicity, and endometrial immune cells were compared in RRF patients with versus without CE. Result(s): The proportion and function of the analyzed immune cell subsets in peripheral blood as well as the percentages of CD56+ NK cells, CD163+ M2 macrophages, and CD1a+ immature dendritic cells in the endometrium were not significantly altered between non-CE and CE patients, whereas the proportions of uterine CD68+ macrophages, CD83+ mature dendritic cells, CD8+ T cells, and Foxp3+ regulatory T cells were significantly elevated in CE patients. After antibiotic treatment, the percentage of CD68+ macrophages, CD83+ mature dendritic cells, CD8+ T cells, and Foxp3+ regulatory T cells in endometrium were significantly reduced in patients with cured CE. Conclusion(s): CE contributes to elevated endometrial infiltration levels of immune cells. The excessive presence of endometrial immune cells in CE patients may be involved in reduced endometrial receptivity and recurrent pregnancy failures.","author":[{"dropping-particle":"","family":"Li","given":"Yuye","non-dropping-particle":"","parse-names":false,"suffix":""},{"dropping-particle":"","family":"Yu","given":"Shuyi","non-dropping-particle":"","parse-names":false,"suffix":""},{"dropping-particle":"","family":"Huang","given":"Chunyu","non-dropping-particle":"","parse-names":false,"suffix":""},{"dropping-particle":"","family":"Lian","given":"Ruochun","non-dropping-particle":"","parse-names":false,"suffix":""},{"dropping-particle":"","family":"Chen","given":"Cong","non-dropping-particle":"","parse-names":false,"suffix":""},{"dropping-particle":"","family":"Liu","given":"Su","non-dropping-particle":"","parse-names":false,"suffix":""},{"dropping-particle":"","family":"Li","given":"Longfei","non-dropping-particle":"","parse-names":false,"suffix":""},{"dropping-particle":"","family":"Diao","given":"Lianghui","non-dropping-particle":"","parse-names":false,"suffix":""},{"dropping-particle":"","family":"Markert","given":"Udo R.","non-dropping-particle":"","parse-names":false,"suffix":""},{"dropping-particle":"","family":"Zeng","given":"Yong","non-dropping-particle":"","parse-names":false,"suffix":""}],"container-title":"Fertility and Sterility","id":"ITEM-1","issue":"1","issued":{"date-parts":[["2020"]]},"page":"187-196.e1","publisher":"Elsevier Inc.","title":"Evaluation of peripheral and uterine immune status of chronic endometritis in patients with recurrent reproductive failure","type":"article-journal","volume":"113"},"uris":["http://www.mendeley.com/documents/?uuid=525360e0-21dd-45b7-b89a-355b338e7c75"]}],"mendeley":{"formattedCitation":"[32]","plainTextFormattedCitation":"[32]","previouslyFormattedCitation":"(32)"},"properties":{"noteIndex":0},"schema":"https://github.com/citation-style-language/schema/raw/master/csl-citation.json"}</w:instrText>
      </w:r>
      <w:r w:rsidR="00C45D79"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[32</w:t>
      </w:r>
      <w:r w:rsidR="009170EC">
        <w:rPr>
          <w:rFonts w:ascii="Times New Roman" w:hAnsi="Times New Roman" w:cs="Times New Roman"/>
          <w:noProof/>
          <w:sz w:val="28"/>
          <w:szCs w:val="28"/>
        </w:rPr>
        <w:t>, с. 187</w:t>
      </w:r>
      <w:r w:rsidR="008C6800" w:rsidRPr="008C6800">
        <w:rPr>
          <w:rFonts w:ascii="Times New Roman" w:hAnsi="Times New Roman" w:cs="Times New Roman"/>
          <w:noProof/>
          <w:sz w:val="28"/>
          <w:szCs w:val="28"/>
        </w:rPr>
        <w:t>]</w:t>
      </w:r>
      <w:r w:rsidR="00C45D79"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p>
    <w:p w14:paraId="698235EA" w14:textId="043A210D" w:rsidR="00527FAA" w:rsidRPr="00916B3A" w:rsidRDefault="00527FAA" w:rsidP="009170EC">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Хронический эндометрит был впервые выделен как заболевание в международной статистической классификации болезней </w:t>
      </w:r>
      <w:r w:rsidRPr="00916B3A">
        <w:rPr>
          <w:rFonts w:ascii="Times New Roman" w:hAnsi="Times New Roman" w:cs="Times New Roman"/>
          <w:sz w:val="28"/>
          <w:szCs w:val="28"/>
          <w:lang w:val="en-US"/>
        </w:rPr>
        <w:t>IX</w:t>
      </w:r>
      <w:r w:rsidRPr="00916B3A">
        <w:rPr>
          <w:rFonts w:ascii="Times New Roman" w:hAnsi="Times New Roman" w:cs="Times New Roman"/>
          <w:sz w:val="28"/>
          <w:szCs w:val="28"/>
        </w:rPr>
        <w:t xml:space="preserve"> пересмотра 1975 года, а с 1997 г. фигурирует в качестве отдельной нозологической формы в МКБ-10.</w:t>
      </w:r>
      <w:r w:rsidR="000D0865" w:rsidRPr="00916B3A">
        <w:rPr>
          <w:rFonts w:ascii="Times New Roman" w:hAnsi="Times New Roman" w:cs="Times New Roman"/>
          <w:sz w:val="28"/>
          <w:szCs w:val="28"/>
        </w:rPr>
        <w:t xml:space="preserve"> </w:t>
      </w:r>
      <w:r w:rsidR="00190FC3" w:rsidRPr="00916B3A">
        <w:rPr>
          <w:rFonts w:ascii="Times New Roman" w:hAnsi="Times New Roman" w:cs="Times New Roman"/>
          <w:sz w:val="28"/>
          <w:szCs w:val="28"/>
        </w:rPr>
        <w:t>На Международном конгрессе в Барселоне в 2007 году было принято решение ставить диагноз и проводить лечение хронического эндометрита у всех женщин, переживших хотя бы одну неразвивающуюся беременность. У пациенток с диагнозом «бесплодие», которые долгое время лечились всеми возможными методами, включая вспомогательные репродуктивные технологии, хронический эндометрит выявляется в 60% случаев.</w:t>
      </w:r>
      <w:r w:rsidR="009170EC">
        <w:rPr>
          <w:rFonts w:ascii="Times New Roman" w:hAnsi="Times New Roman" w:cs="Times New Roman"/>
          <w:sz w:val="28"/>
          <w:szCs w:val="28"/>
        </w:rPr>
        <w:t xml:space="preserve"> </w:t>
      </w:r>
      <w:r w:rsidRPr="00916B3A">
        <w:rPr>
          <w:rFonts w:ascii="Times New Roman" w:hAnsi="Times New Roman" w:cs="Times New Roman"/>
          <w:sz w:val="28"/>
          <w:szCs w:val="28"/>
        </w:rPr>
        <w:t>В 2007 году на международном конгрессе в Барселоне (Испания) был принят консенсус выставлять диагноз и лечить хронический эндометрит у всех женщин, перенесших хотя бы одну неразвивающуюся беременность. Сложность диагностики хронического эндометрита определяется бессимптомной персистенцией в эндометрии смешанной вирусно-бактериальной флоры. В большинстве случаев инфекция обнаруживается не в цервикальном канале, а в биоптате эндометрия, причем воспалительные изменения наблюдаются как в функциональном, так и базальном слое эндометрия</w:t>
      </w:r>
      <w:r w:rsidR="009170EC" w:rsidRPr="00916B3A">
        <w:rPr>
          <w:rFonts w:ascii="Times New Roman" w:hAnsi="Times New Roman" w:cs="Times New Roman"/>
          <w:sz w:val="28"/>
          <w:szCs w:val="28"/>
        </w:rPr>
        <w:fldChar w:fldCharType="begin" w:fldLock="1"/>
      </w:r>
      <w:r w:rsidR="009170EC">
        <w:rPr>
          <w:rFonts w:ascii="Times New Roman" w:hAnsi="Times New Roman" w:cs="Times New Roman"/>
          <w:sz w:val="28"/>
          <w:szCs w:val="28"/>
        </w:rPr>
        <w:instrText>ADDIN CSL_CITATION {"citationItems":[{"id":"ITEM-1","itemData":{"ISBN":"978-5-905796-73-9","author":[{"dropping-particle":"","family":"Радзинский","given":"В. Е.","non-dropping-particle":"","parse-names":false,"suffix":""},{"dropping-particle":"","family":"Маклецова","given":"С. А.","non-dropping-particle":"","parse-names":false,"suffix":""},{"dropping-particle":"","family":"Алеев","given":"И. А.","non-dropping-particle":"","parse-names":false,"suffix":""},{"dropping-particle":"","family":"Руднева","given":"О. Д.","non-dropping-particle":"","parse-names":false,"suffix":""},{"dropping-particle":"","family":"Рябинкина","given":"Т. С.","non-dropping-particle":"","parse-names":false,"suffix":""}],"id":"ITEM-1","issued":{"date-parts":[["2015"]]},"number-of-pages":"48","title":"Неразвивающаяся Беременность. Методические Рекомендации Марс (Междисциплинарной Ассоциации Специалистов Репродуктивной Медицины)","type":"book"},"uris":["http://www.mendeley.com/documents/?uuid=7938ddc3-a2ad-41db-836a-0cdada0212ef"]}],"mendeley":{"formattedCitation":"[37]","plainTextFormattedCitation":"[37]","previouslyFormattedCitation":"(37)"},"properties":{"noteIndex":0},"schema":"https://github.com/citation-style-language/schema/raw/master/csl-citation.json"}</w:instrText>
      </w:r>
      <w:r w:rsidR="009170EC" w:rsidRPr="00916B3A">
        <w:rPr>
          <w:rFonts w:ascii="Times New Roman" w:hAnsi="Times New Roman" w:cs="Times New Roman"/>
          <w:sz w:val="28"/>
          <w:szCs w:val="28"/>
        </w:rPr>
        <w:fldChar w:fldCharType="separate"/>
      </w:r>
      <w:r w:rsidR="009170EC" w:rsidRPr="008C6800">
        <w:rPr>
          <w:rFonts w:ascii="Times New Roman" w:hAnsi="Times New Roman" w:cs="Times New Roman"/>
          <w:noProof/>
          <w:sz w:val="28"/>
          <w:szCs w:val="28"/>
        </w:rPr>
        <w:t>[37]</w:t>
      </w:r>
      <w:r w:rsidR="009170EC"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p>
    <w:p w14:paraId="42E8E549" w14:textId="3208A80C" w:rsidR="00F81FA6" w:rsidRPr="00916B3A" w:rsidRDefault="00F81FA6" w:rsidP="00997125">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Успешная имплантация при экстракорпоральном оплодотворении (ЭКО) и переносе эмбрионов зависит от многих факторов, включая качество эмбрионов и восприимчивость матки. Восприимчивость эндометрия определяется как временная уникальная последовательность факторов, которые делают эндометрий восприимчивым к имплантации эмбриона. Это период времени, когда среда в матке благоприятна для принятия бластоцисты и последующей имплантации</w:t>
      </w:r>
      <w:r w:rsidRPr="00916B3A">
        <w:rPr>
          <w:rFonts w:ascii="Times New Roman" w:hAnsi="Times New Roman" w:cs="Times New Roman"/>
          <w:sz w:val="28"/>
          <w:szCs w:val="28"/>
        </w:rPr>
        <w:fldChar w:fldCharType="begin" w:fldLock="1"/>
      </w:r>
      <w:r w:rsidR="009170EC">
        <w:rPr>
          <w:rFonts w:ascii="Times New Roman" w:hAnsi="Times New Roman" w:cs="Times New Roman"/>
          <w:sz w:val="28"/>
          <w:szCs w:val="28"/>
        </w:rPr>
        <w:instrText>ADDIN CSL_CITATION {"citationItems":[{"id":"ITEM-1","itemData":{"DOI":"10.1093/hropen/hoab011","abstract":"This article summarises and contextualises the accumulated basic and clinical data on the ERA test and addresses specific comments and opinions presented by the opponent as part of an invited debate. Progress in medicine depends on new technologies and concepts that translate to practice to solve long-standing problems. In a key example, combining RNA sequencing data (transcriptomics) with artificial intelligence (AI) led to a clinical revolution in personalising disease diagnosis and fostered the concept of precision medicine. The reproductive field is no exception. Translation of endometrial transcriptomics to the clinic yielded an objective definition of the limited time period during which the maternal endometrium is receptive to an embryo, known as the window of implantation (WOI). The WOI is induced by the presence of exogenous and/or endogenous progesterone (P) after proper oestradiol (E2) priming. The window lasts 30–36 hours and, depending on the patient, occurs between LH + 6 and LH + 9 in natural cycles or between P + 4 and P + 7 in hormonal replacement therapy (HRT) cycles. In approximately 30% of IVF cycles in which embryo transfer is performed blindly, the WOI is displaced and embryo-endometrial synchrony is not achieved. Extending this application of endometrial transcriptomics, the endometrial receptivity analysis (ERA) test couples next-generation sequencing (NGS) to a computational predictor to identify transcriptomic signatures for each endometrial stage: proliferative (PRO), pre-receptive (PRE), receptive (R) and post-receptive (POST). In this way, personalised embryo transfer (pET) may be possible by synchronising embryo transfer with each patient’s WOI. Data are the only way to confront arguments sustained in opinions and/or misleading concepts; it is up to the reader to make their own conclusions regarding its clinical utility.","author":[{"dropping-particle":"","family":"Ruiz-Alonso","given":"Maria","non-dropping-particle":"","parse-names":false,"suffix":""},{"dropping-particle":"","family":"Valbuena","given":"Diana","non-dropping-particle":"","parse-names":false,"suffix":""},{"dropping-particle":"","family":"Gomez","given":"Carlos","non-dropping-particle":"","parse-names":false,"suffix":""},{"dropping-particle":"","family":"Cuzzi","given":"Juliana","non-dropping-particle":"","parse-names":false,"suffix":""},{"dropping-particle":"","family":"Simon","given":"Carlos","non-dropping-particle":"","parse-names":false,"suffix":""}],"container-title":"Human Reproduction Open","id":"ITEM-1","issue":"2","issued":{"date-parts":[["2021"]]},"page":"1-11","title":"Endometrial Receptivity Analysis (ERA): data versus opinions","type":"article-journal","volume":"2021"},"uris":["http://www.mendeley.com/documents/?uuid=dbd5fd89-4cd2-4765-be35-7b9c50c3331a"]}],"mendeley":{"formattedCitation":"[34]","manualFormatting":"[34, с. 2]","plainTextFormattedCitation":"[34]","previouslyFormattedCitation":"(34)"},"properties":{"noteIndex":0},"schema":"https://github.com/citation-style-language/schema/raw/master/csl-citation.json"}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[34</w:t>
      </w:r>
      <w:r w:rsidR="009170EC">
        <w:rPr>
          <w:rFonts w:ascii="Times New Roman" w:hAnsi="Times New Roman" w:cs="Times New Roman"/>
          <w:noProof/>
          <w:sz w:val="28"/>
          <w:szCs w:val="28"/>
        </w:rPr>
        <w:t>, с. 2</w:t>
      </w:r>
      <w:r w:rsidR="008C6800" w:rsidRPr="008C6800">
        <w:rPr>
          <w:rFonts w:ascii="Times New Roman" w:hAnsi="Times New Roman" w:cs="Times New Roman"/>
          <w:noProof/>
          <w:sz w:val="28"/>
          <w:szCs w:val="28"/>
        </w:rPr>
        <w:t>]</w:t>
      </w:r>
      <w:r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p>
    <w:p w14:paraId="5A0A770C" w14:textId="618DD246" w:rsidR="00260FA0" w:rsidRPr="00916B3A" w:rsidRDefault="00260FA0" w:rsidP="00997125">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Несмотря на обязательные и дополнительные пакеты обследований перед процедурой ЭКО, существует группа пациенток, для которых требуется особый подход в ходе проведения цикла ЭКО. В этом контексте выявление факторов риска неудачной имплантации, включая организационные, поможет провести комплексную оценку качества программы ЭКО и разработать меры по профилактике выкидышей после процедуры</w:t>
      </w:r>
      <w:r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{"citationItems":[{"id":"ITEM-1","itemData":{"DOI":"10.26212/2227-1937.2024.72.69.010","ISSN":"22271937","abstract":"Репродуктивные потери в виде неудач имплантации достигают более 50% в программах экстракорпорального оплодотворения. Крайне актуальным является изучение факторов, оказывающих негативное влияние на результативность программ экстракорпорального оплодотворения. Цель работы: оценить результативность вспомогательных репродуктивных технологий до и после внедрения в Республике Казахстан Государственной программы «Аңсаған сәби». Материалы и методы: Мониторинг качества программы экстракорпорального оплодотворения проведен у 401 пациентки в 2020-2022 гг., в том числе в 2020 г – у 58, 2021 г. – у 133, 2022 г. – у 210 пациенток на базе Научного центра акушерства, гинекологии и перинатологии г. Алматы. Результаты: Внедрение Государственной программы «Аңсаған сәби» позволило увеличить количество процедур вспомогательных репродуктивных технологий в 2,2 раза в 2021 году и 1,6 раз в 2022 году, при этом средний показатель эффективности процедуры (наступление беременности) составил 29,6%. В 2021-2022 гг. увеличилась обращаемость пациенток с более благоприятным анамнезом, позволяющим увеличить шансы на успешность процедуры экстракорпорального оплодотворения (возраст до 34 лет, наличие трубного фактора), однако, в системе обязательного социального медицинского страхования сохраняется проблема недообследования пациенток перед экстракорпоральным оплодотворением, и как следствие, значимое увеличение доли потерь беременности (29,5%), недооценки других фактора риска неудач имплантации.","author":[{"dropping-particle":"","family":"Курманова","given":"А.М.","non-dropping-particle":"","parse-names":false,"suffix":""},{"dropping-particle":"","family":"Мамедалиева","given":"Н.М.","non-dropping-particle":"","parse-names":false,"suffix":""},{"dropping-particle":"","family":"Мошкалова","given":"Г.Н.","non-dropping-particle":"","parse-names":false,"suffix":""},{"dropping-particle":"","family":"Салимбаева","given":"Д.Н.","non-dropping-particle":"","parse-names":false,"suffix":""},{"dropping-particle":"","family":"Арипова","given":"Р.С.","non-dropping-particle":"","parse-names":false,"suffix":""},{"dropping-particle":"","family":"Анартаева","given":"Г.Ж.","non-dropping-particle":"","parse-names":false,"suffix":""}],"container-title":"Научно — Практический Журнал Фтизиопульмонология","id":"ITEM-1","issue":"2","issued":{"date-parts":[["2024"]]},"page":"74-81","title":"Мониторинг Качества Вспомогательных Репродуктивных Технологий В Системе Обязательного Социального Медицинского Страхования","type":"article-journal"},"uris":["http://www.mendeley.com/documents/?uuid=87c18e5b-756d-4252-9c85-ab26e58bc72b"]}],"mendeley":{"formattedCitation":"[20]","plainTextFormattedCitation":"[20]","previouslyFormattedCitation":"(20)"},"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[20</w:t>
      </w:r>
      <w:r w:rsidR="005F5385">
        <w:rPr>
          <w:rFonts w:ascii="Times New Roman" w:hAnsi="Times New Roman" w:cs="Times New Roman"/>
          <w:noProof/>
          <w:sz w:val="28"/>
          <w:szCs w:val="28"/>
        </w:rPr>
        <w:t>, с. 74</w:t>
      </w:r>
      <w:r w:rsidR="008C6800" w:rsidRPr="008C6800">
        <w:rPr>
          <w:rFonts w:ascii="Times New Roman" w:hAnsi="Times New Roman" w:cs="Times New Roman"/>
          <w:noProof/>
          <w:sz w:val="28"/>
          <w:szCs w:val="28"/>
        </w:rPr>
        <w:t>]</w:t>
      </w:r>
      <w:r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p>
    <w:p w14:paraId="2A7A7D86" w14:textId="56E59D4D" w:rsidR="00260FA0" w:rsidRPr="00916B3A" w:rsidRDefault="00260FA0" w:rsidP="00997125">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Исследования, посвящённые этиологии и патогенезу неудач имплантации, как первичных, так и повторных, остаются спорными и вызывают много разногласий. Несмотря на значительный прогресс в области вспомогательных репродуктивных технологий, частота неудачных попыток забеременеть по-прежнему остаётся высокой. Существует большое количество исследований и обзоров, которые исследуют различные причины неудач, включая анатомические особенности матки, рецептивность эндометрия, а также нарушения соединительной ткани и иммунологические факторы, которые могут как негативно, так и позитивно влиять на успех ЭКО</w:t>
      </w:r>
      <w:r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{"citationItems":[{"id":"ITEM-1","itemData":{"DOI":"10.1016/j.mefs.2018.04.009","ISSN":"20903251","abstract":"Introduction: Whenever assisted reproductive techniques (ART) leading to successful pregnancy (with live birth), they can be considered useful.This study is aimed at assessing the effect of risk factors associated with the pregnancy loss on pregnancy outcomes in pregnant women undergoing ART. Method: An analytical case-control study was conducted on 318 women referred to three centers in the city of Ahvaz between 2011 and 2016. They have been pregnant with ART. Totally, 199 women have had successful pregnancy, and 119 women have been unsuccessful pregnancy. Effects of 19 risk factors was evaluated on both groups of women with successful and unsuccessful pregnancy. These factors include maternal age, body-mass index, type of ART, abortion, recurrent abortion, Thyroid-Stimulating Hormone (TSH) and anti-thyroid peroxidase antibody (TPO-Ab), uterine leiomyoma, endometrioma, PCOS, maternal smoking, male infertility factor, a history of in vitro fertilization failure, uterus anomalies, cervical incompetence, maternal variables of diabetes and other diseases, multiple pregnancy, number and quality of embryos. Eventually, all data were analyzed using SPSS version 22. Results: A significant statistically correlation was found between the pregnancy loss in patients undergoing ART and the risk factors of recurrent abortion, TPO-Ab and uterine leiomyoma (P-Value &lt; 0.001). Whereas there was not any considerable correlation between pregnancy outcomes in ART and other studied risk factors (P-Value &gt; 0.05). Conclusion: Findings of this study showed that risk factors of recurrent abortion, TPO-Ab and uterine leiomyoma have significant importance in pregnant patients undergoing ART.","author":[{"dropping-particle":"","family":"Zargar","given":"Mahvash","non-dropping-particle":"","parse-names":false,"suffix":""},{"dropping-particle":"","family":"Razmkhah","given":"Nargess","non-dropping-particle":"","parse-names":false,"suffix":""},{"dropping-particle":"","family":"Nikbakht","given":"Roshan","non-dropping-particle":"","parse-names":false,"suffix":""}],"container-title":"Middle East Fertility Society Journal","id":"ITEM-1","issue":"4","issued":{"date-parts":[["2018"]]},"page":"342-345","publisher":"Elsevier B.V.","title":"Evaluating the factors associated with pregnancy loss in pregnant women undergoing assisted reproductive techniques","type":"article-journal","volume":"23"},"uris":["http://www.mendeley.com/documents/?uuid=3f9cfb68-9d01-409d-b40a-5b06bed1c179"]}],"mendeley":{"formattedCitation":"[27]","plainTextFormattedCitation":"[27]","previouslyFormattedCitation":"(27)"},"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[27</w:t>
      </w:r>
      <w:r w:rsidR="005F5385">
        <w:rPr>
          <w:rFonts w:ascii="Times New Roman" w:hAnsi="Times New Roman" w:cs="Times New Roman"/>
          <w:noProof/>
          <w:sz w:val="28"/>
          <w:szCs w:val="28"/>
        </w:rPr>
        <w:t>, с. 342</w:t>
      </w:r>
      <w:r w:rsidR="008C6800" w:rsidRPr="008C6800">
        <w:rPr>
          <w:rFonts w:ascii="Times New Roman" w:hAnsi="Times New Roman" w:cs="Times New Roman"/>
          <w:noProof/>
          <w:sz w:val="28"/>
          <w:szCs w:val="28"/>
        </w:rPr>
        <w:t>]</w:t>
      </w:r>
      <w:r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p>
    <w:p w14:paraId="23363202" w14:textId="54DEE218" w:rsidR="00097959" w:rsidRPr="00916B3A" w:rsidRDefault="00097959" w:rsidP="00997125">
      <w:pPr>
        <w:shd w:val="clear" w:color="auto" w:fill="FFFFFF"/>
        <w:spacing w:after="0" w:line="240" w:lineRule="auto"/>
        <w:ind w:right="19" w:firstLine="567"/>
        <w:jc w:val="both"/>
        <w:rPr>
          <w:rFonts w:ascii="Times New Roman" w:hAnsi="Times New Roman" w:cs="Times New Roman"/>
          <w:color w:val="000000"/>
          <w:spacing w:val="-4"/>
          <w:sz w:val="28"/>
          <w:szCs w:val="28"/>
        </w:rPr>
      </w:pPr>
      <w:r w:rsidRPr="00916B3A">
        <w:rPr>
          <w:rFonts w:ascii="Times New Roman" w:hAnsi="Times New Roman" w:cs="Times New Roman"/>
          <w:color w:val="000000"/>
          <w:spacing w:val="-4"/>
          <w:sz w:val="28"/>
          <w:szCs w:val="28"/>
        </w:rPr>
        <w:t>Результаты ЭКО, связанные с толщиной эндометрия, остаются актуальной проблемой в области репродуктивной медицины. Недостаточная рецептивность эндометрия является причиной двух третей неудачных имплантаций, в то время как только одна треть неудач зависит от качества эмбрионов</w:t>
      </w:r>
      <w:r w:rsidRPr="00916B3A">
        <w:rPr>
          <w:rFonts w:ascii="Times New Roman" w:hAnsi="Times New Roman" w:cs="Times New Roman"/>
          <w:color w:val="000000"/>
          <w:spacing w:val="-4"/>
          <w:sz w:val="28"/>
          <w:szCs w:val="28"/>
        </w:rPr>
        <w:fldChar w:fldCharType="begin" w:fldLock="1"/>
      </w:r>
      <w:r w:rsidR="008C6800">
        <w:rPr>
          <w:rFonts w:ascii="Times New Roman" w:hAnsi="Times New Roman" w:cs="Times New Roman"/>
          <w:color w:val="000000"/>
          <w:spacing w:val="-4"/>
          <w:sz w:val="28"/>
          <w:szCs w:val="28"/>
        </w:rPr>
        <w:instrText>ADDIN CSL_CITATION {"citationItems":[{"id":"ITEM-1","itemData":{"ISSN":"0268-1161","author":[{"dropping-particle":"","family":"Liu","given":"K E","non-dropping-particle":"","parse-names":false,"suffix":""},{"dropping-particle":"","family":"Hartman","given":"M","non-dropping-particle":"","parse-names":false,"suffix":""},{"dropping-particle":"","family":"Hartman","given":"A","non-dropping-particle":"","parse-names":false,"suffix":""},{"dropping-particle":"","family":"Luo","given":"Z-C","non-dropping-particle":"","parse-names":false,"suffix":""},{"dropping-particle":"","family":"Mahutte","given":"N","non-dropping-particle":"","parse-names":false,"suffix":""}],"container-title":"Human Reproduction","id":"ITEM-1","issue":"10","issued":{"date-parts":[["2018"]]},"page":"1883-1888","publisher":"Oxford University Press","title":"The impact of a thin endometrial lining on fresh and frozen–thaw IVF outcomes: an analysis of over 40 000 embryo transfers","type":"article-journal","volume":"33"},"uris":["http://www.mendeley.com/documents/?uuid=dfcce275-8b14-4607-80a3-11eb26e9fb77"]}],"mendeley":{"formattedCitation":"[38]","plainTextFormattedCitation":"[38]","previouslyFormattedCitation":"(38)"},"properties":{"noteIndex":0},"schema":"https://github.com/citation-style-language/schema/raw/master/csl-citation.json"}</w:instrText>
      </w:r>
      <w:r w:rsidRPr="00916B3A">
        <w:rPr>
          <w:rFonts w:ascii="Times New Roman" w:hAnsi="Times New Roman" w:cs="Times New Roman"/>
          <w:color w:val="000000"/>
          <w:spacing w:val="-4"/>
          <w:sz w:val="28"/>
          <w:szCs w:val="28"/>
        </w:rPr>
        <w:fldChar w:fldCharType="separate"/>
      </w:r>
      <w:r w:rsidR="008C6800" w:rsidRPr="008C6800">
        <w:rPr>
          <w:rFonts w:ascii="Times New Roman" w:hAnsi="Times New Roman" w:cs="Times New Roman"/>
          <w:noProof/>
          <w:color w:val="000000"/>
          <w:spacing w:val="-4"/>
          <w:sz w:val="28"/>
          <w:szCs w:val="28"/>
        </w:rPr>
        <w:t>[38]</w:t>
      </w:r>
      <w:r w:rsidRPr="00916B3A">
        <w:rPr>
          <w:rFonts w:ascii="Times New Roman" w:hAnsi="Times New Roman" w:cs="Times New Roman"/>
          <w:color w:val="000000"/>
          <w:spacing w:val="-4"/>
          <w:sz w:val="28"/>
          <w:szCs w:val="28"/>
        </w:rPr>
        <w:fldChar w:fldCharType="end"/>
      </w:r>
      <w:r w:rsidRPr="00916B3A">
        <w:rPr>
          <w:rFonts w:ascii="Times New Roman" w:hAnsi="Times New Roman" w:cs="Times New Roman"/>
          <w:color w:val="000000"/>
          <w:spacing w:val="-4"/>
          <w:sz w:val="28"/>
          <w:szCs w:val="28"/>
        </w:rPr>
        <w:t>. В мета-анализе Kasius et al. было установлено, что частота наступления клинической беременности ниже при ЭТ &lt;7,0 мм, в то же время она не была связана с частотой сохранения беременности и рождения живых детей</w:t>
      </w:r>
      <w:r w:rsidRPr="00916B3A">
        <w:rPr>
          <w:rFonts w:ascii="Times New Roman" w:hAnsi="Times New Roman" w:cs="Times New Roman"/>
          <w:color w:val="000000"/>
          <w:spacing w:val="-4"/>
          <w:sz w:val="28"/>
          <w:szCs w:val="28"/>
        </w:rPr>
        <w:fldChar w:fldCharType="begin" w:fldLock="1"/>
      </w:r>
      <w:r w:rsidR="005F5385">
        <w:rPr>
          <w:rFonts w:ascii="Times New Roman" w:hAnsi="Times New Roman" w:cs="Times New Roman"/>
          <w:color w:val="000000"/>
          <w:spacing w:val="-4"/>
          <w:sz w:val="28"/>
          <w:szCs w:val="28"/>
        </w:rPr>
        <w:instrText>ADDIN CSL_CITATION {"citationItems":[{"id":"ITEM-1","itemData":{"DOI":"10.1093/humupd/dmu011","ISSN":"14602369","abstract":"Background: Thin endometrium on ultrasound in the course of ovarian hyperstimulation has been thought to be associated with poor success rates after IVF, even in the absence of prior intrauterine surgery or infection. To assess the clinical significance of endometrial thickness (EMT) for IVF outcome, we performed a systematic review and meta-analysis. Methods: The electronic databases Pubmed, Cochrane and Embase were searched up to October 2013 for articles that studied the association between EMT and IVF outcome. The articles had to be written in the English or Dutch language. Studies were included if two-by-two tables for EMT and pregnancy rates could be constructed. Study quality was scored using the Strengthening the Reporting of Observational Studies in Epidemiology (STROBE) checklist. Summary receiver operating characteristic (sROC) curves were estimated to assess the accuracy of EMT in the prediction of pregnancy. In addition, odds ratios (ORs) with 95% confidence intervals (CIs) were calculated using a Mantel-Haenszel random effect model expressing the association between EMT and pregnancy chances. Meta-regression was performed to determine if female age and number of oocytes at retrieval interacted in the estimated effect of EMT on IVF outcome. Results: A total of 1170 studies was retrieved by the search. The overall quality of the 22 studies included in the review and meta-analysis was moderate. The estimated sROC curve indicated a virtually absent discriminatory capacity of EMT in the prediction of pregnancy. A thin endometrium (≤7 mm) was observed in only 2.4% of the reported cases (260/10 724). In these cases a trend towards lower ongoing pregnancy and live birth rates for women with EMT ≤7 mm was observed [OR 0.38 (95% CI 0.09-1.5)]. The probability of clinical pregnancy for an EMT ≤7 mm was significantly lower compared with cases with EMT &gt; 7 mm [23.3% versus 48.1%, OR 0.42 (95% CI 0.27-0.67)]. Positive and negative predictive values for the outcome of clinical pregnancy 77 and 48%, respectively. The relationship between the number of oocytes and female age on the one hand and pregnancy on the other hand was very weak making correction for these variables unfeasible. Conclusions: Current data indicate that EMT has a limited capacity to identify women who have a low chance to conceive after IVF. The frequently reported cut-off of 7 mm is related to a lower chance of pregnancy, but occurs infrequently. The use of EMT as a tool to decide on …","author":[{"dropping-particle":"","family":"Kasius","given":"Annemieke","non-dropping-particle":"","parse-names":false,"suffix":""},{"dropping-particle":"","family":"Smit","given":"Janine G.","non-dropping-particle":"","parse-names":false,"suffix":""},{"dropping-particle":"","family":"Torrance","given":"Helen L.","non-dropping-particle":"","parse-names":false,"suffix":""},{"dropping-particle":"","family":"Eijkemans","given":"Marinus J.C.","non-dropping-particle":"","parse-names":false,"suffix":""},{"dropping-particle":"","family":"Mol","given":"Ben Willem","non-dropping-particle":"","parse-names":false,"suffix":""},{"dropping-particle":"","family":"Opmeer","given":"Brent C.","non-dropping-particle":"","parse-names":false,"suffix":""},{"dropping-particle":"","family":"Broekmans","given":"Frank J.M.","non-dropping-particle":"","parse-names":false,"suffix":""}],"container-title":"Human Reproduction Update","id":"ITEM-1","issue":"4","issued":{"date-parts":[["2014"]]},"page":"530-541","title":"Endometrial thickness and pregnancy rates after IVF: A systematic review and meta-analysis","type":"article-journal","volume":"20"},"uris":["http://www.mendeley.com/documents/?uuid=7638c948-18f4-34e3-b96c-ab5f50ca8d1d"]}],"mendeley":{"formattedCitation":"[7]","manualFormatting":"[7, с. 535]","plainTextFormattedCitation":"[7]","previouslyFormattedCitation":"(7)"},"properties":{"noteIndex":0},"schema":"https://github.com/citation-style-language/schema/raw/master/csl-citation.json"}</w:instrText>
      </w:r>
      <w:r w:rsidRPr="00916B3A">
        <w:rPr>
          <w:rFonts w:ascii="Times New Roman" w:hAnsi="Times New Roman" w:cs="Times New Roman"/>
          <w:color w:val="000000"/>
          <w:spacing w:val="-4"/>
          <w:sz w:val="28"/>
          <w:szCs w:val="28"/>
        </w:rPr>
        <w:fldChar w:fldCharType="separate"/>
      </w:r>
      <w:r w:rsidR="008C6800" w:rsidRPr="008C6800">
        <w:rPr>
          <w:rFonts w:ascii="Times New Roman" w:hAnsi="Times New Roman" w:cs="Times New Roman"/>
          <w:noProof/>
          <w:color w:val="000000"/>
          <w:spacing w:val="-4"/>
          <w:sz w:val="28"/>
          <w:szCs w:val="28"/>
        </w:rPr>
        <w:t>[7</w:t>
      </w:r>
      <w:r w:rsidR="005F5385">
        <w:rPr>
          <w:rFonts w:ascii="Times New Roman" w:hAnsi="Times New Roman" w:cs="Times New Roman"/>
          <w:noProof/>
          <w:color w:val="000000"/>
          <w:spacing w:val="-4"/>
          <w:sz w:val="28"/>
          <w:szCs w:val="28"/>
        </w:rPr>
        <w:t>, с. 535</w:t>
      </w:r>
      <w:r w:rsidR="008C6800" w:rsidRPr="008C6800">
        <w:rPr>
          <w:rFonts w:ascii="Times New Roman" w:hAnsi="Times New Roman" w:cs="Times New Roman"/>
          <w:noProof/>
          <w:color w:val="000000"/>
          <w:spacing w:val="-4"/>
          <w:sz w:val="28"/>
          <w:szCs w:val="28"/>
        </w:rPr>
        <w:t>]</w:t>
      </w:r>
      <w:r w:rsidRPr="00916B3A">
        <w:rPr>
          <w:rFonts w:ascii="Times New Roman" w:hAnsi="Times New Roman" w:cs="Times New Roman"/>
          <w:color w:val="000000"/>
          <w:spacing w:val="-4"/>
          <w:sz w:val="28"/>
          <w:szCs w:val="28"/>
        </w:rPr>
        <w:fldChar w:fldCharType="end"/>
      </w:r>
      <w:r w:rsidRPr="00916B3A">
        <w:rPr>
          <w:rFonts w:ascii="Times New Roman" w:hAnsi="Times New Roman" w:cs="Times New Roman"/>
          <w:color w:val="000000"/>
          <w:spacing w:val="-4"/>
          <w:sz w:val="28"/>
          <w:szCs w:val="28"/>
        </w:rPr>
        <w:t xml:space="preserve">. В мета-анализе Gao et al.изучалась значительная роль </w:t>
      </w:r>
      <w:r w:rsidRPr="00916B3A">
        <w:rPr>
          <w:rFonts w:ascii="Times New Roman" w:hAnsi="Times New Roman" w:cs="Times New Roman"/>
          <w:color w:val="000000"/>
          <w:spacing w:val="-4"/>
          <w:sz w:val="28"/>
          <w:szCs w:val="28"/>
          <w:lang w:val="kk-KZ"/>
        </w:rPr>
        <w:t>толщины эндометрия</w:t>
      </w:r>
      <w:r w:rsidRPr="00916B3A">
        <w:rPr>
          <w:rFonts w:ascii="Times New Roman" w:hAnsi="Times New Roman" w:cs="Times New Roman"/>
          <w:color w:val="000000"/>
          <w:spacing w:val="-4"/>
          <w:sz w:val="28"/>
          <w:szCs w:val="28"/>
        </w:rPr>
        <w:t xml:space="preserve"> в исходах беременности после ЭКО</w:t>
      </w:r>
      <w:r w:rsidRPr="00916B3A">
        <w:rPr>
          <w:rFonts w:ascii="Times New Roman" w:hAnsi="Times New Roman" w:cs="Times New Roman"/>
          <w:color w:val="000000"/>
          <w:spacing w:val="-4"/>
          <w:sz w:val="28"/>
          <w:szCs w:val="28"/>
        </w:rPr>
        <w:fldChar w:fldCharType="begin" w:fldLock="1"/>
      </w:r>
      <w:r w:rsidR="008C6800">
        <w:rPr>
          <w:rFonts w:ascii="Times New Roman" w:hAnsi="Times New Roman" w:cs="Times New Roman"/>
          <w:color w:val="000000"/>
          <w:spacing w:val="-4"/>
          <w:sz w:val="28"/>
          <w:szCs w:val="28"/>
        </w:rPr>
        <w:instrText>ADDIN CSL_CITATION {"citationItems":[{"id":"ITEM-1","itemData":{"DOI":"10.1016/j.rbmo.2019.09.005","ISSN":"14726491","PMID":"31786047","abstract":"Research question: In this meta-analysis, the association between endometrial thickness (EMT) and cycle outcomes after IVF is explored. Associations between EMT and cycle outcomes according to study and individual characteristics were also assessed. Design: Studies evaluating associations between EMT and pregnancy, implantation, miscarriage, live birth or ongoing pregnancy and ectopic pregnancy rates in individuals after IVF were identified on PubMed, Embase and the Cochrane Library (from their inception up to December 2018). Pooled odds ratios with 95% confidence intervals, calculated using the random-effects model, were used. Results: Nine prospective and 21 retrospective studies, including a total of 88,056 cycles, were retrieved. The summary odds ratios indicated that women with lower EMT were associated with lower pregnancy rates than those with higher EMT (n = 30, OR 0.61; 95% CI 0.52 to 0.70; P &lt; 0.001). Moreover, the implantation rate in women with lower EMT was significantly reduced (n = 9, OR 0.49; 95% CI 0.32 to 0.74; P = 0.001). Furthermore, no significant association was found between EMT and the miscarriage rate (n = 12). In addition, women with lower EMT were associated with reduced live birth or ongoing pregnancy rate (11 studies, OR 0.60; 95% CI 0.48 to 0.73; P &lt; 0.001). Finally, the incidence of ectopic pregnancy rate between lower and higher EMT showed no statistically significant association (n = 3). Conclusions: Lower EMT was associated with lower pregnancy, implantation and live birth or ongoing pregnancy rates.","author":[{"dropping-particle":"","family":"Gao","given":"Ge","non-dropping-particle":"","parse-names":false,"suffix":""},{"dropping-particle":"","family":"Cui","given":"Xianfeng","non-dropping-particle":"","parse-names":false,"suffix":""},{"dropping-particle":"","family":"Li","given":"Shuang","non-dropping-particle":"","parse-names":false,"suffix":""},{"dropping-particle":"","family":"Ding","given":"Pan","non-dropping-particle":"","parse-names":false,"suffix":""},{"dropping-particle":"","family":"Zhang","given":"Shuai","non-dropping-particle":"","parse-names":false,"suffix":""},{"dropping-particle":"","family":"Zhang","given":"Yunshan","non-dropping-particle":"","parse-names":false,"suffix":""}],"container-title":"Reproductive BioMedicine Online","id":"ITEM-1","issue":"1","issued":{"date-parts":[["2020"]]},"page":"124-133","publisher":"Elsevier Ltd","title":"Endometrial thickness and IVF cycle outcomes: a meta-analysis","type":"article-journal","volume":"40"},"uris":["http://www.mendeley.com/documents/?uuid=6bab90b0-acae-47ca-999a-cca79e1af75e"]}],"mendeley":{"formattedCitation":"[39]","plainTextFormattedCitation":"[39]","previouslyFormattedCitation":"(39)"},"properties":{"noteIndex":0},"schema":"https://github.com/citation-style-language/schema/raw/master/csl-citation.json"}</w:instrText>
      </w:r>
      <w:r w:rsidRPr="00916B3A">
        <w:rPr>
          <w:rFonts w:ascii="Times New Roman" w:hAnsi="Times New Roman" w:cs="Times New Roman"/>
          <w:color w:val="000000"/>
          <w:spacing w:val="-4"/>
          <w:sz w:val="28"/>
          <w:szCs w:val="28"/>
        </w:rPr>
        <w:fldChar w:fldCharType="separate"/>
      </w:r>
      <w:r w:rsidR="008C6800" w:rsidRPr="008C6800">
        <w:rPr>
          <w:rFonts w:ascii="Times New Roman" w:hAnsi="Times New Roman" w:cs="Times New Roman"/>
          <w:noProof/>
          <w:color w:val="000000"/>
          <w:spacing w:val="-4"/>
          <w:sz w:val="28"/>
          <w:szCs w:val="28"/>
        </w:rPr>
        <w:t>[39]</w:t>
      </w:r>
      <w:r w:rsidRPr="00916B3A">
        <w:rPr>
          <w:rFonts w:ascii="Times New Roman" w:hAnsi="Times New Roman" w:cs="Times New Roman"/>
          <w:color w:val="000000"/>
          <w:spacing w:val="-4"/>
          <w:sz w:val="28"/>
          <w:szCs w:val="28"/>
        </w:rPr>
        <w:fldChar w:fldCharType="end"/>
      </w:r>
      <w:r w:rsidRPr="00916B3A">
        <w:rPr>
          <w:rFonts w:ascii="Times New Roman" w:hAnsi="Times New Roman" w:cs="Times New Roman"/>
          <w:color w:val="000000"/>
          <w:spacing w:val="-4"/>
          <w:sz w:val="28"/>
          <w:szCs w:val="28"/>
        </w:rPr>
        <w:t xml:space="preserve">. </w:t>
      </w:r>
    </w:p>
    <w:p w14:paraId="6F913420" w14:textId="3C291AC0" w:rsidR="00E317FF" w:rsidRDefault="00097959" w:rsidP="00E317FF">
      <w:pPr>
        <w:shd w:val="clear" w:color="auto" w:fill="FFFFFF"/>
        <w:spacing w:after="0" w:line="240" w:lineRule="auto"/>
        <w:ind w:firstLine="567"/>
        <w:jc w:val="both"/>
        <w:rPr>
          <w:rFonts w:ascii="Times New Roman" w:hAnsi="Times New Roman" w:cs="Times New Roman"/>
          <w:color w:val="000000"/>
          <w:spacing w:val="-4"/>
          <w:sz w:val="28"/>
          <w:szCs w:val="28"/>
        </w:rPr>
      </w:pPr>
      <w:r w:rsidRPr="00916B3A">
        <w:rPr>
          <w:rFonts w:ascii="Times New Roman" w:hAnsi="Times New Roman" w:cs="Times New Roman"/>
          <w:color w:val="000000"/>
          <w:spacing w:val="-4"/>
          <w:sz w:val="28"/>
          <w:szCs w:val="28"/>
        </w:rPr>
        <w:t xml:space="preserve"> </w:t>
      </w:r>
      <w:r w:rsidRPr="00916B3A">
        <w:rPr>
          <w:rFonts w:ascii="Times New Roman" w:hAnsi="Times New Roman" w:cs="Times New Roman"/>
          <w:color w:val="000000"/>
          <w:spacing w:val="-4"/>
          <w:sz w:val="28"/>
          <w:szCs w:val="28"/>
          <w:lang w:val="kk-KZ"/>
        </w:rPr>
        <w:t xml:space="preserve">Рецептивность </w:t>
      </w:r>
      <w:r w:rsidRPr="00916B3A">
        <w:rPr>
          <w:rFonts w:ascii="Times New Roman" w:hAnsi="Times New Roman" w:cs="Times New Roman"/>
          <w:color w:val="000000"/>
          <w:spacing w:val="-4"/>
          <w:sz w:val="28"/>
          <w:szCs w:val="28"/>
        </w:rPr>
        <w:t>эндометрия уже определена как ключевой фактор, влияющий на частоту успешного ЭКО. В настоящее время для оценки состояния эндометрия во время циклов ЭКО используется ультразвуковое исследование - удобный и неинвазивный метод. Для определения рецептивности эндометрия используются такие сонографические параметры, как толщина эндометрия, рисунок эндометрия, объем эндометрия, а также эндометриальный и субэндометриальный кровоток</w:t>
      </w:r>
      <w:r w:rsidR="00F26644">
        <w:rPr>
          <w:rFonts w:ascii="Times New Roman" w:hAnsi="Times New Roman" w:cs="Times New Roman"/>
          <w:color w:val="000000"/>
          <w:spacing w:val="-4"/>
          <w:sz w:val="28"/>
          <w:szCs w:val="28"/>
        </w:rPr>
        <w:t>.</w:t>
      </w:r>
      <w:r w:rsidR="00E317FF" w:rsidRPr="00E317FF">
        <w:rPr>
          <w:rFonts w:ascii="Times New Roman" w:hAnsi="Times New Roman" w:cs="Times New Roman"/>
          <w:sz w:val="28"/>
          <w:szCs w:val="28"/>
        </w:rPr>
        <w:t xml:space="preserve"> </w:t>
      </w:r>
      <w:r w:rsidR="00E317FF" w:rsidRPr="00916B3A">
        <w:rPr>
          <w:rFonts w:ascii="Times New Roman" w:hAnsi="Times New Roman" w:cs="Times New Roman"/>
          <w:sz w:val="28"/>
          <w:szCs w:val="28"/>
        </w:rPr>
        <w:t>Наиболее частой патологией эндометрия, при которой возникают множественные вторичные морфофункциональные изменения, нарушающие циклическую трансформацию и рецептивность слизистой оболочки матки, является хронический эндометрит</w:t>
      </w:r>
      <w:r w:rsidR="00E317FF" w:rsidRPr="00916B3A">
        <w:rPr>
          <w:rStyle w:val="aff5"/>
          <w:rFonts w:ascii="Times New Roman" w:eastAsiaTheme="majorEastAsia" w:hAnsi="Times New Roman" w:cs="Times New Roman"/>
          <w:sz w:val="28"/>
          <w:szCs w:val="28"/>
        </w:rPr>
        <w:t>.</w:t>
      </w:r>
      <w:r w:rsidR="00E317FF" w:rsidRPr="00916B3A">
        <w:rPr>
          <w:rFonts w:ascii="Times New Roman" w:hAnsi="Times New Roman" w:cs="Times New Roman"/>
          <w:sz w:val="28"/>
          <w:szCs w:val="28"/>
        </w:rPr>
        <w:t xml:space="preserve"> При этом все чаще при данной патологии встречается синдром «тонкого» эндометрия. </w:t>
      </w:r>
      <w:r w:rsidR="00E317FF" w:rsidRPr="00916B3A">
        <w:rPr>
          <w:rFonts w:ascii="Times New Roman" w:hAnsi="Times New Roman" w:cs="Times New Roman"/>
          <w:color w:val="000000"/>
          <w:sz w:val="28"/>
          <w:szCs w:val="28"/>
        </w:rPr>
        <w:t xml:space="preserve">Диагностика тонкого эндометрия основана на ультразвуковом методе исследования, используемом с применением трансвагинального сканирования, проводимого в серошкальном режиме. </w:t>
      </w:r>
      <w:r w:rsidR="00E317FF" w:rsidRPr="00916B3A">
        <w:rPr>
          <w:rFonts w:ascii="Times New Roman" w:hAnsi="Times New Roman" w:cs="Times New Roman"/>
          <w:sz w:val="28"/>
          <w:szCs w:val="28"/>
        </w:rPr>
        <w:t>Критерием «тонкого» эндометрия принято считать толщину эндометрия менее 7 мм и отсутствие трехслойной структуры в период «окна имплантации». В основе развития «тонкого» эндометрия лежит высокий уровень импеданса кровотока в артериях матки. Для оценки кровотока в сосудах матки и эндометрия используют цветовое допплеровское картирование и спектральную допплерометрию</w:t>
      </w:r>
      <w:r w:rsidR="00E317FF" w:rsidRPr="00916B3A">
        <w:rPr>
          <w:rFonts w:ascii="Times New Roman" w:hAnsi="Times New Roman" w:cs="Times New Roman"/>
          <w:sz w:val="28"/>
          <w:szCs w:val="28"/>
        </w:rPr>
        <w:fldChar w:fldCharType="begin" w:fldLock="1"/>
      </w:r>
      <w:r w:rsidR="00E317FF">
        <w:rPr>
          <w:rFonts w:ascii="Times New Roman" w:hAnsi="Times New Roman" w:cs="Times New Roman"/>
          <w:sz w:val="28"/>
          <w:szCs w:val="28"/>
        </w:rPr>
        <w:instrText>ADDIN CSL_CITATION {"citationItems":[{"id":"ITEM-1","itemData":{"author":[{"dropping-particle":"","family":"Homminga","given":"I","non-dropping-particle":"","parse-names":false,"suffix":""},{"dropping-particle":"","family":"Hoek","given":"A","non-dropping-particle":"","parse-names":false,"suffix":""}],"id":"ITEM-1","issued":{"date-parts":[["2022"]]},"page":"1-10","title":"Thin endometrial lining : is it more prevalent in patients utilizing preimplantation genetic testing for monogenic disease ( PGT-M ) and related to prior hormonal contraceptive use ?","type":"article-journal"},"uris":["http://www.mendeley.com/documents/?uuid=33ce0c43-a9c5-4dc1-9e40-7fcbfda8a3b0"]}],"mendeley":{"formattedCitation":"[40]","plainTextFormattedCitation":"[40]","previouslyFormattedCitation":"(40)"},"properties":{"noteIndex":0},"schema":"https://github.com/citation-style-language/schema/raw/master/csl-citation.json"}</w:instrText>
      </w:r>
      <w:r w:rsidR="00E317FF" w:rsidRPr="00916B3A">
        <w:rPr>
          <w:rFonts w:ascii="Times New Roman" w:hAnsi="Times New Roman" w:cs="Times New Roman"/>
          <w:sz w:val="28"/>
          <w:szCs w:val="28"/>
        </w:rPr>
        <w:fldChar w:fldCharType="separate"/>
      </w:r>
      <w:r w:rsidR="00E317FF" w:rsidRPr="008C6800">
        <w:rPr>
          <w:rFonts w:ascii="Times New Roman" w:hAnsi="Times New Roman" w:cs="Times New Roman"/>
          <w:noProof/>
          <w:sz w:val="28"/>
          <w:szCs w:val="28"/>
        </w:rPr>
        <w:t>[40]</w:t>
      </w:r>
      <w:r w:rsidR="00E317FF" w:rsidRPr="00916B3A">
        <w:rPr>
          <w:rFonts w:ascii="Times New Roman" w:hAnsi="Times New Roman" w:cs="Times New Roman"/>
          <w:sz w:val="28"/>
          <w:szCs w:val="28"/>
        </w:rPr>
        <w:fldChar w:fldCharType="end"/>
      </w:r>
      <w:r w:rsidR="00E317FF" w:rsidRPr="00916B3A">
        <w:rPr>
          <w:rFonts w:ascii="Times New Roman" w:hAnsi="Times New Roman" w:cs="Times New Roman"/>
          <w:sz w:val="28"/>
          <w:szCs w:val="28"/>
        </w:rPr>
        <w:t>.</w:t>
      </w:r>
      <w:r w:rsidRPr="00916B3A">
        <w:rPr>
          <w:rFonts w:ascii="Times New Roman" w:hAnsi="Times New Roman" w:cs="Times New Roman"/>
          <w:color w:val="000000"/>
          <w:spacing w:val="-4"/>
          <w:sz w:val="28"/>
          <w:szCs w:val="28"/>
        </w:rPr>
        <w:t xml:space="preserve"> </w:t>
      </w:r>
      <w:r w:rsidR="00E317FF">
        <w:rPr>
          <w:rFonts w:ascii="Times New Roman" w:hAnsi="Times New Roman" w:cs="Times New Roman"/>
          <w:color w:val="000000"/>
          <w:spacing w:val="-4"/>
          <w:sz w:val="28"/>
          <w:szCs w:val="28"/>
        </w:rPr>
        <w:t xml:space="preserve"> </w:t>
      </w:r>
    </w:p>
    <w:p w14:paraId="1C7197BD" w14:textId="22AFD843" w:rsidR="00097959" w:rsidRPr="00E317FF" w:rsidRDefault="00097959" w:rsidP="00E317FF">
      <w:pPr>
        <w:shd w:val="clear" w:color="auto" w:fill="FFFFFF"/>
        <w:spacing w:after="0" w:line="240" w:lineRule="auto"/>
        <w:ind w:firstLine="567"/>
        <w:jc w:val="both"/>
        <w:rPr>
          <w:rFonts w:ascii="Times New Roman" w:hAnsi="Times New Roman" w:cs="Times New Roman"/>
          <w:color w:val="000000"/>
          <w:sz w:val="28"/>
          <w:szCs w:val="28"/>
        </w:rPr>
      </w:pPr>
      <w:r w:rsidRPr="00916B3A">
        <w:rPr>
          <w:rFonts w:ascii="Times New Roman" w:hAnsi="Times New Roman" w:cs="Times New Roman"/>
          <w:color w:val="000000"/>
          <w:spacing w:val="-4"/>
          <w:sz w:val="28"/>
          <w:szCs w:val="28"/>
        </w:rPr>
        <w:t xml:space="preserve">Несмотря на то что уже проведено множество исследований, посвященных взаимосвязи между </w:t>
      </w:r>
      <w:r w:rsidRPr="00916B3A">
        <w:rPr>
          <w:rFonts w:ascii="Times New Roman" w:hAnsi="Times New Roman" w:cs="Times New Roman"/>
          <w:color w:val="000000"/>
          <w:spacing w:val="-4"/>
          <w:sz w:val="28"/>
          <w:szCs w:val="28"/>
          <w:lang w:val="kk-KZ"/>
        </w:rPr>
        <w:t>толщиной эндометрия</w:t>
      </w:r>
      <w:r w:rsidRPr="00916B3A">
        <w:rPr>
          <w:rFonts w:ascii="Times New Roman" w:hAnsi="Times New Roman" w:cs="Times New Roman"/>
          <w:color w:val="000000"/>
          <w:spacing w:val="-4"/>
          <w:sz w:val="28"/>
          <w:szCs w:val="28"/>
        </w:rPr>
        <w:t xml:space="preserve"> и результатами ЭКО, консенсус не достигнут и по</w:t>
      </w:r>
      <w:r w:rsidRPr="00916B3A">
        <w:rPr>
          <w:rFonts w:ascii="Times New Roman" w:hAnsi="Times New Roman" w:cs="Times New Roman"/>
          <w:color w:val="000000"/>
          <w:spacing w:val="-4"/>
          <w:sz w:val="28"/>
          <w:szCs w:val="28"/>
          <w:lang w:val="kk-KZ"/>
        </w:rPr>
        <w:t xml:space="preserve"> </w:t>
      </w:r>
      <w:r w:rsidR="00E22FFC" w:rsidRPr="00916B3A">
        <w:rPr>
          <w:rFonts w:ascii="Times New Roman" w:hAnsi="Times New Roman" w:cs="Times New Roman"/>
          <w:color w:val="000000"/>
          <w:spacing w:val="-4"/>
          <w:sz w:val="28"/>
          <w:szCs w:val="28"/>
        </w:rPr>
        <w:t>прежнему остается спорным.</w:t>
      </w:r>
      <w:r w:rsidR="00202726">
        <w:rPr>
          <w:rFonts w:ascii="Times New Roman" w:hAnsi="Times New Roman" w:cs="Times New Roman"/>
          <w:color w:val="000000"/>
          <w:spacing w:val="-4"/>
          <w:sz w:val="28"/>
          <w:szCs w:val="28"/>
        </w:rPr>
        <w:t xml:space="preserve"> </w:t>
      </w:r>
      <w:r w:rsidR="00202726" w:rsidRPr="00202726">
        <w:rPr>
          <w:rFonts w:ascii="Times New Roman" w:hAnsi="Times New Roman" w:cs="Times New Roman"/>
          <w:sz w:val="28"/>
          <w:szCs w:val="28"/>
        </w:rPr>
        <w:t xml:space="preserve">Механизм отрицательного влияния «тонкого эндометрия», возможно, связан с тем, что бластоциста в процессе имплантации очень близко соприкасается со спиральными артериями и находится в области высокой концентрации кислорода, что негативно отражается на ее способности к нидации, </w:t>
      </w:r>
      <w:r w:rsidR="00F26644" w:rsidRPr="00202726">
        <w:rPr>
          <w:rFonts w:ascii="Times New Roman" w:hAnsi="Times New Roman" w:cs="Times New Roman"/>
          <w:sz w:val="28"/>
          <w:szCs w:val="28"/>
        </w:rPr>
        <w:t>а также</w:t>
      </w:r>
      <w:r w:rsidR="00202726" w:rsidRPr="00202726">
        <w:rPr>
          <w:rFonts w:ascii="Times New Roman" w:hAnsi="Times New Roman" w:cs="Times New Roman"/>
          <w:sz w:val="28"/>
          <w:szCs w:val="28"/>
        </w:rPr>
        <w:t xml:space="preserve"> создаются предпосылки для отклонений в метаболизме многочисленных биологических субстанций, которые контролируют тканевый гомеостаз в эндометрии и соответственно влияют на его рецептивность</w:t>
      </w:r>
      <w:r w:rsidR="00202726">
        <w:rPr>
          <w:rFonts w:ascii="Times New Roman" w:hAnsi="Times New Roman" w:cs="Times New Roman"/>
          <w:sz w:val="28"/>
          <w:szCs w:val="28"/>
        </w:rPr>
        <w:t xml:space="preserve">. </w:t>
      </w:r>
      <w:r w:rsidR="00202726" w:rsidRPr="00916B3A">
        <w:rPr>
          <w:rFonts w:ascii="Times New Roman" w:hAnsi="Times New Roman" w:cs="Times New Roman"/>
          <w:sz w:val="28"/>
          <w:szCs w:val="28"/>
        </w:rPr>
        <w:t>В последние годы среди многочисленных причин невынашивания беременности большой интерес привлекает концепция эндометриопатий и нарушений имплантации, связанных с «тонким» эндометрием</w:t>
      </w:r>
      <w:r w:rsidR="00202726" w:rsidRPr="00916B3A">
        <w:rPr>
          <w:rFonts w:ascii="Times New Roman" w:hAnsi="Times New Roman" w:cs="Times New Roman"/>
          <w:sz w:val="28"/>
          <w:szCs w:val="28"/>
        </w:rPr>
        <w:fldChar w:fldCharType="begin" w:fldLock="1"/>
      </w:r>
      <w:r w:rsidR="00202726">
        <w:rPr>
          <w:rFonts w:ascii="Times New Roman" w:hAnsi="Times New Roman" w:cs="Times New Roman"/>
          <w:sz w:val="28"/>
          <w:szCs w:val="28"/>
        </w:rPr>
        <w:instrText>ADDIN CSL_CITATION {"citationItems":[{"id":"ITEM-1","itemData":{"DOI":"10.1016/j.rbmo.2014.05.011","ISSN":"14726491","PMID":"25070912","abstract":"A retrospective study of 3319 women was conducted to assess predictive ability of endometrial characteristics for outcomes of IVF and embryo transfer. Endometrial thickness, growth and pattern were assessed at two time points (day 3 of gonadotrophin stimulation and day of HCG administration). Endometrial patterns were classified as pattern A: triple-line pattern comprising a central hyperechoic line surrounded by two hypoechoic layers; pattern B: an intermediate isoechogenic pattern with the same reflectivity as the surrounding myometrium and poorly defined central echogenic line; and pattern C: homogenous, hyperechogenic endometrium. The endometrium of pregnant women was thinner on day 3 of stimulation, thicker on the day of HCG administration, and showed greater growth in thickness compared with non-pregnant women. Clinical pregnancy rates differed according to endometrial pattern on the day of HCG administration (55.2%, 50.9% and 37.4% for patterns A, B and C, respectively). A positive linear relationship was found between endometrial thickness on the day of HCG administration and clinical pregnancy rate. Endometrial thickness, change and pattern were independent factors affecting outcome. Receiver operator characteristic curves showed that endometrial pattern, thickness and changes were not good predictors of clinical pregnancy. Discriminant analysis indicated that 58.7% of original grouped cases were correctly classified. Although endometrium with triple-line or increased thickness may favour pregnancy, combined endometrial characteristics do not predict outcomes.","author":[{"dropping-particle":"","family":"Zhao","given":"Jing","non-dropping-particle":"","parse-names":false,"suffix":""},{"dropping-particle":"","family":"Zhang","given":"Qiong","non-dropping-particle":"","parse-names":false,"suffix":""},{"dropping-particle":"","family":"Wang","given":"Yonggang","non-dropping-particle":"","parse-names":false,"suffix":""},{"dropping-particle":"","family":"Li","given":"Yanping","non-dropping-particle":"","parse-names":false,"suffix":""}],"container-title":"Reproductive BioMedicine Online","id":"ITEM-1","issue":"3","issued":{"date-parts":[["2014"]]},"page":"291-298","title":"Endometrial pattern, thickness and growth in predicting pregnancy outcome following 3319 IVF cycle","type":"article-journal","volume":"29"},"uris":["http://www.mendeley.com/documents/?uuid=3ef5f4c6-4f45-4992-a523-202bfff1cace"]}],"mendeley":{"formattedCitation":"[41]","plainTextFormattedCitation":"[41]","previouslyFormattedCitation":"(41)"},"properties":{"noteIndex":0},"schema":"https://github.com/citation-style-language/schema/raw/master/csl-citation.json"}</w:instrText>
      </w:r>
      <w:r w:rsidR="00202726" w:rsidRPr="00916B3A">
        <w:rPr>
          <w:rFonts w:ascii="Times New Roman" w:hAnsi="Times New Roman" w:cs="Times New Roman"/>
          <w:sz w:val="28"/>
          <w:szCs w:val="28"/>
        </w:rPr>
        <w:fldChar w:fldCharType="separate"/>
      </w:r>
      <w:r w:rsidR="00202726" w:rsidRPr="008C6800">
        <w:rPr>
          <w:rFonts w:ascii="Times New Roman" w:hAnsi="Times New Roman" w:cs="Times New Roman"/>
          <w:noProof/>
          <w:sz w:val="28"/>
          <w:szCs w:val="28"/>
        </w:rPr>
        <w:t>[41]</w:t>
      </w:r>
      <w:r w:rsidR="00202726" w:rsidRPr="00916B3A">
        <w:rPr>
          <w:rFonts w:ascii="Times New Roman" w:hAnsi="Times New Roman" w:cs="Times New Roman"/>
          <w:sz w:val="28"/>
          <w:szCs w:val="28"/>
        </w:rPr>
        <w:fldChar w:fldCharType="end"/>
      </w:r>
      <w:r w:rsidR="00202726" w:rsidRPr="00916B3A">
        <w:rPr>
          <w:rFonts w:ascii="Times New Roman" w:hAnsi="Times New Roman" w:cs="Times New Roman"/>
          <w:sz w:val="28"/>
          <w:szCs w:val="28"/>
        </w:rPr>
        <w:t>.</w:t>
      </w:r>
    </w:p>
    <w:p w14:paraId="3ECBDFE3" w14:textId="42F97B8F" w:rsidR="00260FA0" w:rsidRPr="00916B3A" w:rsidRDefault="00260FA0" w:rsidP="00997125">
      <w:pPr>
        <w:spacing w:after="0" w:line="240" w:lineRule="auto"/>
        <w:ind w:firstLine="567"/>
        <w:jc w:val="both"/>
        <w:rPr>
          <w:rFonts w:ascii="Times New Roman" w:hAnsi="Times New Roman" w:cs="Times New Roman"/>
          <w:sz w:val="28"/>
          <w:szCs w:val="28"/>
        </w:rPr>
      </w:pPr>
      <w:r w:rsidRPr="00916B3A">
        <w:rPr>
          <w:rStyle w:val="aff5"/>
          <w:rFonts w:ascii="Times New Roman" w:eastAsiaTheme="majorEastAsia" w:hAnsi="Times New Roman" w:cs="Times New Roman"/>
          <w:sz w:val="28"/>
          <w:szCs w:val="28"/>
        </w:rPr>
        <w:t>Основными признаками зрелости эндометрия и критериями прогноза успешного течения беременности, на которые ориентируются в клинической практике, являются толщина, морфологическая структура и рецептивность эндометрия</w:t>
      </w:r>
      <w:r w:rsidRPr="00916B3A">
        <w:rPr>
          <w:rStyle w:val="aff5"/>
          <w:rFonts w:ascii="Times New Roman" w:eastAsiaTheme="majorEastAsia" w:hAnsi="Times New Roman" w:cs="Times New Roman"/>
          <w:sz w:val="28"/>
          <w:szCs w:val="28"/>
        </w:rPr>
        <w:fldChar w:fldCharType="begin" w:fldLock="1"/>
      </w:r>
      <w:r w:rsidR="008C6800">
        <w:rPr>
          <w:rStyle w:val="aff5"/>
          <w:rFonts w:ascii="Times New Roman" w:eastAsiaTheme="majorEastAsia" w:hAnsi="Times New Roman" w:cs="Times New Roman"/>
          <w:sz w:val="28"/>
          <w:szCs w:val="28"/>
        </w:rPr>
        <w:instrText>ADDIN CSL_CITATION {"citationItems":[{"id":"ITEM-1","itemData":{"DOI":"10.1016/j.fertnstert.2008.01.029","ISSN":"00150282","PMID":"18328483","abstract":"Objective: To characterize pathophysiologic features of a \"thin\" endometrium. Design: A prospective observational study. Setting: University Hospital and City General Hospital. Patient(s): Patients with normal-thickness endometrium (Normal-Em group: endometrial thickness ≥8 mm; n = 57) and thin endometrium (Thin-Em group: endometrial thickness &lt;8 mm; n = 17). Main Outcome Measure(s): Blood flow impedance of the uterine radial artery (RA) was assessed as resistance index (RI) by transvaginal color-pulsed Doppler ultrasonography. The area of glandular epithelium, the number of blood vessels, and vascular endothelial growth factor (VEGF) expression were examined in the midluteal-phase endometrium. Result(s): The RA-RI in the Thin-Em group was significantly higher than in the Normal-Em group throughout the menstrual cycle. Endometrial thickness was significantly correlated with RA-RI. Growth of glandular epithelium, the number of blood vessels, and VEGF expression were significantly lower in the Thin-Em group than in the Normal-Em group. Conclusion(s): A \"thin\" endometrium was characterized by high blood flow impedance of RA, poor epithelial growth, decreased VEGF expression, and poor vascular development. © 2009 American Society for Reproductive Medicine.","author":[{"dropping-particle":"","family":"Miwa","given":"Ichiro","non-dropping-particle":"","parse-names":false,"suffix":""},{"dropping-particle":"","family":"Tamura","given":"Hiroshi","non-dropping-particle":"","parse-names":false,"suffix":""},{"dropping-particle":"","family":"Takasaki","given":"Akihisa","non-dropping-particle":"","parse-names":false,"suffix":""},{"dropping-particle":"","family":"Yamagata","given":"Yoshiaki","non-dropping-particle":"","parse-names":false,"suffix":""},{"dropping-particle":"","family":"Shimamura","given":"Katsunori","non-dropping-particle":"","parse-names":false,"suffix":""},{"dropping-particle":"","family":"Sugino","given":"Norihiro","non-dropping-particle":"","parse-names":false,"suffix":""}],"container-title":"Fertility and Sterility","id":"ITEM-1","issue":"4","issued":{"date-parts":[["2009"]]},"page":"998-1004","publisher":"Elsevier Ltd","title":"Pathophysiologic features of \"thin\" endometrium","type":"article-journal","volume":"91"},"uris":["http://www.mendeley.com/documents/?uuid=cc61638b-d4fd-425c-ac94-428388d2b182"]}],"mendeley":{"formattedCitation":"[42]","plainTextFormattedCitation":"[42]","previouslyFormattedCitation":"(42)"},"properties":{"noteIndex":0},"schema":"https://github.com/citation-style-language/schema/raw/master/csl-citation.json"}</w:instrText>
      </w:r>
      <w:r w:rsidRPr="00916B3A">
        <w:rPr>
          <w:rStyle w:val="aff5"/>
          <w:rFonts w:ascii="Times New Roman" w:eastAsiaTheme="majorEastAsia" w:hAnsi="Times New Roman" w:cs="Times New Roman"/>
          <w:sz w:val="28"/>
          <w:szCs w:val="28"/>
        </w:rPr>
        <w:fldChar w:fldCharType="separate"/>
      </w:r>
      <w:r w:rsidR="008C6800" w:rsidRPr="008C6800">
        <w:rPr>
          <w:rStyle w:val="aff5"/>
          <w:rFonts w:ascii="Times New Roman" w:eastAsiaTheme="majorEastAsia" w:hAnsi="Times New Roman" w:cs="Times New Roman"/>
          <w:noProof/>
          <w:sz w:val="28"/>
          <w:szCs w:val="28"/>
        </w:rPr>
        <w:t>[42]</w:t>
      </w:r>
      <w:r w:rsidRPr="00916B3A">
        <w:rPr>
          <w:rStyle w:val="aff5"/>
          <w:rFonts w:ascii="Times New Roman" w:eastAsiaTheme="majorEastAsia" w:hAnsi="Times New Roman" w:cs="Times New Roman"/>
          <w:sz w:val="28"/>
          <w:szCs w:val="28"/>
        </w:rPr>
        <w:fldChar w:fldCharType="end"/>
      </w:r>
      <w:r w:rsidRPr="00916B3A">
        <w:rPr>
          <w:rStyle w:val="aff5"/>
          <w:rFonts w:ascii="Times New Roman" w:eastAsiaTheme="majorEastAsia" w:hAnsi="Times New Roman" w:cs="Times New Roman"/>
          <w:sz w:val="28"/>
          <w:szCs w:val="28"/>
        </w:rPr>
        <w:t xml:space="preserve">. </w:t>
      </w:r>
      <w:r w:rsidRPr="00916B3A">
        <w:rPr>
          <w:rFonts w:ascii="Times New Roman" w:hAnsi="Times New Roman" w:cs="Times New Roman"/>
          <w:color w:val="000000"/>
          <w:sz w:val="28"/>
          <w:szCs w:val="28"/>
        </w:rPr>
        <w:t>У здоровых женщин репродуктивного возраста внутренняя оболочка матки регулярно претерпевает циклические изменения, затрагивающие ее толщину, структуру и кровоток.</w:t>
      </w:r>
      <w:r w:rsidR="004E2FED" w:rsidRPr="00916B3A">
        <w:rPr>
          <w:rFonts w:ascii="Times New Roman" w:hAnsi="Times New Roman" w:cs="Times New Roman"/>
          <w:color w:val="000000"/>
          <w:sz w:val="28"/>
          <w:szCs w:val="28"/>
        </w:rPr>
        <w:t xml:space="preserve"> </w:t>
      </w:r>
      <w:r w:rsidRPr="00916B3A">
        <w:rPr>
          <w:rFonts w:ascii="Times New Roman" w:hAnsi="Times New Roman" w:cs="Times New Roman"/>
          <w:color w:val="000000"/>
          <w:sz w:val="28"/>
          <w:szCs w:val="28"/>
        </w:rPr>
        <w:t>Качественную оценку состояния эндометрия и точное измерение его толщины осуществляют с помощью трансвагинальной эхографии, которая позволяет четко видеть границу между с</w:t>
      </w:r>
      <w:r w:rsidR="004E2FED" w:rsidRPr="00916B3A">
        <w:rPr>
          <w:rFonts w:ascii="Times New Roman" w:hAnsi="Times New Roman" w:cs="Times New Roman"/>
          <w:color w:val="000000"/>
          <w:sz w:val="28"/>
          <w:szCs w:val="28"/>
        </w:rPr>
        <w:t>лизистой оболочкой и миометрием</w:t>
      </w:r>
      <w:r w:rsidR="00E317FF">
        <w:rPr>
          <w:rFonts w:ascii="Times New Roman" w:hAnsi="Times New Roman" w:cs="Times New Roman"/>
          <w:color w:val="000000"/>
          <w:sz w:val="28"/>
          <w:szCs w:val="28"/>
        </w:rPr>
        <w:t>.</w:t>
      </w:r>
      <w:r w:rsidR="00E317FF" w:rsidRPr="00E317FF">
        <w:rPr>
          <w:rFonts w:ascii="Times New Roman" w:hAnsi="Times New Roman" w:cs="Times New Roman"/>
          <w:b/>
          <w:sz w:val="28"/>
          <w:szCs w:val="28"/>
        </w:rPr>
        <w:t xml:space="preserve"> </w:t>
      </w:r>
      <w:r w:rsidR="00E317FF" w:rsidRPr="00E317FF">
        <w:rPr>
          <w:rFonts w:ascii="Times New Roman" w:hAnsi="Times New Roman" w:cs="Times New Roman"/>
          <w:sz w:val="28"/>
          <w:szCs w:val="28"/>
        </w:rPr>
        <w:t>В клинической практике начали активно обсуждаться ключевые аспекты, такие как зрелость эндометрия и критерии успешной имплантации, включая морфологию матки, ее структурную целостность и восприимчивость эндометрия.</w:t>
      </w:r>
      <w:r w:rsidR="00E317FF" w:rsidRPr="00E317FF">
        <w:rPr>
          <w:rFonts w:ascii="Times New Roman" w:hAnsi="Times New Roman" w:cs="Times New Roman"/>
          <w:sz w:val="28"/>
          <w:szCs w:val="28"/>
          <w:lang w:val="kk-KZ"/>
        </w:rPr>
        <w:t xml:space="preserve"> </w:t>
      </w:r>
      <w:r w:rsidR="00E317FF" w:rsidRPr="00E317FF">
        <w:rPr>
          <w:rFonts w:ascii="Times New Roman" w:hAnsi="Times New Roman" w:cs="Times New Roman"/>
          <w:sz w:val="28"/>
          <w:szCs w:val="28"/>
        </w:rPr>
        <w:t>Восприимчивость эндометрия - важнейший фактор, участвующий в процессе имплантации эмбриона. Недостаточная толщина эндометрия может привести к снижению восприимчивости эндометрия. Примечательно, что</w:t>
      </w:r>
      <w:r w:rsidR="00E317FF" w:rsidRPr="00E317FF">
        <w:rPr>
          <w:rFonts w:ascii="Times New Roman" w:hAnsi="Times New Roman" w:cs="Times New Roman"/>
          <w:sz w:val="28"/>
          <w:szCs w:val="28"/>
          <w:lang w:val="kk-KZ"/>
        </w:rPr>
        <w:t xml:space="preserve"> </w:t>
      </w:r>
      <w:r w:rsidR="00E317FF" w:rsidRPr="00E317FF">
        <w:rPr>
          <w:rFonts w:ascii="Times New Roman" w:hAnsi="Times New Roman" w:cs="Times New Roman"/>
          <w:sz w:val="28"/>
          <w:szCs w:val="28"/>
        </w:rPr>
        <w:t>оптимальная рецептивность эндометрия может быть достигнута при толщине эндометрия 8-14 мм, в то время как скорость имплантации эмбриона снижается при толщине менее или равной</w:t>
      </w:r>
      <w:r w:rsidR="00E317FF" w:rsidRPr="00E317FF">
        <w:rPr>
          <w:rFonts w:ascii="Times New Roman" w:hAnsi="Times New Roman" w:cs="Times New Roman"/>
          <w:sz w:val="28"/>
          <w:szCs w:val="28"/>
          <w:lang w:val="kk-KZ"/>
        </w:rPr>
        <w:t xml:space="preserve"> </w:t>
      </w:r>
      <w:r w:rsidR="00E317FF" w:rsidRPr="00E317FF">
        <w:rPr>
          <w:rFonts w:ascii="Times New Roman" w:hAnsi="Times New Roman" w:cs="Times New Roman"/>
          <w:sz w:val="28"/>
          <w:szCs w:val="28"/>
        </w:rPr>
        <w:t>7 мм</w:t>
      </w:r>
      <w:r w:rsidR="00E317FF" w:rsidRPr="00E317FF">
        <w:rPr>
          <w:rFonts w:ascii="Times New Roman" w:hAnsi="Times New Roman" w:cs="Times New Roman"/>
          <w:sz w:val="28"/>
          <w:szCs w:val="28"/>
        </w:rPr>
        <w:fldChar w:fldCharType="begin" w:fldLock="1"/>
      </w:r>
      <w:r w:rsidR="00E317FF" w:rsidRPr="00E317FF">
        <w:rPr>
          <w:rFonts w:ascii="Times New Roman" w:hAnsi="Times New Roman" w:cs="Times New Roman"/>
          <w:sz w:val="28"/>
          <w:szCs w:val="28"/>
        </w:rPr>
        <w:instrText>ADDIN CSL_CITATION {"citationItems":[{"id":"ITEM-1","itemData":{"DOI":"10.1080/09513590.2018.1554035","ISSN":"14730766","PMID":"30777477","abstract":"This study was conducted to investigate the association of estrogen receptor (ER) and progesterone receptor (PR) expressions with thin endometrium. Patients with endometrial thickness of less than 7 mm were classified as the study group, while the control group was comprised of patients with endometrial thickness of 7 to 14 mm. The expressions of ER and PR were detected with semi-quantitative immunohistochemical analysis, and the differences were compared between the two groups. The expression of ER was significantly decreased (p &lt;.05) in the stromal cells of thin endometrium during both proliferative and secretory phases as compared to those of normal endometrium. Likewise, ER expression was found to be lower in the glandular cells of thin endometrium than those of normal endometrium during proliferative phase. However, no significant differences were observed for the expression of PR in both glandular and stromal cells between the two groups. Thin endometrium was associated with reduced expression of ER in stromal cells both during proliferative and secretory phase, but in glandular epithelial cells only during proliferative phase.","author":[{"dropping-particle":"","family":"Gao","given":"Mingxia","non-dropping-particle":"","parse-names":false,"suffix":""},{"dropping-particle":"","family":"Cao","given":"Chong","non-dropping-particle":"","parse-names":false,"suffix":""},{"dropping-particle":"","family":"Zhang","given":"Xuehong","non-dropping-particle":"","parse-names":false,"suffix":""},{"dropping-particle":"","family":"Tang","given":"Fabing","non-dropping-particle":"","parse-names":false,"suffix":""},{"dropping-particle":"","family":"Zhao","given":"Lihui","non-dropping-particle":"","parse-names":false,"suffix":""},{"dropping-particle":"","family":"Luo","given":"Sisi","non-dropping-particle":"","parse-names":false,"suffix":""},{"dropping-particle":"","family":"Li","given":"Lifei","non-dropping-particle":"","parse-names":false,"suffix":""}],"container-title":"Gynecological Endocrinology","id":"ITEM-1","issue":"6","issued":{"date-parts":[["2019"]]},"page":"544-547","publisher":"Taylor &amp; Francis","title":"Abnormal expression of estrogen receptor is associated with thin endometrium","type":"article-journal","volume":"35"},"uris":["http://www.mendeley.com/documents/?uuid=8dd36354-4032-4b76-9585-307692bce6ff"]}],"mendeley":{"formattedCitation":"[43]","plainTextFormattedCitation":"[43]","previouslyFormattedCitation":"(43)"},"properties":{"noteIndex":0},"schema":"https://github.com/citation-style-language/schema/raw/master/csl-citation.json"}</w:instrText>
      </w:r>
      <w:r w:rsidR="00E317FF" w:rsidRPr="00E317FF">
        <w:rPr>
          <w:rFonts w:ascii="Times New Roman" w:hAnsi="Times New Roman" w:cs="Times New Roman"/>
          <w:sz w:val="28"/>
          <w:szCs w:val="28"/>
        </w:rPr>
        <w:fldChar w:fldCharType="separate"/>
      </w:r>
      <w:r w:rsidR="00E317FF" w:rsidRPr="00E317FF">
        <w:rPr>
          <w:rFonts w:ascii="Times New Roman" w:hAnsi="Times New Roman" w:cs="Times New Roman"/>
          <w:noProof/>
          <w:sz w:val="28"/>
          <w:szCs w:val="28"/>
        </w:rPr>
        <w:t>[43]</w:t>
      </w:r>
      <w:r w:rsidR="00E317FF" w:rsidRPr="00E317FF">
        <w:rPr>
          <w:rFonts w:ascii="Times New Roman" w:hAnsi="Times New Roman" w:cs="Times New Roman"/>
          <w:sz w:val="28"/>
          <w:szCs w:val="28"/>
        </w:rPr>
        <w:fldChar w:fldCharType="end"/>
      </w:r>
      <w:r w:rsidRPr="00916B3A">
        <w:rPr>
          <w:rStyle w:val="aff5"/>
          <w:rFonts w:ascii="Times New Roman" w:eastAsiaTheme="majorEastAsia" w:hAnsi="Times New Roman" w:cs="Times New Roman"/>
          <w:sz w:val="28"/>
          <w:szCs w:val="28"/>
        </w:rPr>
        <w:t xml:space="preserve">. </w:t>
      </w:r>
      <w:r w:rsidRPr="00916B3A">
        <w:rPr>
          <w:rFonts w:ascii="Times New Roman" w:hAnsi="Times New Roman" w:cs="Times New Roman"/>
          <w:color w:val="000000"/>
          <w:sz w:val="28"/>
          <w:szCs w:val="28"/>
        </w:rPr>
        <w:t>При выполнении ультразвукового исследования за толщину эндометрия принимают максимальное значение переднезаднего размера М-эхо (изображение сразу двух слоев эндометрия, относящихся к противоположно расположенным стенкам матки в плоскости сканирования, и линию смыкания между этими слоями). Определение толщины М-эхо выполняют при продольном сканировании матки, одновременной визуализацией цервикального канала. Измерение осуществляют по наружным контурам М-эхо. Обращает внимание, что линия смыкания между передним и задним листками эндометрия, придающая эндометрию характерную трехлинейную структуру, обычно визуализируется во второй половине пролиферативной и в начале секреторной фазы. Толщина М-эхо в естественных циклах под влиянием гормональной регуляции достигает наибольших численных значений в середине секреторной фазы и к моменту овуляции в норме по данным УЗИ достигает 8–12 мм</w:t>
      </w:r>
      <w:r w:rsidR="004E2FED" w:rsidRPr="00916B3A">
        <w:rPr>
          <w:rFonts w:ascii="Times New Roman" w:hAnsi="Times New Roman" w:cs="Times New Roman"/>
          <w:color w:val="000000"/>
          <w:sz w:val="28"/>
          <w:szCs w:val="28"/>
        </w:rPr>
        <w:fldChar w:fldCharType="begin" w:fldLock="1"/>
      </w:r>
      <w:r w:rsidR="008C6800">
        <w:rPr>
          <w:rFonts w:ascii="Times New Roman" w:hAnsi="Times New Roman" w:cs="Times New Roman"/>
          <w:color w:val="000000"/>
          <w:sz w:val="28"/>
          <w:szCs w:val="28"/>
        </w:rPr>
        <w:instrText>ADDIN CSL_CITATION {"citationItems":[{"id":"ITEM-1","itemData":{"DOI":"10.1093/humupd/dmac028","ISSN":"1355-4786","abstract":"The positive effects of growth hormone (GH) on IVF are often attributed to improvements in oocyte and embryo quality. While emerging evidence emphasizes GH-induced improvements in the endometrium, these results are controversial.This meta-analysis aimed to evaluate whether GH administration improved endometrial function and reproductive outcomes during IVF cycles and to thus guide clinical practice.A literature search in the Cochrane Central Register of Controlled Trials, PubMed and Embase was performed through to 30 November 2021, without language restrictions. Randomized controlled trials (RCTs) evaluating the effects of GH on IVF outcomes were included. Risk of bias and quality of evidence (QoE) were assessed according to the Cochrane Collaboration’s tool and the Grading of Recommendations Assessment, Development and Evaluation system. Odds ratios (ORs) and mean differences (MDs) with 95% confidence intervals (CIs) were assessed by random-effects models.A total of 25 trials with 2424 women were included. Seventeen RCTs with poor responders (n = 1723) showed that GH administration significantly increased endometrial thickness (EMT) (MD = 0.38, 95% CI: 0.18–0.59; moderate QoE), which contributed to an improved live birth rate (OR = 1.67, 95% CI: 1.13–2.49; very low QoE) and clinical pregnancy rate (CPR) (OR = 1.97, 95% CI: 1.43–2.72; low QoE). Subgroup analyses showed a dose- and time-dependent relationship between GH cotreatment and IVF outcomes; the optimal recommendation for improving CPR was consistent with that for EMT, rather than for oocytes and embryos. Hence, GH might improve fertility via effects on the endometrium. Administration of GH daily from the follicular phase of previous cycle until the hCG trigger with &amp;lt; 5 IU/day led to a thicker endometrium and a greater chance of becoming pregnant, while 5–10 IU/day or administration from the luteal phase of the previous cycle until the hCG trigger resulted in higher oocyte and embryo quality. Poor responders might benefit from cotreatment with the GnRH agonist long protocol more than other stimulation protocols. Pooled data from four trials (n = 354) on women with a thin endometrium indicated that improved endometrial function might be critical for improving reproductive outcomes during GH treatment, as no improvements in embryo quality were found. GH administration not only increased EMT (MD = 1.48, 95% CI: 1.21–1.75; moderate QoE) but also promoted endometrial morphology (OR = 2.67, 95% CI: …","author":[{"dropping-particle":"","family":"Shang","given":"Yujie","non-dropping-particle":"","parse-names":false,"suffix":""},{"dropping-particle":"","family":"Wu","given":"Minghua","non-dropping-particle":"","parse-names":false,"suffix":""},{"dropping-particle":"","family":"He","given":"Ruohan","non-dropping-particle":"","parse-names":false,"suffix":""},{"dropping-particle":"","family":"Ye","given":"Yuanyuan","non-dropping-particle":"","parse-names":false,"suffix":""},{"dropping-particle":"","family":"Sun","given":"Xiumei","non-dropping-particle":"","parse-names":false,"suffix":""}],"container-title":"Human Reproduction Update","id":"ITEM-1","issue":"6","issued":{"date-parts":[["2022","12","1"]]},"page":"838-857","title":"Administration of growth hormone improves endometrial function in women undergoing in vitro fertilization: a systematic review and meta-analysis","type":"article-journal","volume":"28"},"uris":["http://www.mendeley.com/documents/?uuid=1a28c29a-a62f-4d80-b783-e085549886a2"]}],"mendeley":{"formattedCitation":"[44]","plainTextFormattedCitation":"[44]","previouslyFormattedCitation":"(44)"},"properties":{"noteIndex":0},"schema":"https://github.com/citation-style-language/schema/raw/master/csl-citation.json"}</w:instrText>
      </w:r>
      <w:r w:rsidR="004E2FED" w:rsidRPr="00916B3A">
        <w:rPr>
          <w:rFonts w:ascii="Times New Roman" w:hAnsi="Times New Roman" w:cs="Times New Roman"/>
          <w:color w:val="000000"/>
          <w:sz w:val="28"/>
          <w:szCs w:val="28"/>
        </w:rPr>
        <w:fldChar w:fldCharType="separate"/>
      </w:r>
      <w:r w:rsidR="008C6800" w:rsidRPr="008C6800">
        <w:rPr>
          <w:rFonts w:ascii="Times New Roman" w:hAnsi="Times New Roman" w:cs="Times New Roman"/>
          <w:noProof/>
          <w:color w:val="000000"/>
          <w:sz w:val="28"/>
          <w:szCs w:val="28"/>
        </w:rPr>
        <w:t>[44]</w:t>
      </w:r>
      <w:r w:rsidR="004E2FED" w:rsidRPr="00916B3A">
        <w:rPr>
          <w:rFonts w:ascii="Times New Roman" w:hAnsi="Times New Roman" w:cs="Times New Roman"/>
          <w:color w:val="000000"/>
          <w:sz w:val="28"/>
          <w:szCs w:val="28"/>
        </w:rPr>
        <w:fldChar w:fldCharType="end"/>
      </w:r>
      <w:r w:rsidR="004E2FED" w:rsidRPr="00916B3A">
        <w:rPr>
          <w:rFonts w:ascii="Times New Roman" w:hAnsi="Times New Roman" w:cs="Times New Roman"/>
          <w:color w:val="000000"/>
          <w:sz w:val="28"/>
          <w:szCs w:val="28"/>
        </w:rPr>
        <w:t>.</w:t>
      </w:r>
    </w:p>
    <w:p w14:paraId="472355E4" w14:textId="77777777" w:rsidR="00E317FF" w:rsidRDefault="00260FA0" w:rsidP="005F5385">
      <w:pPr>
        <w:shd w:val="clear" w:color="auto" w:fill="FFFFFF"/>
        <w:spacing w:after="0" w:line="240" w:lineRule="auto"/>
        <w:ind w:right="-1" w:firstLine="567"/>
        <w:jc w:val="both"/>
        <w:rPr>
          <w:rFonts w:ascii="Times New Roman" w:hAnsi="Times New Roman" w:cs="Times New Roman"/>
          <w:sz w:val="28"/>
          <w:szCs w:val="28"/>
        </w:rPr>
      </w:pPr>
      <w:r w:rsidRPr="00202726">
        <w:rPr>
          <w:rStyle w:val="aff5"/>
          <w:rFonts w:ascii="Times New Roman" w:eastAsiaTheme="majorEastAsia" w:hAnsi="Times New Roman" w:cs="Times New Roman"/>
          <w:sz w:val="28"/>
          <w:szCs w:val="28"/>
        </w:rPr>
        <w:t xml:space="preserve">В норме предимплантационный эндометрий отличается наличием развитой </w:t>
      </w:r>
      <w:r w:rsidRPr="00202726">
        <w:rPr>
          <w:rFonts w:ascii="Times New Roman" w:eastAsiaTheme="majorEastAsia" w:hAnsi="Times New Roman" w:cs="Times New Roman"/>
          <w:sz w:val="28"/>
          <w:szCs w:val="28"/>
        </w:rPr>
        <w:t xml:space="preserve">капиллярной сети, микроциркуляции, оксигенации тканей, пролиферативной активности клеток эпителия и стромы, активным метаболизмом и готовностью нейрорецепторного аппарата эндометрия. </w:t>
      </w:r>
      <w:r w:rsidRPr="00202726">
        <w:rPr>
          <w:rStyle w:val="aff5"/>
          <w:rFonts w:ascii="Times New Roman" w:eastAsiaTheme="majorEastAsia" w:hAnsi="Times New Roman" w:cs="Times New Roman"/>
          <w:sz w:val="28"/>
          <w:szCs w:val="28"/>
        </w:rPr>
        <w:t>Период оптимальной рецептивности эндометрия начинается на 6 день после овуляции и продолжается 4-5 суток, что соответствует 20-24 дням менструального цикла и этот период называют «окном имплантации».</w:t>
      </w:r>
      <w:r w:rsidR="00202726">
        <w:rPr>
          <w:rFonts w:ascii="Times New Roman" w:hAnsi="Times New Roman" w:cs="Times New Roman"/>
          <w:sz w:val="28"/>
          <w:szCs w:val="28"/>
        </w:rPr>
        <w:t xml:space="preserve"> </w:t>
      </w:r>
      <w:r w:rsidR="00006440" w:rsidRPr="00916B3A">
        <w:rPr>
          <w:rFonts w:ascii="Times New Roman" w:hAnsi="Times New Roman" w:cs="Times New Roman"/>
          <w:sz w:val="28"/>
          <w:szCs w:val="28"/>
        </w:rPr>
        <w:t>Трансвагинальное УЗИ играет важную роль в современном управлении фертильностью. Регулирование кровотока в матке и яичниках является важным аспектом репродуктивной физиологии. Импульсная и цветная допплеровская технологии были использованы для того, чтобы показать, что кровоток, направленный в матку и яичник, претерпевает важные изменения в связи с циклическими гормональными изменениями и может быть легко обнаружен с помощью цветного допплера. Более логичным подходом было бы проанализировать все параметры ультрасонографии и допплера вместе, чтобы оценить восприимчивость матки. На основе многочисленных исследований по всему миру динамики цветового потока репродуктивных органов были разработаны различные системы оценок и критерии для прогнозирования имплантации эмбрионов, перенесенных в ходе вспомогательных репродуктивных технологий</w:t>
      </w:r>
      <w:r w:rsidR="00E317FF">
        <w:rPr>
          <w:rFonts w:ascii="Times New Roman" w:hAnsi="Times New Roman" w:cs="Times New Roman"/>
          <w:sz w:val="28"/>
          <w:szCs w:val="28"/>
        </w:rPr>
        <w:t xml:space="preserve">. </w:t>
      </w:r>
      <w:r w:rsidR="00E317FF" w:rsidRPr="00916B3A">
        <w:rPr>
          <w:rFonts w:ascii="Times New Roman" w:hAnsi="Times New Roman" w:cs="Times New Roman"/>
          <w:sz w:val="28"/>
          <w:szCs w:val="28"/>
        </w:rPr>
        <w:t>Многие исследователи подчеркивают важность наличия многослойного (трехслойного) эндометрия как прогностического маркера успеха в программах ЭКО/ИКСИ. Не только измерение толщины эндометрия и ультразвуковая картина эндометрия, но и измерения маточного кровотока могут обладать прогностической ценностью в отношении имплантации. Для оценки кровотока в сосудах матки и эндометрия используют цветовое картирование и спектральную допплерометрию. Оценивая маточную гемодинамику, особое внимание обращают на степень и симметрию васкуляризации миометрия, визуализацию всех последовательных ветвей сосудистого дерева матки (маточных, аркуатных, радиальных, базальных, спиральных артерий), наличие как систолической, так и диастолической составляющей кровотока в исследуемых сосудах, величину показателей углонезависимых индексов кривых скоростей кровотока: пульсационного индекса, индекса резистентности, систоло-диастолического соотношения</w:t>
      </w:r>
      <w:r w:rsidR="00F81FA6"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{"citationItems":[{"id":"ITEM-1","itemData":{"DOI":"10.1016/j.jri.2007.07.006","ISSN":"01650378","PMID":"17961712","abstract":"Introduction: Uterine receptivity was assessed simultaneously by measurement of vasoactive cytokines possibly involved in development of spiral arteries and by assessment of endometrial and uterine arterial blood flow. The objective was to explore the relationship between cytokine-related dysregulation and endometrial vascularisation in women with repeated implantation failures after in vitro fertilisation embryo transfer (IVF-ET). Materials and methods: We studied 40 women with recurrent IVF/ICSI-ET failures, despite replacement of more than 10 embryos of 'good quality', and 8 fertile controls. Three-dimensional ultrasound with power angiography was performed to record the sub-endometrial vascular flow index (VFI) and uterine artery pulsatility index prior to endometrial biopsy at day 21-23 of a monitored natural cycle. Endometrial IL-18, IL-18BP and IL-15 mRNA expression was assessed by real-time PCR, and the number of CD56+ cells determined by immunochemistry. Results: IL-18 and IL-15 mRNA expression was significantly different between the two groups. The range of variation in vascular imaging data was increased in the implantation failure (IF) group. The mRNA ratio for IL-15, but not the other cytokines, correlated with sub-endometrial vascular flow (r = 0.65; p &lt; 0.001). This ratio correlated also with the mean number of CD56+ cells per high-power field (r = 0.41; p = 0.005). Both IL-18 and IL-18BP mRNA expression was significantly negatively correlated with mean uterine artery pulsatility index (r = -0.37 and -0.43; p = 0.02 and 0.01, respectively). Conclusion: Comprehensive ultrasonographic indicators appear to be related to various mechanisms, including insufficient or excessive uterine NK cell recruitment and inadequate endothelial vascular remodelling. New molecular tools may be useful in providing greater precision of uterine receptivity than ultrasonic indicators alone. © 2007 Elsevier Ireland Ltd. All rights reserved.","author":[{"dropping-particle":"","family":"Lédée","given":"Nathalie","non-dropping-particle":"","parse-names":false,"suffix":""},{"dropping-particle":"","family":"Chaouat","given":"Gérard","non-dropping-particle":"","parse-names":false,"suffix":""},{"dropping-particle":"","family":"Serazin","given":"Valérie","non-dropping-particle":"","parse-names":false,"suffix":""},{"dropping-particle":"","family":"Lombroso","given":"Raoul","non-dropping-particle":"","parse-names":false,"suffix":""},{"dropping-particle":"","family":"Dubanchet","given":"Sylvie","non-dropping-particle":"","parse-names":false,"suffix":""},{"dropping-particle":"","family":"Oger","given":"Pierre","non-dropping-particle":"","parse-names":false,"suffix":""},{"dropping-particle":"","family":"Louafi","given":"Nabil","non-dropping-particle":"","parse-names":false,"suffix":""},{"dropping-particle":"","family":"Ville","given":"Yves","non-dropping-particle":"","parse-names":false,"suffix":""}],"container-title":"Journal of Reproductive Immunology","id":"ITEM-1","issue":"1","issued":{"date-parts":[["2008"]]},"page":"57-62","title":"Endometrial vascularity by three-dimensional power Doppler ultrasound and cytokines: a complementary approach to assess uterine receptivity","type":"article-journal","volume":"77"},"uris":["http://www.mendeley.com/documents/?uuid=7ac6b662-0612-4574-8ffc-16b3d31de7d9"]}],"mendeley":{"formattedCitation":"[45]","plainTextFormattedCitation":"[45]","previouslyFormattedCitation":"(45)"},"properties":{"noteIndex":0},"schema":"https://github.com/citation-style-language/schema/raw/master/csl-citation.json"}</w:instrText>
      </w:r>
      <w:r w:rsidR="00F81FA6"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[45]</w:t>
      </w:r>
      <w:r w:rsidR="00F81FA6" w:rsidRPr="00916B3A">
        <w:rPr>
          <w:rFonts w:ascii="Times New Roman" w:hAnsi="Times New Roman" w:cs="Times New Roman"/>
          <w:sz w:val="28"/>
          <w:szCs w:val="28"/>
        </w:rPr>
        <w:fldChar w:fldCharType="end"/>
      </w:r>
      <w:r w:rsidR="00006440" w:rsidRPr="00916B3A">
        <w:rPr>
          <w:rFonts w:ascii="Times New Roman" w:hAnsi="Times New Roman" w:cs="Times New Roman"/>
          <w:sz w:val="28"/>
          <w:szCs w:val="28"/>
        </w:rPr>
        <w:t xml:space="preserve">. </w:t>
      </w:r>
      <w:r w:rsidR="00E317FF">
        <w:rPr>
          <w:rFonts w:ascii="Times New Roman" w:hAnsi="Times New Roman" w:cs="Times New Roman"/>
          <w:sz w:val="28"/>
          <w:szCs w:val="28"/>
        </w:rPr>
        <w:t xml:space="preserve">  </w:t>
      </w:r>
    </w:p>
    <w:p w14:paraId="5E8D9C40" w14:textId="0687F7DC" w:rsidR="002905F3" w:rsidRPr="005F5385" w:rsidRDefault="00006440" w:rsidP="005F5385">
      <w:pPr>
        <w:shd w:val="clear" w:color="auto" w:fill="FFFFFF"/>
        <w:spacing w:after="0" w:line="240" w:lineRule="auto"/>
        <w:ind w:right="-1" w:firstLine="567"/>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 xml:space="preserve">Рецептивность эндометрия (толщина и васкуляризация) является предопределяющим фактором в прогнозировании исхода беременности у женщин. Если толщина, измеренная ультразвуком, </w:t>
      </w:r>
      <w:r w:rsidR="00951C76" w:rsidRPr="00916B3A">
        <w:rPr>
          <w:rFonts w:ascii="Times New Roman" w:hAnsi="Times New Roman" w:cs="Times New Roman"/>
          <w:sz w:val="28"/>
          <w:szCs w:val="28"/>
        </w:rPr>
        <w:t>составляет менее</w:t>
      </w:r>
      <w:r w:rsidRPr="00916B3A">
        <w:rPr>
          <w:rFonts w:ascii="Times New Roman" w:hAnsi="Times New Roman" w:cs="Times New Roman"/>
          <w:sz w:val="28"/>
          <w:szCs w:val="28"/>
        </w:rPr>
        <w:t xml:space="preserve"> 7 мм, функциональный слой тонкий или отсутствует, и имплантирующийся эмбрион будет находиться гораздо ближе к спиральным артериям и более высокой сосудистости и концентрации кислорода в базальном эндометрии. Высокая концентрация кислорода вблизи базального слоя может быть губительной по сравнению с обычным низким напряжением кислорода в поверхностном эндометрии</w:t>
      </w:r>
      <w:r w:rsidRPr="00916B3A">
        <w:rPr>
          <w:rFonts w:ascii="Times New Roman" w:hAnsi="Times New Roman" w:cs="Times New Roman"/>
        </w:rPr>
        <w:t xml:space="preserve">. </w:t>
      </w:r>
      <w:r w:rsidRPr="00916B3A">
        <w:rPr>
          <w:rFonts w:ascii="Times New Roman" w:hAnsi="Times New Roman" w:cs="Times New Roman"/>
          <w:sz w:val="28"/>
          <w:szCs w:val="28"/>
        </w:rPr>
        <w:t>Успешная имплантация зависит от тесного взаимодействия между бластоцистой и рецептивным эндометрием. Хорошее кровоснабжение периимплантационного эндометрия обычно считается необходимым условием для нормальной имплантации. В настоящее время, с развитием ультразвука, для оценки кровотока в эндометрии используется цветная допплеровская визуализация. Преимущества цветной допплерографии заключаются в высокой чувствительности к медленному кровотоку, меньшей зависимости от углов и меньшей замутненности изображения.</w:t>
      </w:r>
      <w:r w:rsidR="002905F3" w:rsidRPr="00916B3A">
        <w:rPr>
          <w:rFonts w:ascii="Times New Roman" w:hAnsi="Times New Roman" w:cs="Times New Roman"/>
          <w:sz w:val="28"/>
          <w:szCs w:val="28"/>
        </w:rPr>
        <w:t xml:space="preserve"> Наряду с толщиной эндометрия важнейшим показателем его состоятельности считаются эхографические признаки трехслойной структуры. Было показано, что даже при толщине эндометрия менее 7 мм наличие трехслойной структуры может обеспечить наступление беременности (24,4%) и низкую частоту выкидышей в первом триместре, тогда как при отсутствии признаков трехслойной структуры беременностей не наблюдалось. </w:t>
      </w:r>
      <w:r w:rsidR="005F5385" w:rsidRPr="00916B3A">
        <w:rPr>
          <w:rFonts w:ascii="Times New Roman" w:hAnsi="Times New Roman" w:cs="Times New Roman"/>
          <w:color w:val="000000" w:themeColor="text1"/>
          <w:sz w:val="28"/>
          <w:szCs w:val="28"/>
        </w:rPr>
        <w:t xml:space="preserve">Гемодинамические показатели сосудов матки на 2-3 дни менструального цикла не отражают имплантационную способность эндометрия в циклах ЭКО. </w:t>
      </w:r>
      <w:r w:rsidR="00E317FF" w:rsidRPr="00916B3A">
        <w:rPr>
          <w:rFonts w:ascii="Times New Roman" w:hAnsi="Times New Roman" w:cs="Times New Roman"/>
          <w:sz w:val="28"/>
          <w:szCs w:val="28"/>
        </w:rPr>
        <w:t xml:space="preserve">Восприимчивость эндометрия (толщина и сосудистость) является предопределяющим фактором в прогнозировании </w:t>
      </w:r>
      <w:r w:rsidR="00E317FF" w:rsidRPr="00916B3A">
        <w:rPr>
          <w:rFonts w:ascii="Times New Roman" w:hAnsi="Times New Roman" w:cs="Times New Roman"/>
          <w:sz w:val="28"/>
          <w:szCs w:val="28"/>
          <w:lang w:val="kk-KZ"/>
        </w:rPr>
        <w:t>исхода беременности у женщин с репродуктивными потерями в анамнезе</w:t>
      </w:r>
      <w:r w:rsidR="00E317FF">
        <w:rPr>
          <w:rFonts w:ascii="Times New Roman" w:hAnsi="Times New Roman" w:cs="Times New Roman"/>
          <w:sz w:val="28"/>
          <w:szCs w:val="28"/>
          <w:lang w:val="kk-KZ"/>
        </w:rPr>
        <w:t xml:space="preserve">. </w:t>
      </w:r>
      <w:r w:rsidR="005F5385" w:rsidRPr="00916B3A">
        <w:rPr>
          <w:rFonts w:ascii="Times New Roman" w:hAnsi="Times New Roman" w:cs="Times New Roman"/>
          <w:color w:val="000000" w:themeColor="text1"/>
          <w:sz w:val="28"/>
          <w:szCs w:val="28"/>
        </w:rPr>
        <w:t>Наиболее эффективным в отношении прогноза наступления беременности явилось определение гемодинамических показателей в спиральных и базальных артериях матки в день введения триггера овуляции и IR базальных и PI спиральных артерий в день переноса эмбрионов</w:t>
      </w:r>
      <w:r w:rsidR="005F5385" w:rsidRPr="00916B3A">
        <w:rPr>
          <w:rFonts w:ascii="Times New Roman" w:hAnsi="Times New Roman" w:cs="Times New Roman"/>
          <w:color w:val="000000" w:themeColor="text1"/>
          <w:sz w:val="28"/>
          <w:szCs w:val="28"/>
        </w:rPr>
        <w:fldChar w:fldCharType="begin" w:fldLock="1"/>
      </w:r>
      <w:r w:rsidR="00202726">
        <w:rPr>
          <w:rFonts w:ascii="Times New Roman" w:hAnsi="Times New Roman" w:cs="Times New Roman"/>
          <w:color w:val="000000" w:themeColor="text1"/>
          <w:sz w:val="28"/>
          <w:szCs w:val="28"/>
        </w:rPr>
        <w:instrText>ADDIN CSL_CITATION {"citationItems":[{"id":"ITEM-1","itemData":{"DOI":"10.1007/s13224-015-0742-5","ISSN":"09756434","abstract":"Purpose: To detect whether ultrasonographic parameters and Doppler analysis of uterine blood flow can be of value in the prediction of endometrial receptivity in infertile female patients undergoing embryo transfer. Methods: In this study, a total of 200 women with primary infertility undergoing embryo transfer were analyzed. Transvaginal ultrasonography was done on the 10th day of the menstrual cycle. To assess the uterine receptivity, we analyzed all the ultrasonographic and Doppler parameters. The slightly modified version of Applebaum Uterine Scoring System was used. This uterine scoring system included all the following parameters: endometrial thickness, endometrial morphology, endometrial blood flow within zone 3, myometrial echogenecity, uterine artery pulsatility index (PI), end diastolic blood flow, and myometrial blood flow internal to the arcuate vessels seen on gray-scale examination. Results: The pregnancy rates were higher in women with thick, distinct five-line endometrium and multifocal endometrial vascularity within zone 3. Absent endometrial flow, despite highest values for the other parameters, was associated with no conception. In our study, no pregnancy occurred with uterine PI values of more than 2.8. Absence or reversal of end diastolic blood flow was associated with no conception. A maximum score of 20 was associated with the pregnancy rate of 97.4 %, whereas scores of 13 or less resulted in no pregnancies. Conclusion: Uterine scoring system will help to perform embryo transfers in only favorable uteri and postpone or cancel those cycles in which poor uterine score is demonstrated.","author":[{"dropping-particle":"","family":"Khan","given":"Mohd Shoeb","non-dropping-particle":"","parse-names":false,"suffix":""},{"dropping-particle":"","family":"Shaikh","given":"Aneesa","non-dropping-particle":"","parse-names":false,"suffix":""},{"dropping-particle":"","family":"Ratnani","given":"Rekha","non-dropping-particle":"","parse-names":false,"suffix":""}],"container-title":"Journal of Obstetrics and Gynecology of India","id":"ITEM-1","issue":"1","issued":{"date-parts":[["2016"]]},"page":"377-382","publisher":"Springer India","title":"Ultrasonography and Doppler Study to Predict Uterine Receptivity in Infertile Patients Undergoing Embryo Transfer","type":"article-journal","volume":"66"},"uris":["http://www.mendeley.com/documents/?uuid=07aeaee4-4473-4bec-8601-9c412132b067"]}],"mendeley":{"formattedCitation":"[8]","manualFormatting":"[8, с. 377]","plainTextFormattedCitation":"[8]","previouslyFormattedCitation":"(8)"},"properties":{"noteIndex":0},"schema":"https://github.com/citation-style-language/schema/raw/master/csl-citation.json"}</w:instrText>
      </w:r>
      <w:r w:rsidR="005F5385" w:rsidRPr="00916B3A">
        <w:rPr>
          <w:rFonts w:ascii="Times New Roman" w:hAnsi="Times New Roman" w:cs="Times New Roman"/>
          <w:color w:val="000000" w:themeColor="text1"/>
          <w:sz w:val="28"/>
          <w:szCs w:val="28"/>
        </w:rPr>
        <w:fldChar w:fldCharType="separate"/>
      </w:r>
      <w:r w:rsidR="005F5385" w:rsidRPr="008C6800">
        <w:rPr>
          <w:rFonts w:ascii="Times New Roman" w:hAnsi="Times New Roman" w:cs="Times New Roman"/>
          <w:noProof/>
          <w:color w:val="000000" w:themeColor="text1"/>
          <w:sz w:val="28"/>
          <w:szCs w:val="28"/>
        </w:rPr>
        <w:t>[8</w:t>
      </w:r>
      <w:r w:rsidR="005F5385">
        <w:rPr>
          <w:rFonts w:ascii="Times New Roman" w:hAnsi="Times New Roman" w:cs="Times New Roman"/>
          <w:noProof/>
          <w:color w:val="000000" w:themeColor="text1"/>
          <w:sz w:val="28"/>
          <w:szCs w:val="28"/>
        </w:rPr>
        <w:t>, с. 377</w:t>
      </w:r>
      <w:r w:rsidR="005F5385" w:rsidRPr="008C6800">
        <w:rPr>
          <w:rFonts w:ascii="Times New Roman" w:hAnsi="Times New Roman" w:cs="Times New Roman"/>
          <w:noProof/>
          <w:color w:val="000000" w:themeColor="text1"/>
          <w:sz w:val="28"/>
          <w:szCs w:val="28"/>
        </w:rPr>
        <w:t>]</w:t>
      </w:r>
      <w:r w:rsidR="005F5385" w:rsidRPr="00916B3A">
        <w:rPr>
          <w:rFonts w:ascii="Times New Roman" w:hAnsi="Times New Roman" w:cs="Times New Roman"/>
          <w:color w:val="000000" w:themeColor="text1"/>
          <w:sz w:val="28"/>
          <w:szCs w:val="28"/>
        </w:rPr>
        <w:fldChar w:fldCharType="end"/>
      </w:r>
      <w:r w:rsidR="005F5385" w:rsidRPr="00916B3A">
        <w:rPr>
          <w:rFonts w:ascii="Times New Roman" w:hAnsi="Times New Roman" w:cs="Times New Roman"/>
          <w:color w:val="000000" w:themeColor="text1"/>
          <w:sz w:val="28"/>
          <w:szCs w:val="28"/>
        </w:rPr>
        <w:t>. Однако, исследование базальных и спиральных артерий не всегда представляется возможным как в день введения триггера овуляции, так и в день переноса эмбрионов. Поэтому, наиболее перспективным является комплексная оценка рецептивности эндометрия с применением допплерометрических показателей гемодинамики сосудов матки, иммуногистохимических и иммунологических маркеров имплантации</w:t>
      </w:r>
      <w:r w:rsidR="005F5385" w:rsidRPr="00916B3A">
        <w:rPr>
          <w:rFonts w:ascii="Times New Roman" w:hAnsi="Times New Roman" w:cs="Times New Roman"/>
          <w:color w:val="000000" w:themeColor="text1"/>
          <w:sz w:val="28"/>
          <w:szCs w:val="28"/>
        </w:rPr>
        <w:fldChar w:fldCharType="begin" w:fldLock="1"/>
      </w:r>
      <w:r w:rsidR="00202726">
        <w:rPr>
          <w:rFonts w:ascii="Times New Roman" w:hAnsi="Times New Roman" w:cs="Times New Roman"/>
          <w:color w:val="000000" w:themeColor="text1"/>
          <w:sz w:val="28"/>
          <w:szCs w:val="28"/>
        </w:rPr>
        <w:instrText>ADDIN CSL_CITATION {"citationItems":[{"id":"ITEM-1","itemData":{"DOI":"10.1016/j.fertnstert.2008.01.029","ISSN":"00150282","PMID":"18328483","abstract":"Objective: To characterize pathophysiologic features of a \"thin\" endometrium. Design: A prospective observational study. Setting: University Hospital and City General Hospital. Patient(s): Patients with normal-thickness endometrium (Normal-Em group: endometrial thickness ≥8 mm; n = 57) and thin endometrium (Thin-Em group: endometrial thickness &lt;8 mm; n = 17). Main Outcome Measure(s): Blood flow impedance of the uterine radial artery (RA) was assessed as resistance index (RI) by transvaginal color-pulsed Doppler ultrasonography. The area of glandular epithelium, the number of blood vessels, and vascular endothelial growth factor (VEGF) expression were examined in the midluteal-phase endometrium. Result(s): The RA-RI in the Thin-Em group was significantly higher than in the Normal-Em group throughout the menstrual cycle. Endometrial thickness was significantly correlated with RA-RI. Growth of glandular epithelium, the number of blood vessels, and VEGF expression were significantly lower in the Thin-Em group than in the Normal-Em group. Conclusion(s): A \"thin\" endometrium was characterized by high blood flow impedance of RA, poor epithelial growth, decreased VEGF expression, and poor vascular development. © 2009 American Society for Reproductive Medicine.","author":[{"dropping-particle":"","family":"Miwa","given":"Ichiro","non-dropping-particle":"","parse-names":false,"suffix":""},{"dropping-particle":"","family":"Tamura","given":"Hiroshi","non-dropping-particle":"","parse-names":false,"suffix":""},{"dropping-particle":"","family":"Takasaki","given":"Akihisa","non-dropping-particle":"","parse-names":false,"suffix":""},{"dropping-particle":"","family":"Yamagata","given":"Yoshiaki","non-dropping-particle":"","parse-names":false,"suffix":""},{"dropping-particle":"","family":"Shimamura","given":"Katsunori","non-dropping-particle":"","parse-names":false,"suffix":""},{"dropping-particle":"","family":"Sugino","given":"Norihiro","non-dropping-particle":"","parse-names":false,"suffix":""}],"container-title":"Fertility and Sterility","id":"ITEM-1","issue":"4","issued":{"date-parts":[["2009"]]},"page":"998-1004","publisher":"Elsevier Ltd","title":"Pathophysiologic features of \"thin\" endometrium","type":"article-journal","volume":"91"},"uris":["http://www.mendeley.com/documents/?uuid=cc61638b-d4fd-425c-ac94-428388d2b182"]}],"mendeley":{"formattedCitation":"[42]","manualFormatting":"[42, с. 998]","plainTextFormattedCitation":"[42]","previouslyFormattedCitation":"(42)"},"properties":{"noteIndex":0},"schema":"https://github.com/citation-style-language/schema/raw/master/csl-citation.json"}</w:instrText>
      </w:r>
      <w:r w:rsidR="005F5385" w:rsidRPr="00916B3A">
        <w:rPr>
          <w:rFonts w:ascii="Times New Roman" w:hAnsi="Times New Roman" w:cs="Times New Roman"/>
          <w:color w:val="000000" w:themeColor="text1"/>
          <w:sz w:val="28"/>
          <w:szCs w:val="28"/>
        </w:rPr>
        <w:fldChar w:fldCharType="separate"/>
      </w:r>
      <w:r w:rsidR="005F5385" w:rsidRPr="008C6800">
        <w:rPr>
          <w:rFonts w:ascii="Times New Roman" w:hAnsi="Times New Roman" w:cs="Times New Roman"/>
          <w:noProof/>
          <w:color w:val="000000" w:themeColor="text1"/>
          <w:sz w:val="28"/>
          <w:szCs w:val="28"/>
        </w:rPr>
        <w:t>[42</w:t>
      </w:r>
      <w:r w:rsidR="00202726">
        <w:rPr>
          <w:rFonts w:ascii="Times New Roman" w:hAnsi="Times New Roman" w:cs="Times New Roman"/>
          <w:noProof/>
          <w:color w:val="000000" w:themeColor="text1"/>
          <w:sz w:val="28"/>
          <w:szCs w:val="28"/>
        </w:rPr>
        <w:t>, с. 998</w:t>
      </w:r>
      <w:r w:rsidR="005F5385" w:rsidRPr="008C6800">
        <w:rPr>
          <w:rFonts w:ascii="Times New Roman" w:hAnsi="Times New Roman" w:cs="Times New Roman"/>
          <w:noProof/>
          <w:color w:val="000000" w:themeColor="text1"/>
          <w:sz w:val="28"/>
          <w:szCs w:val="28"/>
        </w:rPr>
        <w:t>]</w:t>
      </w:r>
      <w:r w:rsidR="005F5385" w:rsidRPr="00916B3A">
        <w:rPr>
          <w:rFonts w:ascii="Times New Roman" w:hAnsi="Times New Roman" w:cs="Times New Roman"/>
          <w:color w:val="000000" w:themeColor="text1"/>
          <w:sz w:val="28"/>
          <w:szCs w:val="28"/>
        </w:rPr>
        <w:fldChar w:fldCharType="end"/>
      </w:r>
      <w:r w:rsidR="005F5385" w:rsidRPr="00916B3A">
        <w:rPr>
          <w:rFonts w:ascii="Times New Roman" w:hAnsi="Times New Roman" w:cs="Times New Roman"/>
          <w:color w:val="000000" w:themeColor="text1"/>
          <w:sz w:val="28"/>
          <w:szCs w:val="28"/>
        </w:rPr>
        <w:t>.</w:t>
      </w:r>
    </w:p>
    <w:p w14:paraId="23028235" w14:textId="320CFFB3" w:rsidR="00202726" w:rsidRPr="00E317FF" w:rsidRDefault="00006440" w:rsidP="00E60637">
      <w:pPr>
        <w:shd w:val="clear" w:color="auto" w:fill="FFFFFF"/>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Помимо толщины при УЗИ можно оценить структуру эндометрия и состояние субэндометриального кровотока. Эндометрий при УЗИ имеет трехслойную структуру и состоит из: центральной эхогенной линии, соответствующей полости матки; внешних линий, соответствующих базальному слою эндометрия; относительно гипоэхогенной области между двумя внешними линиями и центральной линией, соответствующей функциональному слою эндометрия. </w:t>
      </w:r>
      <w:r w:rsidR="00E60637" w:rsidRPr="00916B3A">
        <w:rPr>
          <w:rFonts w:ascii="Times New Roman" w:hAnsi="Times New Roman" w:cs="Times New Roman"/>
          <w:sz w:val="28"/>
          <w:szCs w:val="28"/>
        </w:rPr>
        <w:t xml:space="preserve">При исследовании маточной гемодинамики обращают внимание на особенности васкуляризации миометрия, визуализации артерий матки, величину индексов сопротивления - пульсационного индекса (PI), индекса резистентности (IR); </w:t>
      </w:r>
      <w:proofErr w:type="gramStart"/>
      <w:r w:rsidR="00E60637" w:rsidRPr="00916B3A">
        <w:rPr>
          <w:rFonts w:ascii="Times New Roman" w:hAnsi="Times New Roman" w:cs="Times New Roman"/>
          <w:sz w:val="28"/>
          <w:szCs w:val="28"/>
        </w:rPr>
        <w:t>систоло-диастолическое</w:t>
      </w:r>
      <w:proofErr w:type="gramEnd"/>
      <w:r w:rsidR="00E60637" w:rsidRPr="00916B3A">
        <w:rPr>
          <w:rFonts w:ascii="Times New Roman" w:hAnsi="Times New Roman" w:cs="Times New Roman"/>
          <w:sz w:val="28"/>
          <w:szCs w:val="28"/>
        </w:rPr>
        <w:t xml:space="preserve"> соотношение (S/D). Изучение допплерометрических параметров сопротивления при спонтанной физиологически протекающей беременности у здоровых женщин выявило достоверное снижение IR и PI маточных, аркуатных, радиальных, базальных и спиральных артерий на ранних сроках по сравнению с аналогичными показателями у женщин с беременностью, завершившейся самопроизвольным абортом</w:t>
      </w:r>
      <w:r w:rsidR="00E60637">
        <w:rPr>
          <w:rFonts w:ascii="Times New Roman" w:hAnsi="Times New Roman" w:cs="Times New Roman"/>
          <w:sz w:val="28"/>
          <w:szCs w:val="28"/>
        </w:rPr>
        <w:t xml:space="preserve">. </w:t>
      </w:r>
      <w:r w:rsidRPr="00916B3A">
        <w:rPr>
          <w:rFonts w:ascii="Times New Roman" w:hAnsi="Times New Roman" w:cs="Times New Roman"/>
          <w:sz w:val="28"/>
          <w:szCs w:val="28"/>
        </w:rPr>
        <w:t>Оценка комбинированного влияния толщины и структуры эндометрия в день введения хорионического гонадотропина человека (ХГЧ) на клинический исход лечения проведена в 2896 циклах ЭКО/ИКСИ S.Chen и соавт. Авторы показали, что даже в случае толщины эндометрия менее 7 мм и наличия трехслойной структуры частота наступления беременности составила 24,4%. При величине эндометрия 7–14 мм и отсутствии трехслойности частота наступления беременности не уменьшалась, но значимо увеличивалось количество самопроизвольных выкидышей</w:t>
      </w:r>
      <w:r w:rsidR="006349B5"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{"citationItems":[{"id":"ITEM-1","itemData":{"DOI":"10.1016/j.fertnstert.2021.12.025","ISSN":"15565653","abstract":"Objective: To study the effect of increasing endometrial thickness on live birth rates in fresh and frozen-thaw embryo transfer (FET) cycles. Design: Retrospective cohort study. Setting: National data from Autologous in vitro fertilization (IVF) embryo transfer and FET cycles in Canada from the Canadian Assisted Reproductive Technology Registry Plus (CARTR Plus) database for records between January 2013 and December 2019. Patients: Thirty-three Canadians clinics participated in voluntary reporting of IVF and pregnancy outcomes to the Canadian Assisted Reproductive Technology Registry Plus database, and a total of 43,383 fresh and 53,377 frozen transfers were included. Intervention(s): None. Main Outcome Measure(s): Clinical pregnancy, pregnancy loss, and live birth rates. Results: In fresh IVF-embryo transfer cycles, increasing endometrial thickness is associated with significant increases in the mean number of oocytes retrieved, peak estradiol levels, number of usable embryos, clinical pregnancy rates, live birth rates, and mean term singleton birth weights, and a decrease in pregnancy loss rates. However, live birth rates plateau after 10–12 mm. In contrast, in FET cycles live birth rates plateau after the endometrium measures 7–10 mm. The improvement in live birth rates with increasing endometrial thickness was independent of patient age, timing of embryo transfer (e.g., cleavage stage vs. blastocyst stage), or the number of oocytes at retrieval. Conclusions: In cycles with a fresh embryo transfer, live birth rates increase significantly until an endometrial thickness of 10–12 mm, while in FET cycles live birth rates plateau after 7–10 mm. However, an endometrial thickness &lt;6 mm was associated clearly with a dramatic reduction in live birth rates in fresh and frozen embryo transfer cycles.","author":[{"dropping-particle":"","family":"Mahutte","given":"Neal","non-dropping-particle":"","parse-names":false,"suffix":""},{"dropping-particle":"","family":"Hartman","given":"Michael","non-dropping-particle":"","parse-names":false,"suffix":""},{"dropping-particle":"","family":"Meng","given":"Lynn","non-dropping-particle":"","parse-names":false,"suffix":""},{"dropping-particle":"","family":"Lanes","given":"Andrea","non-dropping-particle":"","parse-names":false,"suffix":""},{"dropping-particle":"","family":"Luo","given":"Zhong Cheng","non-dropping-particle":"","parse-names":false,"suffix":""},{"dropping-particle":"","family":"Liu","given":"Kimberly E.","non-dropping-particle":"","parse-names":false,"suffix":""}],"container-title":"Fertility and Sterility","id":"ITEM-1","issue":"4","issued":{"date-parts":[["2022"]]},"title":"Optimal endometrial thickness in fresh and frozen-thaw in vitro fertilization cycles: an analysis of live birth rates from 96,000 autologous embryo transfers","type":"article-journal","volume":"117"},"uris":["http://www.mendeley.com/documents/?uuid=809288f4-aca3-3f42-8db0-3654ad9789eb"]}],"mendeley":{"formattedCitation":"[46]","plainTextFormattedCitation":"[46]","previouslyFormattedCitation":"(46)"},"properties":{"noteIndex":0},"schema":"https://github.com/citation-style-language/schema/raw/master/csl-citation.json"}</w:instrText>
      </w:r>
      <w:r w:rsidR="006349B5"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[46]</w:t>
      </w:r>
      <w:r w:rsidR="006349B5"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p>
    <w:p w14:paraId="2BF87C80" w14:textId="19AAF13C" w:rsidR="005E1B1E" w:rsidRPr="00916B3A" w:rsidRDefault="005E1B1E" w:rsidP="00997125">
      <w:pPr>
        <w:shd w:val="clear" w:color="auto" w:fill="FFFFFF"/>
        <w:spacing w:after="0" w:line="240" w:lineRule="auto"/>
        <w:ind w:right="-1" w:firstLine="567"/>
        <w:jc w:val="both"/>
        <w:rPr>
          <w:rFonts w:ascii="Times New Roman" w:hAnsi="Times New Roman" w:cs="Times New Roman"/>
          <w:color w:val="000000" w:themeColor="text1"/>
          <w:sz w:val="28"/>
          <w:szCs w:val="28"/>
        </w:rPr>
      </w:pPr>
      <w:r w:rsidRPr="00916B3A">
        <w:rPr>
          <w:rFonts w:ascii="Times New Roman" w:hAnsi="Times New Roman" w:cs="Times New Roman"/>
          <w:color w:val="000000"/>
          <w:spacing w:val="4"/>
          <w:sz w:val="28"/>
          <w:szCs w:val="28"/>
          <w:lang w:val="kk-KZ"/>
        </w:rPr>
        <w:t>Рецептивность</w:t>
      </w:r>
      <w:r w:rsidRPr="00916B3A">
        <w:rPr>
          <w:rFonts w:ascii="Times New Roman" w:hAnsi="Times New Roman" w:cs="Times New Roman"/>
          <w:color w:val="000000"/>
          <w:spacing w:val="4"/>
          <w:sz w:val="28"/>
          <w:szCs w:val="28"/>
        </w:rPr>
        <w:t xml:space="preserve"> эндометрия - это сложный процесс, который обеспечивает эмбриону возможность прикрепиться, внедриться и развиваться, что в итоге приводит к появлению нового человека и продолжению рода</w:t>
      </w:r>
      <w:r w:rsidRPr="00916B3A">
        <w:rPr>
          <w:rFonts w:ascii="Times New Roman" w:hAnsi="Times New Roman" w:cs="Times New Roman"/>
          <w:color w:val="000000"/>
          <w:spacing w:val="4"/>
          <w:sz w:val="28"/>
          <w:szCs w:val="28"/>
        </w:rPr>
        <w:fldChar w:fldCharType="begin" w:fldLock="1"/>
      </w:r>
      <w:r w:rsidR="008C6800">
        <w:rPr>
          <w:rFonts w:ascii="Times New Roman" w:hAnsi="Times New Roman" w:cs="Times New Roman"/>
          <w:color w:val="000000"/>
          <w:spacing w:val="4"/>
          <w:sz w:val="28"/>
          <w:szCs w:val="28"/>
        </w:rPr>
        <w:instrText>ADDIN CSL_CITATION {"citationItems":[{"id":"ITEM-1","itemData":{"DOI":"10.3389/fendo.2019.00061","ISSN":"16642392","abstract":"Objective: Thin or damaged endometrium remains to be an unsolved problem in the treatment of patients with infertility. The empirical preference for endometrial thickness (EMT) among clinicians is &gt;7 mm, and the refractory thin endometrium, which doesn’t respond to standard medical therapies, can be the etiology of recurrent implantation failure (RIF). Autologous platelet-rich plasma (PRP) is known to help tissue regeneration and is widely used in various fields. In the present study, we conducted PRP treatment and investigated its effect on the refractory thin endometrium. Design: Prospective interventional study (https://cris.nih.go.kr/cris, clinical trial registration number: KCT0003375). Methods: Women who had a history of two or more failed IVF cycles and refractory thin endometrium were enrolled in this study. The main inclusion criteria were EMT of &lt;7 mm after more than 2 cycles of previous medical therapy for increasing the EMT. Twenty-four women were enrolled in this study. The subjects were treated with intrauterine infusion of autologous PRP 2 or 3 times from menstrual cycle day 10 of their frozen-thawed embryo transfer (FET) cycle, and ET was performed 3 days after the final autologous PRP infusion. 22 patients underwent FET, and 2 patients were lost to follow up. Results: The ongoing pregnancy rate and LBR were both 20%. The implantation and clinical pregnancy rates were 12.7 and 30%, respectively, and the difference was statistically significant. The average increase in the EMT was 0.6 mm compared with the EMT of their previous cycle. However, this difference was not statistically significant. Further, EMT of 12 patients increased (mean difference: 1.3 mm), while that of seven patients decreased (mean difference: 0.7 mm); the EMT of one patient did not change. There were no adverse effects reported by the patients who were treated with autologous PRP. Conclusions: The use of autologous PRP improved the implantation, pregnancy, and live birth rates (LBR) of the patients with refractory thin endometrium. We assume that the ability of autologous PRP to restore the endometrial receptivity of damaged endometrium has some aspects other than increasing the EMT. The molecular basis of the treatment needs to be revealed in future studies.","author":[{"dropping-particle":"","family":"Kim","given":"Hounyoung","non-dropping-particle":"","parse-names":false,"suffix":""},{"dropping-particle":"","family":"Shin","given":"Ji Eun","non-dropping-particle":"","parse-names":false,"suffix":""},{"dropping-particle":"","family":"Koo","given":"Hwa Seon","non-dropping-particle":"","parse-names":false,"suffix":""},{"dropping-particle":"","family":"Kwon","given":"Hwang","non-dropping-particle":"","parse-names":false,"suffix":""},{"dropping-particle":"","family":"Choi","given":"Dong Hee","non-dropping-particle":"","parse-names":false,"suffix":""},{"dropping-particle":"","family":"Kim","given":"Ji Hyang","non-dropping-particle":"","parse-names":false,"suffix":""}],"container-title":"Frontiers in Endocrinology","id":"ITEM-1","issue":"FEB","issued":{"date-parts":[["2019"]]},"page":"1-9","title":"Effect of autologous platelet-rich plasma treatment on refractory thin endometrium during the frozen embryo transfer cycle: A pilot study","type":"article-journal","volume":"10"},"uris":["http://www.mendeley.com/documents/?uuid=0e180e0f-7caa-4eae-9200-678e3e843694"]}],"mendeley":{"formattedCitation":"[47]","plainTextFormattedCitation":"[47]","previouslyFormattedCitation":"(47)"},"properties":{"noteIndex":0},"schema":"https://github.com/citation-style-language/schema/raw/master/csl-citation.json"}</w:instrText>
      </w:r>
      <w:r w:rsidRPr="00916B3A">
        <w:rPr>
          <w:rFonts w:ascii="Times New Roman" w:hAnsi="Times New Roman" w:cs="Times New Roman"/>
          <w:color w:val="000000"/>
          <w:spacing w:val="4"/>
          <w:sz w:val="28"/>
          <w:szCs w:val="28"/>
        </w:rPr>
        <w:fldChar w:fldCharType="separate"/>
      </w:r>
      <w:r w:rsidR="008C6800" w:rsidRPr="008C6800">
        <w:rPr>
          <w:rFonts w:ascii="Times New Roman" w:hAnsi="Times New Roman" w:cs="Times New Roman"/>
          <w:noProof/>
          <w:color w:val="000000"/>
          <w:spacing w:val="4"/>
          <w:sz w:val="28"/>
          <w:szCs w:val="28"/>
        </w:rPr>
        <w:t>[47]</w:t>
      </w:r>
      <w:r w:rsidRPr="00916B3A">
        <w:rPr>
          <w:rFonts w:ascii="Times New Roman" w:hAnsi="Times New Roman" w:cs="Times New Roman"/>
          <w:color w:val="000000"/>
          <w:spacing w:val="4"/>
          <w:sz w:val="28"/>
          <w:szCs w:val="28"/>
        </w:rPr>
        <w:fldChar w:fldCharType="end"/>
      </w:r>
      <w:r w:rsidRPr="00916B3A">
        <w:rPr>
          <w:rFonts w:ascii="Times New Roman" w:hAnsi="Times New Roman" w:cs="Times New Roman"/>
          <w:color w:val="000000"/>
          <w:spacing w:val="4"/>
          <w:sz w:val="28"/>
          <w:szCs w:val="28"/>
        </w:rPr>
        <w:t xml:space="preserve">. У большинства </w:t>
      </w:r>
      <w:r w:rsidRPr="00916B3A">
        <w:rPr>
          <w:rFonts w:ascii="Times New Roman" w:hAnsi="Times New Roman" w:cs="Times New Roman"/>
          <w:color w:val="000000"/>
          <w:spacing w:val="4"/>
          <w:sz w:val="28"/>
          <w:szCs w:val="28"/>
          <w:lang w:val="kk-KZ"/>
        </w:rPr>
        <w:t>здоровых</w:t>
      </w:r>
      <w:r w:rsidRPr="00916B3A">
        <w:rPr>
          <w:rFonts w:ascii="Times New Roman" w:hAnsi="Times New Roman" w:cs="Times New Roman"/>
          <w:color w:val="000000"/>
          <w:spacing w:val="4"/>
          <w:sz w:val="28"/>
          <w:szCs w:val="28"/>
        </w:rPr>
        <w:t xml:space="preserve"> женщин окно имплантации длится 3-6 дней в течение секреторной фазы. При определенных воспалительных или анатомических заболеваниях это окно сужается или смещается, препятствуя нормальной имплантации, что приводит к бесплодию или потере беременности</w:t>
      </w:r>
      <w:r w:rsidRPr="00916B3A">
        <w:rPr>
          <w:rFonts w:ascii="Times New Roman" w:hAnsi="Times New Roman" w:cs="Times New Roman"/>
          <w:color w:val="000000"/>
          <w:spacing w:val="4"/>
          <w:sz w:val="28"/>
          <w:szCs w:val="28"/>
        </w:rPr>
        <w:fldChar w:fldCharType="begin" w:fldLock="1"/>
      </w:r>
      <w:r w:rsidR="00E317FF">
        <w:rPr>
          <w:rFonts w:ascii="Times New Roman" w:hAnsi="Times New Roman" w:cs="Times New Roman"/>
          <w:color w:val="000000"/>
          <w:spacing w:val="4"/>
          <w:sz w:val="28"/>
          <w:szCs w:val="28"/>
        </w:rPr>
        <w:instrText>ADDIN CSL_CITATION {"citationItems":[{"id":"ITEM-1","itemData":{"DOI":"10.17116/repro201622561-69","ISSN":"1025-7217","author":[{"dropping-particle":"","family":"Краснопольская К.В., Назаренко Т.А.","given":"Ершова И.Ю.","non-dropping-particle":"","parse-names":false,"suffix":""}],"container-title":"Проблемы репродукции","id":"ITEM-1","issue":"5","issued":{"date-parts":[["2016"]]},"page":"61","title":"Современные подходы к оценке рецептивности эндометрия (обзор литературы)","type":"article-journal","volume":"22"},"uris":["http://www.mendeley.com/documents/?uuid=cd98eb66-c9d8-48c8-855b-84db71c57086"]}],"mendeley":{"formattedCitation":"[6]","manualFormatting":"[6, с. 61]","plainTextFormattedCitation":"[6]","previouslyFormattedCitation":"(6)"},"properties":{"noteIndex":0},"schema":"https://github.com/citation-style-language/schema/raw/master/csl-citation.json"}</w:instrText>
      </w:r>
      <w:r w:rsidRPr="00916B3A">
        <w:rPr>
          <w:rFonts w:ascii="Times New Roman" w:hAnsi="Times New Roman" w:cs="Times New Roman"/>
          <w:color w:val="000000"/>
          <w:spacing w:val="4"/>
          <w:sz w:val="28"/>
          <w:szCs w:val="28"/>
        </w:rPr>
        <w:fldChar w:fldCharType="separate"/>
      </w:r>
      <w:r w:rsidR="008C6800" w:rsidRPr="008C6800">
        <w:rPr>
          <w:rFonts w:ascii="Times New Roman" w:hAnsi="Times New Roman" w:cs="Times New Roman"/>
          <w:noProof/>
          <w:color w:val="000000"/>
          <w:spacing w:val="4"/>
          <w:sz w:val="28"/>
          <w:szCs w:val="28"/>
        </w:rPr>
        <w:t>[6</w:t>
      </w:r>
      <w:r w:rsidR="00E317FF">
        <w:rPr>
          <w:rFonts w:ascii="Times New Roman" w:hAnsi="Times New Roman" w:cs="Times New Roman"/>
          <w:noProof/>
          <w:color w:val="000000"/>
          <w:spacing w:val="4"/>
          <w:sz w:val="28"/>
          <w:szCs w:val="28"/>
        </w:rPr>
        <w:t>, с. 61</w:t>
      </w:r>
      <w:r w:rsidR="008C6800" w:rsidRPr="008C6800">
        <w:rPr>
          <w:rFonts w:ascii="Times New Roman" w:hAnsi="Times New Roman" w:cs="Times New Roman"/>
          <w:noProof/>
          <w:color w:val="000000"/>
          <w:spacing w:val="4"/>
          <w:sz w:val="28"/>
          <w:szCs w:val="28"/>
        </w:rPr>
        <w:t>]</w:t>
      </w:r>
      <w:r w:rsidRPr="00916B3A">
        <w:rPr>
          <w:rFonts w:ascii="Times New Roman" w:hAnsi="Times New Roman" w:cs="Times New Roman"/>
          <w:color w:val="000000"/>
          <w:spacing w:val="4"/>
          <w:sz w:val="28"/>
          <w:szCs w:val="28"/>
        </w:rPr>
        <w:fldChar w:fldCharType="end"/>
      </w:r>
      <w:r w:rsidRPr="00916B3A">
        <w:rPr>
          <w:rFonts w:ascii="Times New Roman" w:hAnsi="Times New Roman" w:cs="Times New Roman"/>
          <w:color w:val="000000"/>
          <w:spacing w:val="4"/>
          <w:sz w:val="28"/>
          <w:szCs w:val="28"/>
        </w:rPr>
        <w:t>.</w:t>
      </w:r>
      <w:r w:rsidRPr="00916B3A">
        <w:rPr>
          <w:rFonts w:ascii="Times New Roman" w:hAnsi="Times New Roman" w:cs="Times New Roman"/>
          <w:sz w:val="28"/>
          <w:szCs w:val="28"/>
        </w:rPr>
        <w:t xml:space="preserve"> </w:t>
      </w:r>
      <w:r w:rsidRPr="00916B3A">
        <w:rPr>
          <w:rFonts w:ascii="Times New Roman" w:hAnsi="Times New Roman" w:cs="Times New Roman"/>
          <w:color w:val="000000"/>
          <w:spacing w:val="4"/>
          <w:sz w:val="28"/>
          <w:szCs w:val="28"/>
        </w:rPr>
        <w:t xml:space="preserve">Способность эндометрия обеспечить нормальную имплантацию называется восприимчивостью, а оптимальная восприимчивость приводит к нормальным процессам имплантации, которые служат основой для здоровой беременности. Роберт Эдвардс однажды написал, что эндометрий является последним барьером на пути к прогрессу во вспомогательных репродуктивных технологиях. </w:t>
      </w:r>
      <w:r w:rsidRPr="00916B3A">
        <w:rPr>
          <w:rFonts w:ascii="Times New Roman" w:hAnsi="Times New Roman" w:cs="Times New Roman"/>
          <w:sz w:val="28"/>
          <w:szCs w:val="28"/>
        </w:rPr>
        <w:t xml:space="preserve">Нарушение процессов пролиферации функционального слоя эндометрия с неполноценностью и отставанием секреторной трансформации обусловливают неспособность половых гормонов обеспечивать адекватное циклическое преобразование эндометрия и, как следствие, приводить к патологической имплантации, исходом которой могут стать </w:t>
      </w:r>
      <w:r w:rsidRPr="00916B3A">
        <w:rPr>
          <w:rFonts w:ascii="Times New Roman" w:hAnsi="Times New Roman" w:cs="Times New Roman"/>
          <w:sz w:val="28"/>
          <w:szCs w:val="28"/>
          <w:lang w:val="kk-KZ"/>
        </w:rPr>
        <w:t>причинами ранних репродуктивных потерь</w:t>
      </w:r>
      <w:r w:rsidR="00E317FF" w:rsidRPr="00916B3A">
        <w:rPr>
          <w:rFonts w:ascii="Times New Roman" w:hAnsi="Times New Roman" w:cs="Times New Roman"/>
          <w:color w:val="000000"/>
          <w:spacing w:val="4"/>
          <w:sz w:val="28"/>
          <w:szCs w:val="28"/>
        </w:rPr>
        <w:fldChar w:fldCharType="begin" w:fldLock="1"/>
      </w:r>
      <w:r w:rsidR="00E317FF">
        <w:rPr>
          <w:rFonts w:ascii="Times New Roman" w:hAnsi="Times New Roman" w:cs="Times New Roman"/>
          <w:color w:val="000000"/>
          <w:spacing w:val="4"/>
          <w:sz w:val="28"/>
          <w:szCs w:val="28"/>
        </w:rPr>
        <w:instrText>ADDIN CSL_CITATION {"citationItems":[{"id":"ITEM-1","itemData":{"DOI":"10.1016/S1472-6483(10)61039-5","ISSN":"14726483","PMID":"17169215","abstract":"Implantation processes are highly complex involving the actions of numerous hormones, immunoglobulins, cytokines and other factors in the endometrium. They are also essential matters for the success of assisted reproduction. The nature of early embryonic development is of equal significance. It involves ovarian follicle growth, ovulation, fertilization and preimplantation growth. These processes are affected by imbalanced chromosomal constitutions or slow developmental periods. Post-implantation death is also a significant factor in cases of placental insufficiency or recurrent abortion. Clearly, many of these matters can significantly affect birth rates. This review is concerned primarily with the oocyte, the early embryo and its chromosomal anomalies, and the nature of factors involved in implantation. These are clearly among the most important features in determining successful embryonic and fetal growth. Successive sections cover the endocrine stimulation of follicle growth in mice and humans, growth of human embryos in vitro, their apposition and attachment to the uterus, factors involved in embryo attachment to uterine epithelium and later stages of implantation, and understanding the gene control of polarities and other aspects of preimplantation embryo differentiation. New aspects of knowledge include the use of human oocyte maturation in vitro as an approach to simpler forms of IVF, and new concepts in developmental genetics.","author":[{"dropping-particle":"","family":"Edwards","given":"Robert G.","non-dropping-particle":"","parse-names":false,"suffix":""}],"container-title":"Reproductive BioMedicine Online","id":"ITEM-1","issue":"6","issued":{"date-parts":[["2006"]]},"page":"887-904","publisher":"Reproductive Healthcare Ltd, Duck End Farm, Dry Drayton, Cambridge CB23 8DB, UK","title":"Human implantation: The last barrier in assisted reproduction technologies?","type":"article-journal","volume":"13"},"uris":["http://www.mendeley.com/documents/?uuid=b66eb902-c5e6-4798-9b92-c0f015d6b479"]}],"mendeley":{"formattedCitation":"[5]","plainTextFormattedCitation":"[5]","previouslyFormattedCitation":"(5)"},"properties":{"noteIndex":0},"schema":"https://github.com/citation-style-language/schema/raw/master/csl-citation.json"}</w:instrText>
      </w:r>
      <w:r w:rsidR="00E317FF" w:rsidRPr="00916B3A">
        <w:rPr>
          <w:rFonts w:ascii="Times New Roman" w:hAnsi="Times New Roman" w:cs="Times New Roman"/>
          <w:color w:val="000000"/>
          <w:spacing w:val="4"/>
          <w:sz w:val="28"/>
          <w:szCs w:val="28"/>
        </w:rPr>
        <w:fldChar w:fldCharType="separate"/>
      </w:r>
      <w:r w:rsidR="00E317FF" w:rsidRPr="008C6800">
        <w:rPr>
          <w:rFonts w:ascii="Times New Roman" w:hAnsi="Times New Roman" w:cs="Times New Roman"/>
          <w:noProof/>
          <w:color w:val="000000"/>
          <w:spacing w:val="4"/>
          <w:sz w:val="28"/>
          <w:szCs w:val="28"/>
        </w:rPr>
        <w:t>[5</w:t>
      </w:r>
      <w:r w:rsidR="00E317FF">
        <w:rPr>
          <w:rFonts w:ascii="Times New Roman" w:hAnsi="Times New Roman" w:cs="Times New Roman"/>
          <w:noProof/>
          <w:color w:val="000000"/>
          <w:spacing w:val="4"/>
          <w:sz w:val="28"/>
          <w:szCs w:val="28"/>
        </w:rPr>
        <w:t>, с. 887</w:t>
      </w:r>
      <w:r w:rsidR="00E317FF" w:rsidRPr="008C6800">
        <w:rPr>
          <w:rFonts w:ascii="Times New Roman" w:hAnsi="Times New Roman" w:cs="Times New Roman"/>
          <w:noProof/>
          <w:color w:val="000000"/>
          <w:spacing w:val="4"/>
          <w:sz w:val="28"/>
          <w:szCs w:val="28"/>
        </w:rPr>
        <w:t>]</w:t>
      </w:r>
      <w:r w:rsidR="00E317FF" w:rsidRPr="00916B3A">
        <w:rPr>
          <w:rFonts w:ascii="Times New Roman" w:hAnsi="Times New Roman" w:cs="Times New Roman"/>
          <w:color w:val="000000"/>
          <w:spacing w:val="4"/>
          <w:sz w:val="28"/>
          <w:szCs w:val="28"/>
        </w:rPr>
        <w:fldChar w:fldCharType="end"/>
      </w:r>
      <w:r w:rsidRPr="00916B3A">
        <w:rPr>
          <w:rFonts w:ascii="Times New Roman" w:hAnsi="Times New Roman" w:cs="Times New Roman"/>
          <w:sz w:val="28"/>
          <w:szCs w:val="28"/>
        </w:rPr>
        <w:t xml:space="preserve">. </w:t>
      </w:r>
      <w:r w:rsidRPr="00916B3A">
        <w:rPr>
          <w:rFonts w:ascii="Times New Roman" w:hAnsi="Times New Roman" w:cs="Times New Roman"/>
          <w:color w:val="000000"/>
          <w:spacing w:val="4"/>
          <w:sz w:val="28"/>
          <w:szCs w:val="28"/>
        </w:rPr>
        <w:t xml:space="preserve"> </w:t>
      </w:r>
    </w:p>
    <w:p w14:paraId="7EDB48DA" w14:textId="0C4D5289" w:rsidR="006E38AF" w:rsidRPr="00916B3A" w:rsidRDefault="006D2664" w:rsidP="00997125">
      <w:pPr>
        <w:shd w:val="clear" w:color="auto" w:fill="FFFFFF"/>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Гистероскопия или пайпель-биопсия с последующим гистологическим анализом эндометрия в фазу «окна имплантации» позволяют выявить значительные изменения в ультраструктуре морфологии эндом</w:t>
      </w:r>
      <w:r w:rsidR="00190FC3" w:rsidRPr="00916B3A">
        <w:rPr>
          <w:rFonts w:ascii="Times New Roman" w:hAnsi="Times New Roman" w:cs="Times New Roman"/>
          <w:sz w:val="28"/>
          <w:szCs w:val="28"/>
        </w:rPr>
        <w:t>етриальных эпителиальных клеток</w:t>
      </w:r>
      <w:r w:rsidR="00190FC3"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{"citationItems":[{"id":"ITEM-1","itemData":{"author":[{"dropping-particle":"","family":"Мошкалова Г.Н., Анартаева Г.Ж., Курманова А.М., Мамедалиева Н.М.","given":"Аимбетова А.Р.","non-dropping-particle":"","parse-names":false,"suffix":""},{"dropping-particle":"","family":"Салкенова А.А., Сейітқазы Д.Е.","given":"Амануллаева М.С.","non-dropping-particle":"","parse-names":false,"suffix":""}],"id":"ITEM-1","issued":{"date-parts":[["2019"]]},"page":"43-49","title":"Оценка рецептивности эндометрия : Современные подходы(обзор)","type":"article-journal"},"uris":["http://www.mendeley.com/documents/?uuid=6f3cf1c3-f78e-4a5d-a38e-6ffd42eb2f6b"]}],"mendeley":{"formattedCitation":"[48]","plainTextFormattedCitation":"[48]","previouslyFormattedCitation":"(48)"},"properties":{"noteIndex":0},"schema":"https://github.com/citation-style-language/schema/raw/master/csl-citation.json"}</w:instrText>
      </w:r>
      <w:r w:rsidR="00190FC3"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[48]</w:t>
      </w:r>
      <w:r w:rsidR="00190FC3" w:rsidRPr="00916B3A">
        <w:rPr>
          <w:rFonts w:ascii="Times New Roman" w:hAnsi="Times New Roman" w:cs="Times New Roman"/>
          <w:sz w:val="28"/>
          <w:szCs w:val="28"/>
        </w:rPr>
        <w:fldChar w:fldCharType="end"/>
      </w:r>
      <w:r w:rsidR="006E38AF" w:rsidRPr="00916B3A">
        <w:rPr>
          <w:rFonts w:ascii="Times New Roman" w:hAnsi="Times New Roman" w:cs="Times New Roman"/>
          <w:color w:val="000000" w:themeColor="text1"/>
          <w:sz w:val="28"/>
          <w:szCs w:val="28"/>
        </w:rPr>
        <w:t xml:space="preserve">. </w:t>
      </w:r>
      <w:r w:rsidRPr="00916B3A">
        <w:rPr>
          <w:rFonts w:ascii="Times New Roman" w:hAnsi="Times New Roman" w:cs="Times New Roman"/>
          <w:sz w:val="28"/>
          <w:szCs w:val="28"/>
        </w:rPr>
        <w:t>При электронном сканировании эпителия в период его максимальной рецептивности можно обнаружить эктоплазматические пиноподии, которые играют роль в облегчении прикрепления бластоцисты к поверхностному слою эндометриальных клеток. Хотя пиноподии считаются специфическим ультраструктурным маркером рецептивности эндометрия, в случаях её снижения не отмечено нарушения их функции. Поэтому наличие пиноподий не может служить точным маркером, определяющим рецептивность эндометрия</w:t>
      </w:r>
      <w:r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{"citationItems":[{"id":"ITEM-1","itemData":{"DOI":"10.1016/j.fertnstert.2019.02.029","ISSN":"15565653","PMID":"30929717","abstract":"Endometrial receptivity is an essential component of the complex process of embryo implantation. Its existence is inferred from the observation that not all embryo transfers result in pregnancy. The endometrium is a unique tissue which undergoes dramatic and rapid changes throughout the menstrual cycle. There appears to be a window of implantation, a time of optimal endometrial receptivity, when embryos are most likely to implant. The assessment of the timing and duration of this window of implantation has been a topic of interest and debate since the 1950s. The existence of the window of implantation led to the development of cycles in which endometrial receptivity is induced with exogenous E 2 and P. These cycles are essential to third party parenting and frozen embryo transfers and have therefore become a common part of the practice of assisted reproduction.","author":[{"dropping-particle":"","family":"Paulson","given":"Richard J.","non-dropping-particle":"","parse-names":false,"suffix":""}],"container-title":"Fertility and Sterility","id":"ITEM-1","issue":"4","issued":{"date-parts":[["2019"]]},"page":"609-610","title":"Introduction: Endometrial receptivity: evaluation, induction and inhibition","type":"article-journal","volume":"111"},"uris":["http://www.mendeley.com/documents/?uuid=620cf58b-54af-4386-a942-809e36d7c110"]}],"mendeley":{"formattedCitation":"[49]","plainTextFormattedCitation":"[49]","previouslyFormattedCitation":"(49)"},"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[49]</w:t>
      </w:r>
      <w:r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r w:rsidRPr="00916B3A">
        <w:rPr>
          <w:rFonts w:ascii="Times New Roman" w:hAnsi="Times New Roman" w:cs="Times New Roman"/>
          <w:sz w:val="28"/>
          <w:szCs w:val="28"/>
          <w:lang w:val="kk-KZ"/>
        </w:rPr>
        <w:t xml:space="preserve"> </w:t>
      </w:r>
    </w:p>
    <w:p w14:paraId="58F87144" w14:textId="24B8167B" w:rsidR="00267261" w:rsidRPr="00916B3A" w:rsidRDefault="00267261" w:rsidP="00997125">
      <w:pPr>
        <w:shd w:val="clear" w:color="auto" w:fill="FFFFFF"/>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К факторам риска эмбриональных потерь относятся: врожденные и приобретенные тромбофилии, хронический эндометрит, подтвержденный гистологически, а также нарушение кровообращения в малом тазу, выявленное с помощью допплерометрии сосудов матки. Применение стратегии тщательного выявления пациенток с подтвержденными факторами риска ранних эмбриональных потерь и комплексная подготовка таких женщин с использованием современных методов способствуют увеличению числа пациенток, успешно преодолевших эмбриональный порог после ЭКО и ПЭ на 20%, что в свою очередь положительно сказывается на основном показателе take baby home</w:t>
      </w:r>
      <w:r w:rsidRPr="00916B3A">
        <w:rPr>
          <w:rFonts w:ascii="Times New Roman" w:hAnsi="Times New Roman" w:cs="Times New Roman"/>
          <w:sz w:val="28"/>
          <w:szCs w:val="28"/>
        </w:rPr>
        <w:fldChar w:fldCharType="begin" w:fldLock="1"/>
      </w:r>
      <w:r w:rsidR="00E60637">
        <w:rPr>
          <w:rFonts w:ascii="Times New Roman" w:hAnsi="Times New Roman" w:cs="Times New Roman"/>
          <w:sz w:val="28"/>
          <w:szCs w:val="28"/>
        </w:rPr>
        <w:instrText>ADDIN CSL_CITATION {"citationItems":[{"id":"ITEM-1","itemData":{"author":[{"dropping-particle":"","family":"Оплодотворения","given":"После Экстракорпорального","non-dropping-particle":"","parse-names":false,"suffix":""}],"id":"ITEM-1","issued":{"date-parts":[["2016"]]},"page":"88-94","title":"Факторы риска и профилактика ранних потерь беременности","type":"article-journal"},"uris":["http://www.mendeley.com/documents/?uuid=04790a1f-5bec-4331-a674-d0900dd70849"]}],"mendeley":{"formattedCitation":"[16]","manualFormatting":"[16, с. 88]","plainTextFormattedCitation":"[16]","previouslyFormattedCitation":"(16)"},"properties":{"noteIndex":0},"schema":"https://github.com/citation-style-language/schema/raw/master/csl-citation.json"}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[16</w:t>
      </w:r>
      <w:r w:rsidR="00E317FF">
        <w:rPr>
          <w:rFonts w:ascii="Times New Roman" w:hAnsi="Times New Roman" w:cs="Times New Roman"/>
          <w:noProof/>
          <w:sz w:val="28"/>
          <w:szCs w:val="28"/>
        </w:rPr>
        <w:t>, с. 88</w:t>
      </w:r>
      <w:r w:rsidR="008C6800" w:rsidRPr="008C6800">
        <w:rPr>
          <w:rFonts w:ascii="Times New Roman" w:hAnsi="Times New Roman" w:cs="Times New Roman"/>
          <w:noProof/>
          <w:sz w:val="28"/>
          <w:szCs w:val="28"/>
        </w:rPr>
        <w:t>]</w:t>
      </w:r>
      <w:r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p>
    <w:p w14:paraId="25E73731" w14:textId="47434468" w:rsidR="004F69C1" w:rsidRPr="00916B3A" w:rsidRDefault="004F69C1" w:rsidP="00997125">
      <w:pPr>
        <w:shd w:val="clear" w:color="auto" w:fill="FFFFFF"/>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Исходя из всего вышеизложенного, можно с уверенностью утверждать, что исследование этиопатогенетических факторов рецидивов репродуктивных потерь на современном этапе является крайне важным и необходимым для совершенствования организации медицинской помощи женщинам, сталкивающимся с данной проблемой, что, в свою очередь, способствует улучшению демографической ситуации как в регионе, так и в стране в целом.</w:t>
      </w:r>
    </w:p>
    <w:p w14:paraId="47419A39" w14:textId="662578B8" w:rsidR="006349B5" w:rsidRPr="00916B3A" w:rsidRDefault="00AD52B5" w:rsidP="00997125">
      <w:pPr>
        <w:shd w:val="clear" w:color="auto" w:fill="FFFFFF"/>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В последнее время наблюдается возрастающий интерес к концепции эндометриопатии и ее возможной связи с развитием выкидышей, что стало важной темой в последние годы. Особое внимание уделяется ее возможному воздействию на имплантацию, особенно в контексте «тонкого» эндометрия</w:t>
      </w:r>
      <w:r w:rsidR="00E60637">
        <w:rPr>
          <w:rFonts w:ascii="Times New Roman" w:hAnsi="Times New Roman" w:cs="Times New Roman"/>
          <w:sz w:val="28"/>
          <w:szCs w:val="28"/>
        </w:rPr>
        <w:t xml:space="preserve">. </w:t>
      </w:r>
      <w:r w:rsidR="00E60637" w:rsidRPr="00916B3A">
        <w:rPr>
          <w:rFonts w:ascii="Times New Roman" w:hAnsi="Times New Roman" w:cs="Times New Roman"/>
          <w:sz w:val="28"/>
          <w:szCs w:val="28"/>
        </w:rPr>
        <w:t>Патофизиологические особенности тонкого эндометрия характеризуются медленным ростом железистого эпителия, высоким сопротивлением у женщин репродуктивного возраста, не имеющих проблем со здоровьем, слизистая оболочка матки регулярно претерпевает циклические изменения, которые влияют на ее толщину, структуру и потенциал фертильности. В естественных циклах толщина М-эхо под влиянием гормональной регуляции достигает пиковых значений примерно к середине секреторной фазы и достигает нормального ультразвукового измерения 8–12 мм к моменту овуляции. На типичной предимплантационной стадии эндометрий имеет такие особенности, как хорошо развитая капиллярная сеть, микроциркуляция, оксигенация тканей, увеличение клеточного эпителия и пролиферации стромы, повышенная метаболическая активность и подготовленная нейрорецепторная система внутри эндометрия. Пик рецептивности эндометрия обычно начинается примерно на 6-й день после овуляции и продолжается в течение 4-5 дней, что соответствует 20-24 дням менструального цикла, называемым «окном имплантации». В основе развития «тонкого» эндометрия лежит высокий уровень импеданса кровотока в артериях матки. Для оценки кровотока в сосудах матки и эндометрия используют цветовое допплеровское картирование и спектральную допплерометрию</w:t>
      </w:r>
      <w:r w:rsidR="00E60637" w:rsidRPr="00916B3A">
        <w:rPr>
          <w:rFonts w:ascii="Times New Roman" w:hAnsi="Times New Roman" w:cs="Times New Roman"/>
          <w:sz w:val="28"/>
          <w:szCs w:val="28"/>
        </w:rPr>
        <w:fldChar w:fldCharType="begin" w:fldLock="1"/>
      </w:r>
      <w:r w:rsidR="00E60637">
        <w:rPr>
          <w:rFonts w:ascii="Times New Roman" w:hAnsi="Times New Roman" w:cs="Times New Roman"/>
          <w:sz w:val="28"/>
          <w:szCs w:val="28"/>
        </w:rPr>
        <w:instrText>ADDIN CSL_CITATION {"citationItems":[{"id":"ITEM-1","itemData":{"DOI":"10.1097/MD.0000000000009689","ISSN":"1536-5964","abstract":"To evaluate the relationship between endometrial thickness during fresh in vitro fertilization (IVF) cycles and the clinical outcomes of subsequent frozen embryo transfer (FET) cycles.FET cycles using at least one morphological good-quality blastocyst conducted between 2012 and 2013 at a university-based reproductive center were reviewed retrospectively. Endometrial ultrasonographic characteristics were recorded both on the oocyte retrieval day and on the day of progesterone supplementation in FET cycles. Clinical pregnancy rate, spontaneous abortion rate, and live birth rate were analyzed.One thousand five hundred twelve FET cycles was included. The results showed that significant difference in endometrial thickness on day of oocyte retrieval (P = .03) was observed between the live birth group (n = 844) and no live birth group (n = 668), while no significant difference in FET endometrial thickness was found (P = .261) between the live birth group and no live birth group. For endometrial thickness on oocyte retrieval day, clinical pregnancy rate ranged from 50.0% among patients with an endometrial thickness of ≤6 mm to 84.2% among patients with an endometrial thickness of &gt;16 mm, with live birth rate from 33.3% to 63.2%. Multiple logistic regression analysis of factors related to live birth indicated endometrial thickness on oocyte retrieval day was associated with improved live birth rate (OR was 1.069, 95% CI: 1.011-1.130, P = .019), while FET endometrial thickness did not contribute significantly to pregnancy outcomes following FET cycles. The ROC curves revealed the cut-off points of endometrial thickness on oocyte retrieval day was 8.75 mm for live birth.Endometrial thickness during fresh IVF cycles was a better predictor of endometrial receptivity in subsequent FET cycles than FET cycle endometrial thickness. For those females with thin endometrium in fresh cycles, additional estradiol stimulation might be helpful for adequate endometrial development.","author":[{"dropping-particle":"","family":"Zhang","given":"Tao","non-dropping-particle":"","parse-names":false,"suffix":""},{"dropping-particle":"","family":"Li","given":"Zhou","non-dropping-particle":"","parse-names":false,"suffix":""},{"dropping-particle":"","family":"Ren","given":"Xinling","non-dropping-particle":"","parse-names":false,"suffix":""},{"dropping-particle":"","family":"Huang","given":"Bo","non-dropping-particle":"","parse-names":false,"suffix":""},{"dropping-particle":"","family":"Zhu","given":"Guijin","non-dropping-particle":"","parse-names":false,"suffix":""},{"dropping-particle":"","family":"Yang","given":"Wei","non-dropping-particle":"","parse-names":false,"suffix":""},{"dropping-particle":"","family":"Jin","given":"Lei","non-dropping-particle":"","parse-names":false,"suffix":""}],"container-title":"Medicine","id":"ITEM-1","issue":"4","issued":{"date-parts":[["2018"]]},"title":"Endometrial thickness as a predictor of the reproductive outcomes in fresh and frozen embryo transfer cycles: A retrospective cohort study of 1512 IVF cycles with morphologically good-quality blastocyst.","type":"article-journal","volume":"97"},"uris":["http://www.mendeley.com/documents/?uuid=130e09ad-902e-3468-a05f-0a298a0fd4f7"]}],"mendeley":{"formattedCitation":"[50]","plainTextFormattedCitation":"[50]","previouslyFormattedCitation":"(50)"},"properties":{"noteIndex":0},"schema":"https://github.com/citation-style-language/schema/raw/master/csl-citation.json"}</w:instrText>
      </w:r>
      <w:r w:rsidR="00E60637" w:rsidRPr="00916B3A">
        <w:rPr>
          <w:rFonts w:ascii="Times New Roman" w:hAnsi="Times New Roman" w:cs="Times New Roman"/>
          <w:sz w:val="28"/>
          <w:szCs w:val="28"/>
        </w:rPr>
        <w:fldChar w:fldCharType="separate"/>
      </w:r>
      <w:r w:rsidR="00E60637" w:rsidRPr="008C6800">
        <w:rPr>
          <w:rFonts w:ascii="Times New Roman" w:hAnsi="Times New Roman" w:cs="Times New Roman"/>
          <w:noProof/>
          <w:sz w:val="28"/>
          <w:szCs w:val="28"/>
        </w:rPr>
        <w:t>[50]</w:t>
      </w:r>
      <w:r w:rsidR="00E60637" w:rsidRPr="00916B3A">
        <w:rPr>
          <w:rFonts w:ascii="Times New Roman" w:hAnsi="Times New Roman" w:cs="Times New Roman"/>
          <w:sz w:val="28"/>
          <w:szCs w:val="28"/>
        </w:rPr>
        <w:fldChar w:fldCharType="end"/>
      </w:r>
      <w:r w:rsidRPr="00916B3A">
        <w:rPr>
          <w:rFonts w:ascii="Times New Roman" w:hAnsi="Times New Roman" w:cs="Times New Roman"/>
          <w:sz w:val="28"/>
          <w:szCs w:val="28"/>
        </w:rPr>
        <w:t xml:space="preserve">. </w:t>
      </w:r>
      <w:r w:rsidR="006349B5" w:rsidRPr="00916B3A">
        <w:rPr>
          <w:rFonts w:ascii="Times New Roman" w:hAnsi="Times New Roman" w:cs="Times New Roman"/>
          <w:sz w:val="28"/>
          <w:szCs w:val="28"/>
        </w:rPr>
        <w:t>Поэтому тонкий эндометрий часто определяется как толщина эндометрия менее 7 мм при трансвагинальном ультразвуковом исследовании в поздней фолликулярн</w:t>
      </w:r>
      <w:r w:rsidRPr="00916B3A">
        <w:rPr>
          <w:rFonts w:ascii="Times New Roman" w:hAnsi="Times New Roman" w:cs="Times New Roman"/>
          <w:sz w:val="28"/>
          <w:szCs w:val="28"/>
        </w:rPr>
        <w:t>ой фазе или после овуляции</w:t>
      </w:r>
      <w:r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{"citationItems":[{"id":"ITEM-1","itemData":{"DOI":"10.4103/jhrs.JHRS_9_17","ISSN":"19984766","abstract":"Aim: Gonadotropin stimulation is used as the second line of treatment in patients with thin endometrium following clomiphene citrate (CC) administration, which is associated with higher cost, multiple births, and ovarian hyperstimulation syndrome. Tamoxifen (TMX), a selective estrogen receptor modulator, acts as an agonist on the endometrium. The objective of the present study was to compare the efficacy of low-dose CC, TMX, and gonadotropins in women with thin endometrium (&lt;7 mm) following Clomiphene in intrauterine insemination (IUI) cycles. Settings and Design: A prospective observational study between December 2011 and June 2013 was carried out in a tertiary infertility center. Methods: Women (n = 502) undergoing IUI with endometrium &lt;7 mm after 100 mg CC were included in the study and divided into three treatment groups. Women in Group A (n = 182, cycles = 364) received clomiphene (50 mg/day from day 3 to 7), Group B (n = 179, cycles = 342) received TMX (40 mg/day from day 3 to 7), and Group C (n = 141, cycles = 226) received continuous urine-derived follicle-stimulating hormone 75-150 IU from day 3 onward until human chorionic gonadotropin injection. Endometrial thickness (ET), pregnancy rate, and live birth rate were considered as main outcome measures. Statistical Analysis: Multiple comparisons using one-way ANOVA and Schiff's test were performed. Results: Pregnancy and live birth rate were significantly higher (P &lt; 0.004) in TMX and gonadotropin groups compared to clomiphene. A number of follicles in the TMX group were found to be lower (P &lt; 0.001) compared to other two groups. In polycystic ovary syndrome patients, ovulation induction with TMX resulted in inadequate response in more than half of the cycles. Conclusions: TMX can improve ET and live birth rate in patients with thin endometrium after clomiphene.","author":[{"dropping-particle":"","family":"Sharma","given":"Sunita","non-dropping-particle":"","parse-names":false,"suffix":""},{"dropping-particle":"","family":"Rani","given":"Geetha","non-dropping-particle":"","parse-names":false,"suffix":""},{"dropping-particle":"","family":"Bose","given":"Gunja","non-dropping-particle":"","parse-names":false,"suffix":""},{"dropping-particle":"","family":"Saha","given":"Indranil","non-dropping-particle":"","parse-names":false,"suffix":""},{"dropping-particle":"","family":"Bathwal","given":"Sikha","non-dropping-particle":"","parse-names":false,"suffix":""},{"dropping-particle":"","family":"Chakravarty","given":"B.","non-dropping-particle":"","parse-names":false,"suffix":""}],"container-title":"Journal of Human Reproductive Sciences","id":"ITEM-1","issue":"1","issued":{"date-parts":[["2018"]]},"page":"34-39","title":"Tamoxifen is better than low-dose clomiphene or gonadotropins in women with thin endometrium (&lt;7 mm) after clomiphene in intrauterine insemination cycles: A prospective study","type":"article-journal","volume":"11"},"uris":["http://www.mendeley.com/documents/?uuid=9de15940-e08f-4eb8-9c27-8aaeb3c3e895"]}],"mendeley":{"formattedCitation":"[51]","plainTextFormattedCitation":"[51]","previouslyFormattedCitation":"(51)"},"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[51]</w:t>
      </w:r>
      <w:r w:rsidRPr="00916B3A">
        <w:rPr>
          <w:rFonts w:ascii="Times New Roman" w:hAnsi="Times New Roman" w:cs="Times New Roman"/>
          <w:sz w:val="28"/>
          <w:szCs w:val="28"/>
        </w:rPr>
        <w:fldChar w:fldCharType="end"/>
      </w:r>
      <w:r w:rsidR="006349B5" w:rsidRPr="00916B3A">
        <w:rPr>
          <w:rFonts w:ascii="Times New Roman" w:hAnsi="Times New Roman" w:cs="Times New Roman"/>
          <w:sz w:val="28"/>
          <w:szCs w:val="28"/>
        </w:rPr>
        <w:t>.</w:t>
      </w:r>
    </w:p>
    <w:p w14:paraId="7B15F7A0" w14:textId="3FA0F0BA" w:rsidR="006E38AF" w:rsidRPr="00916B3A" w:rsidRDefault="006E38AF" w:rsidP="00997125">
      <w:pPr>
        <w:pStyle w:val="x-text-2"/>
        <w:shd w:val="clear" w:color="auto" w:fill="FFFFFF"/>
        <w:spacing w:before="0" w:beforeAutospacing="0" w:after="0" w:afterAutospacing="0"/>
        <w:ind w:firstLine="567"/>
        <w:jc w:val="both"/>
        <w:rPr>
          <w:sz w:val="28"/>
          <w:szCs w:val="28"/>
        </w:rPr>
      </w:pPr>
      <w:r w:rsidRPr="00916B3A">
        <w:rPr>
          <w:sz w:val="28"/>
          <w:szCs w:val="28"/>
        </w:rPr>
        <w:t>Снижение рецептивности эндометрия связывают с дисфункцией регуляции гормонов на всех уровнях системы «гипоталамус-гипофиз-яичники-эндометрий». Существуют исследования, демонстрирующие у пациентов с гипоплазией эндометрия снижение эксп</w:t>
      </w:r>
      <w:r w:rsidR="009978F4" w:rsidRPr="00916B3A">
        <w:rPr>
          <w:sz w:val="28"/>
          <w:szCs w:val="28"/>
        </w:rPr>
        <w:t>рессии рецепторов эстрогена</w:t>
      </w:r>
      <w:r w:rsidRPr="00916B3A">
        <w:rPr>
          <w:sz w:val="28"/>
          <w:szCs w:val="28"/>
        </w:rPr>
        <w:t xml:space="preserve"> в стромальных клетках во время пролиферативной и секреторной фаз, тогда как в железистых эпителиальных клетках - только во время пролиферативной фазы</w:t>
      </w:r>
      <w:r w:rsidR="009978F4" w:rsidRPr="00916B3A">
        <w:rPr>
          <w:sz w:val="28"/>
          <w:szCs w:val="28"/>
        </w:rPr>
        <w:fldChar w:fldCharType="begin" w:fldLock="1"/>
      </w:r>
      <w:r w:rsidR="008C6800">
        <w:rPr>
          <w:sz w:val="28"/>
          <w:szCs w:val="28"/>
        </w:rPr>
        <w:instrText>ADDIN CSL_CITATION {"citationItems":[{"id":"ITEM-1","itemData":{"DOI":"10.1177/1933719118816835","ISSN":"19337205","PMID":"30501453","abstract":"The aim of this study is to investigate the effect of ovarian and endometrial response on live birth rates (LBRs) in young normal and high responders and prolonged pituitary downregulation on endometrial receptivity and clinical outcomes in patients with different endometrial thickness. Between January 2013 and December 2017, 9511 patients underwent first in vitro fertilization (IVF)/intracytoplasmic sperm injection (ICSI) cycles with age ≤35 years, follicle stimulating hormone &lt; 10 IU/l, and ≥4 retrieved oocytes were conducted. The estradiol (E2) levels on the human chorionic gonadotropin (HCG) day were classified into 4 groups: group 1 (&lt;3000 pg/mL); group 2 (3000-5000 pg/mL); group 3 (5000-7000 pg/mL), and group 4 (≥7000 pg/mL). Logistic regression analysis was performed to predict the independent variables for live birth. Clinical outcomes between gonadotropin-releasing hormone agonist (GnRH-a) long protocol and GnRH-a prolonged protocol in patients with different endometrial thickness (EMT) were compared. There were no significant differences among the 4 groups in implantation rates, clinical pregnancy rates, and LBRs (P &gt;.05). Binary logistic regression analysis suggested that EMT but not E2 levels was one of the independent predictive factors of LBRs (odds ratio 0.889, 95% confidence interval, 0.865-0.914, P &lt;.001). The prolonged protocol had significantly higher implantation rates and clinical pregnancy rates in patients with medium (7 &lt; EMT &lt; 14 mm), especially thin endometrium (≤7 mm) compared to short GnRH-a long protocol. Our study showed that endometrial response but not ovarian response was associated with LBRs in young normal and hyper responders. Prolonged pituitary downregulation was an effective treatment to improve endometrial receptivity in patients with medium, especially thin endometrium.","author":[{"dropping-particle":"","family":"Song","given":"Jianyuan","non-dropping-particle":"","parse-names":false,"suffix":""},{"dropping-particle":"","family":"Sun","given":"Xuejiao","non-dropping-particle":"","parse-names":false,"suffix":""},{"dropping-particle":"","family":"Qian","given":"Kun","non-dropping-particle":"","parse-names":false,"suffix":""}],"container-title":"Reproductive Sciences","id":"ITEM-1","issue":"11","issued":{"date-parts":[["2019"]]},"page":"1409-1416","title":"Endometrial but not Ovarian Response is Associated With Clinical Outcomes and can be Improved by Prolonged Pituitary Downregulation in Patients With Thin and Medium Endometrium","type":"article-journal","volume":"26"},"uris":["http://www.mendeley.com/documents/?uuid=394c3b88-a65a-4a5b-a044-d4f5daa706ca"]}],"mendeley":{"formattedCitation":"[52]","plainTextFormattedCitation":"[52]","previouslyFormattedCitation":"(52)"},"properties":{"noteIndex":0},"schema":"https://github.com/citation-style-language/schema/raw/master/csl-citation.json"}</w:instrText>
      </w:r>
      <w:r w:rsidR="009978F4" w:rsidRPr="00916B3A">
        <w:rPr>
          <w:sz w:val="28"/>
          <w:szCs w:val="28"/>
        </w:rPr>
        <w:fldChar w:fldCharType="separate"/>
      </w:r>
      <w:r w:rsidR="008C6800" w:rsidRPr="008C6800">
        <w:rPr>
          <w:noProof/>
          <w:sz w:val="28"/>
          <w:szCs w:val="28"/>
        </w:rPr>
        <w:t>[52]</w:t>
      </w:r>
      <w:r w:rsidR="009978F4" w:rsidRPr="00916B3A">
        <w:rPr>
          <w:sz w:val="28"/>
          <w:szCs w:val="28"/>
        </w:rPr>
        <w:fldChar w:fldCharType="end"/>
      </w:r>
      <w:r w:rsidRPr="00916B3A">
        <w:rPr>
          <w:sz w:val="28"/>
          <w:szCs w:val="28"/>
        </w:rPr>
        <w:t xml:space="preserve">. </w:t>
      </w:r>
    </w:p>
    <w:p w14:paraId="753E08F8" w14:textId="14648A8A" w:rsidR="000D35BB" w:rsidRPr="00916B3A" w:rsidRDefault="000D35BB" w:rsidP="00997125">
      <w:pPr>
        <w:shd w:val="clear" w:color="auto" w:fill="FFFFFF"/>
        <w:spacing w:after="0" w:line="240" w:lineRule="auto"/>
        <w:ind w:firstLine="567"/>
        <w:jc w:val="both"/>
        <w:textAlignment w:val="baseline"/>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Среди факторов риска выделяют ранние эмбрионические потери (с 14-го по 21-й день после ПЭ), связанные с низким овариальным резервом, хроническим эндометритом, совпадением по 3 и более антигенам II класса системы HLA, наличием антител к хорионическому г</w:t>
      </w:r>
      <w:r w:rsidR="004E2FED" w:rsidRPr="00916B3A">
        <w:rPr>
          <w:rFonts w:ascii="Times New Roman" w:eastAsia="Arial Unicode MS" w:hAnsi="Times New Roman" w:cs="Times New Roman"/>
          <w:color w:val="000000"/>
          <w:sz w:val="28"/>
          <w:szCs w:val="28"/>
          <w:u w:color="000000"/>
          <w:bdr w:val="nil"/>
        </w:rPr>
        <w:t>онадотропину человека</w:t>
      </w:r>
      <w:r w:rsidR="004E2FED" w:rsidRPr="00916B3A">
        <w:rPr>
          <w:rFonts w:ascii="Times New Roman" w:eastAsia="Arial Unicode MS" w:hAnsi="Times New Roman" w:cs="Times New Roman"/>
          <w:color w:val="000000"/>
          <w:sz w:val="28"/>
          <w:szCs w:val="28"/>
          <w:u w:color="000000"/>
          <w:bdr w:val="nil"/>
        </w:rPr>
        <w:fldChar w:fldCharType="begin" w:fldLock="1"/>
      </w:r>
      <w:r w:rsidR="008C6800">
        <w:rPr>
          <w:rFonts w:ascii="Times New Roman" w:eastAsia="Arial Unicode MS" w:hAnsi="Times New Roman" w:cs="Times New Roman"/>
          <w:color w:val="000000"/>
          <w:sz w:val="28"/>
          <w:szCs w:val="28"/>
          <w:u w:color="000000"/>
          <w:bdr w:val="nil"/>
        </w:rPr>
        <w:instrText>ADDIN CSL_CITATION {"citationItems":[{"id":"ITEM-1","itemData":{"DOI":"10.24411/2075-4094-2020-16597","ISBN":"2075409420","author":[{"dropping-particle":"","family":"Волков","given":"В Г","non-dropping-particle":"","parse-names":false,"suffix":""},{"dropping-particle":"","family":"Ахильгова","given":"З С","non-dropping-particle":"","parse-names":false,"suffix":""}],"id":"ITEM-1","issued":{"date-parts":[["2020"]]},"page":"66-72","title":"Факторы риска ранних потерь беременности","type":"article-journal","volume":"5"},"uris":["http://www.mendeley.com/documents/?uuid=eec26056-21b4-4cd0-a3d9-45282d7188bc"]}],"mendeley":{"formattedCitation":"[25]","plainTextFormattedCitation":"[25]","previouslyFormattedCitation":"(25)"},"properties":{"noteIndex":0},"schema":"https://github.com/citation-style-language/schema/raw/master/csl-citation.json"}</w:instrText>
      </w:r>
      <w:r w:rsidR="004E2FED" w:rsidRPr="00916B3A">
        <w:rPr>
          <w:rFonts w:ascii="Times New Roman" w:eastAsia="Arial Unicode MS" w:hAnsi="Times New Roman" w:cs="Times New Roman"/>
          <w:color w:val="000000"/>
          <w:sz w:val="28"/>
          <w:szCs w:val="28"/>
          <w:u w:color="000000"/>
          <w:bdr w:val="nil"/>
        </w:rPr>
        <w:fldChar w:fldCharType="separate"/>
      </w:r>
      <w:r w:rsidR="008C6800" w:rsidRPr="008C6800">
        <w:rPr>
          <w:rFonts w:ascii="Times New Roman" w:eastAsia="Arial Unicode MS" w:hAnsi="Times New Roman" w:cs="Times New Roman"/>
          <w:noProof/>
          <w:color w:val="000000"/>
          <w:sz w:val="28"/>
          <w:szCs w:val="28"/>
          <w:u w:color="000000"/>
          <w:bdr w:val="nil"/>
        </w:rPr>
        <w:t>[25]</w:t>
      </w:r>
      <w:r w:rsidR="004E2FED" w:rsidRPr="00916B3A">
        <w:rPr>
          <w:rFonts w:ascii="Times New Roman" w:eastAsia="Arial Unicode MS" w:hAnsi="Times New Roman" w:cs="Times New Roman"/>
          <w:color w:val="000000"/>
          <w:sz w:val="28"/>
          <w:szCs w:val="28"/>
          <w:u w:color="000000"/>
          <w:bdr w:val="nil"/>
        </w:rPr>
        <w:fldChar w:fldCharType="end"/>
      </w:r>
      <w:r w:rsidRPr="00916B3A">
        <w:rPr>
          <w:rFonts w:ascii="Times New Roman" w:eastAsia="Arial Unicode MS" w:hAnsi="Times New Roman" w:cs="Times New Roman"/>
          <w:color w:val="000000"/>
          <w:sz w:val="28"/>
          <w:szCs w:val="28"/>
          <w:u w:color="000000"/>
          <w:bdr w:val="nil"/>
        </w:rPr>
        <w:t>, а также эмбрионические потери (с момента констатации сердцебиения до 10 недель беременности), связанные с врожденными и приобретенными тромбофилиями, хроническим эндометритом, индексом массы тела 28,7 кг/м2 и более, нарушением кровообращения в малом тазу по данным д</w:t>
      </w:r>
      <w:r w:rsidR="004E2FED" w:rsidRPr="00916B3A">
        <w:rPr>
          <w:rFonts w:ascii="Times New Roman" w:eastAsia="Arial Unicode MS" w:hAnsi="Times New Roman" w:cs="Times New Roman"/>
          <w:color w:val="000000"/>
          <w:sz w:val="28"/>
          <w:szCs w:val="28"/>
          <w:u w:color="000000"/>
          <w:bdr w:val="nil"/>
        </w:rPr>
        <w:t>опплерометрии сосудов матки</w:t>
      </w:r>
      <w:r w:rsidR="004E2FED" w:rsidRPr="00916B3A">
        <w:rPr>
          <w:rFonts w:ascii="Times New Roman" w:eastAsia="Arial Unicode MS" w:hAnsi="Times New Roman" w:cs="Times New Roman"/>
          <w:color w:val="000000"/>
          <w:sz w:val="28"/>
          <w:szCs w:val="28"/>
          <w:u w:color="000000"/>
          <w:bdr w:val="nil"/>
        </w:rPr>
        <w:fldChar w:fldCharType="begin" w:fldLock="1"/>
      </w:r>
      <w:r w:rsidR="008C6800">
        <w:rPr>
          <w:rFonts w:ascii="Times New Roman" w:eastAsia="Arial Unicode MS" w:hAnsi="Times New Roman" w:cs="Times New Roman"/>
          <w:color w:val="000000"/>
          <w:sz w:val="28"/>
          <w:szCs w:val="28"/>
          <w:u w:color="000000"/>
          <w:bdr w:val="nil"/>
        </w:rPr>
        <w:instrText>ADDIN CSL_CITATION {"citationItems":[{"id":"ITEM-1","itemData":{"DOI":"10.1038/s41572-020-00228-z","ISBN":"0123456789","ISSN":"2056676X","PMID":"33303732","abstract":"Recurrent pregnancy loss is a distressing pregnancy disorder experienced by ~2.5% of women trying to conceive. Recurrent pregnancy loss is defined as the failure of two or more clinically recognized pregnancies before 20–24 weeks of gestation and includes embryonic and fetal losses. The diagnosis of an early pregnancy loss is relatively straightforward, although progress in predicting and preventing recurrent pregnancy loss has been hampered by a lack of standardized definitions, the uncertainties surrounding the pathogenesis and the highly variable clinical presentation. The prognosis for couples with recurrent pregnancy loss is generally good, although the likelihood of a successful pregnancy depends on maternal age and the number of previous losses. Recurrent pregnancy loss can be caused by chromosomal errors, anatomical uterine defects, autoimmune disorders and endometrial dysfunction. Available treatments target the putative risk factors of pregnancy loss, although the effectiveness of many medical interventions is controversial. Regardless of the underlying aetiology, couples require accurate information on their chances of having a baby and appropriate support should be offered to reduce the psychological burden associated with multiple miscarriages. Future research must investigate the pathogenesis of recurrent pregnancy loss and evaluate novel diagnostic tests and treatments in adequately powered clinical trials.","author":[{"dropping-particle":"","family":"Dimitriadis","given":"Evdokia","non-dropping-particle":"","parse-names":false,"suffix":""},{"dropping-particle":"","family":"Menkhorst","given":"Ellen","non-dropping-particle":"","parse-names":false,"suffix":""},{"dropping-particle":"","family":"Saito","given":"Shigeru","non-dropping-particle":"","parse-names":false,"suffix":""},{"dropping-particle":"","family":"Kutteh","given":"William H.","non-dropping-particle":"","parse-names":false,"suffix":""},{"dropping-particle":"","family":"Brosens","given":"Jan J.","non-dropping-particle":"","parse-names":false,"suffix":""}],"container-title":"Nature Reviews Disease Primers","id":"ITEM-1","issue":"1","issued":{"date-parts":[["2020"]]},"publisher":"Springer US","title":"Recurrent pregnancy loss","type":"article-journal","volume":"6"},"uris":["http://www.mendeley.com/documents/?uuid=6ac5c54a-8f12-4fbd-aa3c-0b18ffbeb509"]}],"mendeley":{"formattedCitation":"[53]","plainTextFormattedCitation":"[53]","previouslyFormattedCitation":"(53)"},"properties":{"noteIndex":0},"schema":"https://github.com/citation-style-language/schema/raw/master/csl-citation.json"}</w:instrText>
      </w:r>
      <w:r w:rsidR="004E2FED" w:rsidRPr="00916B3A">
        <w:rPr>
          <w:rFonts w:ascii="Times New Roman" w:eastAsia="Arial Unicode MS" w:hAnsi="Times New Roman" w:cs="Times New Roman"/>
          <w:color w:val="000000"/>
          <w:sz w:val="28"/>
          <w:szCs w:val="28"/>
          <w:u w:color="000000"/>
          <w:bdr w:val="nil"/>
        </w:rPr>
        <w:fldChar w:fldCharType="separate"/>
      </w:r>
      <w:r w:rsidR="008C6800" w:rsidRPr="008C6800">
        <w:rPr>
          <w:rFonts w:ascii="Times New Roman" w:eastAsia="Arial Unicode MS" w:hAnsi="Times New Roman" w:cs="Times New Roman"/>
          <w:noProof/>
          <w:color w:val="000000"/>
          <w:sz w:val="28"/>
          <w:szCs w:val="28"/>
          <w:u w:color="000000"/>
          <w:bdr w:val="nil"/>
        </w:rPr>
        <w:t>[53]</w:t>
      </w:r>
      <w:r w:rsidR="004E2FED" w:rsidRPr="00916B3A">
        <w:rPr>
          <w:rFonts w:ascii="Times New Roman" w:eastAsia="Arial Unicode MS" w:hAnsi="Times New Roman" w:cs="Times New Roman"/>
          <w:color w:val="000000"/>
          <w:sz w:val="28"/>
          <w:szCs w:val="28"/>
          <w:u w:color="000000"/>
          <w:bdr w:val="nil"/>
        </w:rPr>
        <w:fldChar w:fldCharType="end"/>
      </w:r>
      <w:r w:rsidRPr="00916B3A">
        <w:rPr>
          <w:rFonts w:ascii="Times New Roman" w:eastAsia="Arial Unicode MS" w:hAnsi="Times New Roman" w:cs="Times New Roman"/>
          <w:color w:val="000000"/>
          <w:sz w:val="28"/>
          <w:szCs w:val="28"/>
          <w:u w:color="000000"/>
          <w:bdr w:val="nil"/>
        </w:rPr>
        <w:t>.</w:t>
      </w:r>
    </w:p>
    <w:p w14:paraId="365121CC" w14:textId="4E206094" w:rsidR="000D35BB" w:rsidRPr="00916B3A" w:rsidRDefault="000D35BB" w:rsidP="00997125">
      <w:pPr>
        <w:shd w:val="clear" w:color="auto" w:fill="FFFFFF"/>
        <w:spacing w:after="0" w:line="240" w:lineRule="auto"/>
        <w:ind w:firstLine="567"/>
        <w:jc w:val="both"/>
        <w:rPr>
          <w:rFonts w:ascii="Times New Roman" w:hAnsi="Times New Roman" w:cs="Times New Roman"/>
          <w:b/>
          <w:sz w:val="28"/>
          <w:szCs w:val="28"/>
        </w:rPr>
      </w:pPr>
      <w:r w:rsidRPr="00916B3A">
        <w:rPr>
          <w:rFonts w:ascii="Times New Roman" w:hAnsi="Times New Roman" w:cs="Times New Roman"/>
          <w:sz w:val="28"/>
          <w:szCs w:val="28"/>
        </w:rPr>
        <w:t>Патофизиологические особенности «тонкого» эндометрия состоят в недостаточном росте железистого эпителия, обеднении сосудов и нарушении экспрессии ряда регуляторных цитокинов, ростовых факторов, натуральных киллеров, лимфоцитов, что в свою очередь, снижает имплантац</w:t>
      </w:r>
      <w:r w:rsidR="004E2FED" w:rsidRPr="00916B3A">
        <w:rPr>
          <w:rFonts w:ascii="Times New Roman" w:hAnsi="Times New Roman" w:cs="Times New Roman"/>
          <w:sz w:val="28"/>
          <w:szCs w:val="28"/>
        </w:rPr>
        <w:t>ионную способность эмбрионов</w:t>
      </w:r>
      <w:r w:rsidR="004E2FED"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{"citationItems":[{"id":"ITEM-1","itemData":{"DOI":"10.1080/19396368.2016.1251505","ISSN":"19396376","PMID":"27874292","abstract":"The aim of the study was to assess the granulocyte-colony stimulating factor (G-CSF) effect on unresponsive thin (&lt;7 mm) endometrium in women undergoing frozen-thawed embryo transfer at the blastocyst stage. A total of 62 women with thin unresponsive endometrium were included in the study, of which, 29 received a G-CSF infusion and 33 who opted out of the study served as controls. Patients in both groups had similar endometrial thickness at the time of the initial evaluation: 6.50 mm (5.50-6.80) in the G-CSF and 6.40 mm (5.50-7.0) in the control group. However, after the infusion endometrial thickness increased significantly in the G-CSF group in comparison with the controls (p=0.01), (Δ) 0.5 (0.02-1.2) (p=0.005). In the G-CSF group endometrium expanded to 7.90 mm (6.58-8.70) while in the control group to 6.90 mm (6.0-7.75). Five women in each group conceived. The clinical pregnancy rate was 5/29 (17.24%) in the G-CSF treated group and 5/33 (15.15%) in the control group (p&gt;0.05). The live birth rate was 2/29 (6.89%) in the G-CSF group and 2/33 (6.06%) in the control group (p&gt;0.05). We concluded that G-CSF infusion leads to an improvement in endometrium thickness but not to any improvement in the clinical pregnancy and live birth rates. Until more data is available G-CSF treatment should be considered to be of limited value in increasing pregnancy rate. Abbreviations: G-CSF: granulocyte colony-stimulating factor; M-CSF: macrophagecolony-stimulating factor; GM-CSF: granulocyte-macrophage colony-stimulating factor; FET: frozen embryo transfer; IVF: in vitro fertilization","author":[{"dropping-particle":"","family":"Kunicki","given":"Michał","non-dropping-particle":"","parse-names":false,"suffix":""},{"dropping-particle":"","family":"Łukaszuk","given":"Krzysztof","non-dropping-particle":"","parse-names":false,"suffix":""},{"dropping-particle":"","family":"Liss","given":"Joanna","non-dropping-particle":"","parse-names":false,"suffix":""},{"dropping-particle":"","family":"Skowrońska","given":"Patrycja","non-dropping-particle":"","parse-names":false,"suffix":""},{"dropping-particle":"","family":"Szczyptańska","given":"Joanna","non-dropping-particle":"","parse-names":false,"suffix":""}],"container-title":"Systems Biology in Reproductive Medicine","id":"ITEM-1","issue":"1","issued":{"date-parts":[["2017"]]},"page":"49-57","publisher":"Taylor &amp; Francis","title":"Granulocyte colony stimulating factor treatment of resistant thin endometrium in women with frozen-thawed blastocyst transfer","type":"article-journal","volume":"63"},"uris":["http://www.mendeley.com/documents/?uuid=5d57c9c7-8c1e-4604-b0eb-fe8d2816527c"]}],"mendeley":{"formattedCitation":"[54]","plainTextFormattedCitation":"[54]","previouslyFormattedCitation":"(54)"},"properties":{"noteIndex":0},"schema":"https://github.com/citation-style-language/schema/raw/master/csl-citation.json"}</w:instrText>
      </w:r>
      <w:r w:rsidR="004E2FED"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[54]</w:t>
      </w:r>
      <w:r w:rsidR="004E2FED" w:rsidRPr="00916B3A">
        <w:rPr>
          <w:rFonts w:ascii="Times New Roman" w:hAnsi="Times New Roman" w:cs="Times New Roman"/>
          <w:sz w:val="28"/>
          <w:szCs w:val="28"/>
        </w:rPr>
        <w:fldChar w:fldCharType="end"/>
      </w:r>
      <w:r w:rsidRPr="00916B3A">
        <w:rPr>
          <w:rFonts w:ascii="Times New Roman" w:hAnsi="Times New Roman" w:cs="Times New Roman"/>
          <w:b/>
          <w:sz w:val="28"/>
          <w:szCs w:val="28"/>
        </w:rPr>
        <w:t>.</w:t>
      </w:r>
    </w:p>
    <w:p w14:paraId="16AF5B07" w14:textId="46F6CA4E" w:rsidR="000D35BB" w:rsidRPr="00916B3A" w:rsidRDefault="002A2E38" w:rsidP="00997125">
      <w:pPr>
        <w:widowControl w:val="0"/>
        <w:suppressAutoHyphens/>
        <w:spacing w:after="0" w:line="240" w:lineRule="auto"/>
        <w:ind w:firstLine="567"/>
        <w:contextualSpacing/>
        <w:jc w:val="both"/>
        <w:rPr>
          <w:rFonts w:ascii="Times New Roman" w:eastAsia="Calibri" w:hAnsi="Times New Roman" w:cs="Times New Roman"/>
          <w:sz w:val="28"/>
          <w:szCs w:val="28"/>
        </w:rPr>
      </w:pPr>
      <w:r w:rsidRPr="00916B3A">
        <w:rPr>
          <w:rFonts w:ascii="Times New Roman" w:hAnsi="Times New Roman" w:cs="Times New Roman"/>
          <w:sz w:val="28"/>
          <w:szCs w:val="28"/>
        </w:rPr>
        <w:t>На успех программ вспомогательных репродуктивных технологий влияет множество факторов, включая возраст матери, характеристики эндометрия, такие как структура эндометрия, толщина эндометрия, субэндометриальный кровоток, а также количество эмбрионов, доступных для переноса</w:t>
      </w:r>
      <w:r w:rsidRPr="00916B3A">
        <w:rPr>
          <w:rFonts w:ascii="Times New Roman" w:hAnsi="Times New Roman" w:cs="Times New Roman"/>
          <w:sz w:val="28"/>
          <w:szCs w:val="28"/>
        </w:rPr>
        <w:fldChar w:fldCharType="begin" w:fldLock="1"/>
      </w:r>
      <w:r w:rsidR="00E60637">
        <w:rPr>
          <w:rFonts w:ascii="Times New Roman" w:hAnsi="Times New Roman" w:cs="Times New Roman"/>
          <w:sz w:val="28"/>
          <w:szCs w:val="28"/>
        </w:rPr>
        <w:instrText>ADDIN CSL_CITATION {"citationItems":[{"id":"ITEM-1","itemData":{"DOI":"10.1093/humupd/dmu011","ISSN":"14602369","abstract":"Background: Thin endometrium on ultrasound in the course of ovarian hyperstimulation has been thought to be associated with poor success rates after IVF, even in the absence of prior intrauterine surgery or infection. To assess the clinical significance of endometrial thickness (EMT) for IVF outcome, we performed a systematic review and meta-analysis. Methods: The electronic databases Pubmed, Cochrane and Embase were searched up to October 2013 for articles that studied the association between EMT and IVF outcome. The articles had to be written in the English or Dutch language. Studies were included if two-by-two tables for EMT and pregnancy rates could be constructed. Study quality was scored using the Strengthening the Reporting of Observational Studies in Epidemiology (STROBE) checklist. Summary receiver operating characteristic (sROC) curves were estimated to assess the accuracy of EMT in the prediction of pregnancy. In addition, odds ratios (ORs) with 95% confidence intervals (CIs) were calculated using a Mantel-Haenszel random effect model expressing the association between EMT and pregnancy chances. Meta-regression was performed to determine if female age and number of oocytes at retrieval interacted in the estimated effect of EMT on IVF outcome. Results: A total of 1170 studies was retrieved by the search. The overall quality of the 22 studies included in the review and meta-analysis was moderate. The estimated sROC curve indicated a virtually absent discriminatory capacity of EMT in the prediction of pregnancy. A thin endometrium (≤7 mm) was observed in only 2.4% of the reported cases (260/10 724). In these cases a trend towards lower ongoing pregnancy and live birth rates for women with EMT ≤7 mm was observed [OR 0.38 (95% CI 0.09-1.5)]. The probability of clinical pregnancy for an EMT ≤7 mm was significantly lower compared with cases with EMT &gt; 7 mm [23.3% versus 48.1%, OR 0.42 (95% CI 0.27-0.67)]. Positive and negative predictive values for the outcome of clinical pregnancy 77 and 48%, respectively. The relationship between the number of oocytes and female age on the one hand and pregnancy on the other hand was very weak making correction for these variables unfeasible. Conclusions: Current data indicate that EMT has a limited capacity to identify women who have a low chance to conceive after IVF. The frequently reported cut-off of 7 mm is related to a lower chance of pregnancy, but occurs infrequently. The use of EMT as a tool to decide on …","author":[{"dropping-particle":"","family":"Kasius","given":"Annemieke","non-dropping-particle":"","parse-names":false,"suffix":""},{"dropping-particle":"","family":"Smit","given":"Janine G.","non-dropping-particle":"","parse-names":false,"suffix":""},{"dropping-particle":"","family":"Torrance","given":"Helen L.","non-dropping-particle":"","parse-names":false,"suffix":""},{"dropping-particle":"","family":"Eijkemans","given":"Marinus J.C.","non-dropping-particle":"","parse-names":false,"suffix":""},{"dropping-particle":"","family":"Mol","given":"Ben Willem","non-dropping-particle":"","parse-names":false,"suffix":""},{"dropping-particle":"","family":"Opmeer","given":"Brent C.","non-dropping-particle":"","parse-names":false,"suffix":""},{"dropping-particle":"","family":"Broekmans","given":"Frank J.M.","non-dropping-particle":"","parse-names":false,"suffix":""}],"container-title":"Human Reproduction Update","id":"ITEM-1","issue":"4","issued":{"date-parts":[["2014"]]},"page":"530-541","title":"Endometrial thickness and pregnancy rates after IVF: A systematic review and meta-analysis","type":"article-journal","volume":"20"},"uris":["http://www.mendeley.com/documents/?uuid=7638c948-18f4-34e3-b96c-ab5f50ca8d1d"]}],"mendeley":{"formattedCitation":"[7]","manualFormatting":"[55]","plainTextFormattedCitation":"[7]","previouslyFormattedCitation":"(7)"},"properties":{"noteIndex":0},"schema":"https://github.com/citation-style-language/schema/raw/master/csl-citation.json"}</w:instrText>
      </w:r>
      <w:r w:rsidRPr="00916B3A">
        <w:rPr>
          <w:rFonts w:ascii="Times New Roman" w:hAnsi="Times New Roman" w:cs="Times New Roman"/>
          <w:sz w:val="28"/>
          <w:szCs w:val="28"/>
        </w:rPr>
        <w:fldChar w:fldCharType="separate"/>
      </w:r>
      <w:r w:rsidR="00E60637">
        <w:rPr>
          <w:rFonts w:ascii="Times New Roman" w:hAnsi="Times New Roman" w:cs="Times New Roman"/>
          <w:noProof/>
          <w:sz w:val="28"/>
          <w:szCs w:val="28"/>
        </w:rPr>
        <w:t>[</w:t>
      </w:r>
      <w:r w:rsidR="00170826" w:rsidRPr="008C6800">
        <w:rPr>
          <w:rFonts w:ascii="Times New Roman" w:hAnsi="Times New Roman" w:cs="Times New Roman"/>
          <w:noProof/>
          <w:sz w:val="28"/>
          <w:szCs w:val="28"/>
        </w:rPr>
        <w:t>55</w:t>
      </w:r>
      <w:r w:rsidR="008C6800" w:rsidRPr="008C6800">
        <w:rPr>
          <w:rFonts w:ascii="Times New Roman" w:hAnsi="Times New Roman" w:cs="Times New Roman"/>
          <w:noProof/>
          <w:sz w:val="28"/>
          <w:szCs w:val="28"/>
        </w:rPr>
        <w:t>]</w:t>
      </w:r>
      <w:r w:rsidRPr="00916B3A">
        <w:rPr>
          <w:rFonts w:ascii="Times New Roman" w:hAnsi="Times New Roman" w:cs="Times New Roman"/>
          <w:sz w:val="28"/>
          <w:szCs w:val="28"/>
        </w:rPr>
        <w:fldChar w:fldCharType="end"/>
      </w:r>
      <w:r w:rsidR="00170826">
        <w:rPr>
          <w:rFonts w:ascii="Times New Roman" w:hAnsi="Times New Roman" w:cs="Times New Roman"/>
          <w:sz w:val="28"/>
          <w:szCs w:val="28"/>
        </w:rPr>
        <w:t>.</w:t>
      </w:r>
      <w:r w:rsidRPr="00916B3A">
        <w:rPr>
          <w:rFonts w:ascii="Times New Roman" w:hAnsi="Times New Roman" w:cs="Times New Roman"/>
          <w:b/>
          <w:sz w:val="28"/>
          <w:szCs w:val="28"/>
        </w:rPr>
        <w:t xml:space="preserve"> </w:t>
      </w:r>
      <w:r w:rsidR="000D35BB" w:rsidRPr="00916B3A">
        <w:rPr>
          <w:rFonts w:ascii="Times New Roman" w:eastAsia="Calibri" w:hAnsi="Times New Roman" w:cs="Times New Roman"/>
          <w:sz w:val="28"/>
          <w:szCs w:val="28"/>
        </w:rPr>
        <w:t>Одним из важных факторов является рецептивность эндометри</w:t>
      </w:r>
      <w:r w:rsidRPr="00916B3A">
        <w:rPr>
          <w:rFonts w:ascii="Times New Roman" w:eastAsia="Calibri" w:hAnsi="Times New Roman" w:cs="Times New Roman"/>
          <w:sz w:val="28"/>
          <w:szCs w:val="28"/>
        </w:rPr>
        <w:t>я, которую отражает его толщина</w:t>
      </w:r>
      <w:r w:rsidR="000D35BB" w:rsidRPr="00916B3A">
        <w:rPr>
          <w:rFonts w:ascii="Times New Roman" w:eastAsia="Calibri" w:hAnsi="Times New Roman" w:cs="Times New Roman"/>
          <w:sz w:val="28"/>
          <w:szCs w:val="28"/>
        </w:rPr>
        <w:t xml:space="preserve">. При этом рутинный мониторинг толщины эндометрия во время овариальной стимуляции не рекомендован, предлагается проводить измерение во время ультразвукового исследования при аспирации ооцитов или в день назначения триггера финального созревания ооцитов для диагностики очень тонкого эндометрия, который может </w:t>
      </w:r>
      <w:r w:rsidRPr="00916B3A">
        <w:rPr>
          <w:rFonts w:ascii="Times New Roman" w:eastAsia="Calibri" w:hAnsi="Times New Roman" w:cs="Times New Roman"/>
          <w:sz w:val="28"/>
          <w:szCs w:val="28"/>
        </w:rPr>
        <w:t>повлиять на исход программы ВРТ</w:t>
      </w:r>
      <w:r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{"citationItems":[{"id":"ITEM-1","itemData":{"DOI":"10.1093/hropen/hoaa009","ISSN":"2399-3529","PMID":"32395637","abstract":"STUDY QUESTION What is the recommended management of ovarian stimulation, based on the best available evidence in the literature? SUMMARY ANSWER The guideline development group formulated 84 recommendations answering 18 key questions on ovarian stimulation. WHAT IS KNOWN ALREADY Ovarian stimulation for IVF/ICSI has been discussed briefly in the National Institute for Health and Care Excellence guideline on fertility problems, and the Royal Australian and New Zealand College of Obstetricians and Gynaecologist has published a statement on ovarian stimulation in assisted reproduction. There are, to our knowledge, no evidence-based guidelines dedicated to the process of ovarian stimulation. STUDY DESIGN SIZE DURATION The guideline was developed according to the structured methodology for development of ESHRE guidelines. After formulation of key questions by a group of experts, literature searches and assessments were performed. Papers published up to 8 November 2018 and written in English were included. The critical outcomes for this guideline were efficacy in terms of cumulative live birth rate per started cycle or live birth rate per started cycle, as well as safety in terms of the rate of occurrence of moderate and/or severe ovarian hyperstimulation syndrome (OHSS). PARTICIPANTS/MATERIALS SETTING METHODS Based on the collected evidence, recommendations were formulated and discussed until consensus was reached within the guideline group. A stakeholder review was organized after finalization of the draft. The final version was approved by the guideline group and the ESHRE Executive Committee. MAIN RESULTS AND THE ROLE OF CHANCE The guideline provides 84 recommendations: 7 recommendations on pre-stimulation management, 40 recommendations on LH suppression and gonadotrophin stimulation, 11 recommendations on monitoring during ovarian stimulation, 18 recommendations on triggering of final oocyte maturation and luteal support and 8 recommendations on the prevention of OHSS. These include 61 evidence-based recommendations-of which only 21 were formulated as strong recommendations-and 19 good practice points and 4 research-only recommendations. The guideline includes a strong recommendation for the use of either antral follicle count or anti-Müllerian hormone (instead of other ovarian reserve tests) to predict high and poor response to ovarian stimulation. The guideline also includes a strong recommendation for the use of the GnRH antagonist protocol over the Gn…","author":[{"dropping-particle":"","family":"Bosch","given":"Ernesto","non-dropping-particle":"","parse-names":false,"suffix":""},{"dropping-particle":"","family":"Broer","given":"Simone","non-dropping-particle":"","parse-names":false,"suffix":""},{"dropping-particle":"","family":"Griesinger","given":"Georg","non-dropping-particle":"","parse-names":false,"suffix":""},{"dropping-particle":"","family":"Grynberg","given":"Michael","non-dropping-particle":"","parse-names":false,"suffix":""},{"dropping-particle":"","family":"Humaidan","given":"Peter","non-dropping-particle":"","parse-names":false,"suffix":""},{"dropping-particle":"","family":"Kolibianakis","given":"Estratios","non-dropping-particle":"","parse-names":false,"suffix":""},{"dropping-particle":"","family":"Kunicki","given":"Michal","non-dropping-particle":"","parse-names":false,"suffix":""},{"dropping-particle":"","family":"Marca","given":"Antonio","non-dropping-particle":"La","parse-names":false,"suffix":""},{"dropping-particle":"","family":"Lainas","given":"George","non-dropping-particle":"","parse-names":false,"suffix":""},{"dropping-particle":"","family":"Clef","given":"Nathalie","non-dropping-particle":"Le","parse-names":false,"suffix":""},{"dropping-particle":"","family":"Massin","given":"Nathalie","non-dropping-particle":"","parse-names":false,"suffix":""},{"dropping-particle":"","family":"Mastenbroek","given":"Sebastiaan","non-dropping-particle":"","parse-names":false,"suffix":""},{"dropping-particle":"","family":"Polyzos","given":"Nikolaos","non-dropping-particle":"","parse-names":false,"suffix":""},{"dropping-particle":"","family":"Sunkara","given":"Sesh Kamal","non-dropping-particle":"","parse-names":false,"suffix":""},{"dropping-particle":"","family":"Timeva","given":"Tanya","non-dropping-particle":"","parse-names":false,"suffix":""},{"dropping-particle":"","family":"Töyli","given":"Mira","non-dropping-particle":"","parse-names":false,"suffix":""},{"dropping-particle":"","family":"Urbancsek","given":"Janos","non-dropping-particle":"","parse-names":false,"suffix":""},{"dropping-particle":"","family":"Vermeulen","given":"Nathalie","non-dropping-particle":"","parse-names":false,"suffix":""},{"dropping-particle":"","family":"Broekmans","given":"Frank","non-dropping-particle":"","parse-names":false,"suffix":""}],"container-title":"Human Reproduction Open","id":"ITEM-1","issue":"2","issued":{"date-parts":[["2020"]]},"page":"1-13","title":"ESHRE guideline: ovarian stimulation for IVF/ICSI†","type":"article-journal","volume":"2020"},"uris":["http://www.mendeley.com/documents/?uuid=5a7017ae-ac21-41b9-9b34-24f8549f1f6f"]}],"mendeley":{"formattedCitation":"[56]","plainTextFormattedCitation":"[56]","previouslyFormattedCitation":"(56)"},"properties":{"noteIndex":0},"schema":"https://github.com/citation-style-language/schema/raw/master/csl-citation.json"}</w:instrText>
      </w:r>
      <w:r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[56]</w:t>
      </w:r>
      <w:r w:rsidRPr="00916B3A">
        <w:rPr>
          <w:rFonts w:ascii="Times New Roman" w:eastAsia="Calibri" w:hAnsi="Times New Roman" w:cs="Times New Roman"/>
          <w:sz w:val="28"/>
          <w:szCs w:val="28"/>
        </w:rPr>
        <w:fldChar w:fldCharType="end"/>
      </w:r>
      <w:r w:rsidR="000D35BB" w:rsidRPr="00916B3A">
        <w:rPr>
          <w:rFonts w:ascii="Times New Roman" w:eastAsia="Calibri" w:hAnsi="Times New Roman" w:cs="Times New Roman"/>
          <w:sz w:val="28"/>
          <w:szCs w:val="28"/>
        </w:rPr>
        <w:t>. Нарушения рецептивности эндометрия является существенной частью процесса имплантации эмбриона, а недостаточный рост эндометрия связан с более низкой вероятностью наступления беременности</w:t>
      </w:r>
      <w:r w:rsidR="00FA6FB4"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ISSN":"0165-0378","author":[{"dropping-particle":"","family":"Lédée","given":"Nathalie","non-dropping-particle":"","parse-names":false,"suffix":""},{"dropping-particle":"","family":"Chaouat","given":"Gérard","non-dropping-particle":"","parse-names":false,"suffix":""},{"dropping-particle":"","family":"Serazin","given":"Valérie","non-dropping-particle":"","parse-names":false,"suffix":""},{"dropping-particle":"","family":"Lombroso","given":"Raoul","non-dropping-particle":"","parse-names":false,"suffix":""},{"dropping-particle":"","family":"Dubanchet","given":"Sylvie","non-dropping-particle":"","parse-names":false,"suffix":""},{"dropping-particle":"","family":"Oger","given":"Pierre","non-dropping-particle":"","parse-names":false,"suffix":""},{"dropping-particle":"","family":"Louafi","given":"Nabil","non-dropping-particle":"","parse-names":false,"suffix":""},{"dropping-particle":"","family":"Ville","given":"Yves","non-dropping-particle":"","parse-names":false,"suffix":""}],"container-title":"Journal of reproductive immunology","id":"ITEM-1","issue":"1","issued":{"date-parts":[["2008"]]},"page":"57-62","publisher":"Elsevier","title":"Endometrial vascularity by three-dimensional power Doppler ultrasound and cytokines: a complementary approach to assess uterine receptivity","type":"article-journal","volume":"77"},"uris":["http://www.mendeley.com/documents/?uuid=da3bdc98-d798-45ab-834c-311d652ae229"]}],"mendeley":{"formattedCitation":"[57]","plainTextFormattedCitation":"[57]","previouslyFormattedCitation":"(57)"},"properties":{"noteIndex":0},"schema":"https://github.com/citation-style-language/schema/raw/master/csl-citation.json"}</w:instrText>
      </w:r>
      <w:r w:rsidR="00FA6FB4"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[57]</w:t>
      </w:r>
      <w:r w:rsidR="00FA6FB4" w:rsidRPr="00916B3A">
        <w:rPr>
          <w:rFonts w:ascii="Times New Roman" w:eastAsia="Calibri" w:hAnsi="Times New Roman" w:cs="Times New Roman"/>
          <w:sz w:val="28"/>
          <w:szCs w:val="28"/>
        </w:rPr>
        <w:fldChar w:fldCharType="end"/>
      </w:r>
      <w:r w:rsidR="000D35BB" w:rsidRPr="00916B3A">
        <w:rPr>
          <w:rFonts w:ascii="Times New Roman" w:eastAsia="Calibri" w:hAnsi="Times New Roman" w:cs="Times New Roman"/>
          <w:sz w:val="28"/>
          <w:szCs w:val="28"/>
        </w:rPr>
        <w:t>. Многие методы диагностики и лечения применялись для улучшения рецептивности эндометрия, но их эффективность остается спорной</w:t>
      </w:r>
      <w:r w:rsidR="00FA6FB4" w:rsidRPr="00916B3A">
        <w:rPr>
          <w:rFonts w:ascii="Times New Roman" w:eastAsia="Calibri" w:hAnsi="Times New Roman" w:cs="Times New Roman"/>
          <w:sz w:val="28"/>
          <w:szCs w:val="28"/>
        </w:rPr>
        <w:t>.</w:t>
      </w:r>
      <w:r w:rsidR="000D35BB" w:rsidRPr="00916B3A">
        <w:rPr>
          <w:rFonts w:ascii="Times New Roman" w:eastAsia="Calibri" w:hAnsi="Times New Roman" w:cs="Times New Roman"/>
          <w:sz w:val="28"/>
          <w:szCs w:val="28"/>
        </w:rPr>
        <w:t xml:space="preserve"> </w:t>
      </w:r>
    </w:p>
    <w:p w14:paraId="4D8A4F45" w14:textId="5D44BCD5" w:rsidR="00FA6FB4" w:rsidRPr="004C47CB" w:rsidRDefault="000D35BB" w:rsidP="00997125">
      <w:pPr>
        <w:spacing w:line="240" w:lineRule="auto"/>
        <w:ind w:firstLine="567"/>
        <w:contextualSpacing/>
        <w:jc w:val="both"/>
        <w:rPr>
          <w:rFonts w:ascii="Times New Roman" w:eastAsia="Calibri" w:hAnsi="Times New Roman" w:cs="Times New Roman"/>
          <w:sz w:val="28"/>
          <w:szCs w:val="28"/>
        </w:rPr>
      </w:pPr>
      <w:r w:rsidRPr="00916B3A">
        <w:rPr>
          <w:rFonts w:ascii="Times New Roman" w:eastAsia="Calibri" w:hAnsi="Times New Roman" w:cs="Times New Roman"/>
          <w:sz w:val="28"/>
          <w:szCs w:val="28"/>
        </w:rPr>
        <w:t>За прошедшие годы было опубликовано много публикаций о потенциальных сонографических маркерах рецептивности эндометрия. Хотя это остается спорным вопросом, толщина эндометрия  является наиболее широко используемым прогностическим фактором</w:t>
      </w:r>
      <w:r w:rsidR="00C37FFB"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rPr>
        <w:t xml:space="preserve">рецептивности эндометрия во время вспомогательных репродуктивных технологий, </w:t>
      </w:r>
      <w:r w:rsidRPr="00916B3A">
        <w:rPr>
          <w:rFonts w:ascii="Times New Roman" w:eastAsia="Calibri" w:hAnsi="Times New Roman" w:cs="Times New Roman"/>
          <w:sz w:val="28"/>
          <w:szCs w:val="28"/>
          <w:lang w:val="kk-KZ"/>
        </w:rPr>
        <w:t>п</w:t>
      </w:r>
      <w:r w:rsidRPr="00916B3A">
        <w:rPr>
          <w:rFonts w:ascii="Times New Roman" w:eastAsia="Calibri" w:hAnsi="Times New Roman" w:cs="Times New Roman"/>
          <w:sz w:val="28"/>
          <w:szCs w:val="28"/>
        </w:rPr>
        <w:t>еринатальные исходы, включая преждевременные</w:t>
      </w:r>
      <w:r w:rsidR="00FA6FB4" w:rsidRPr="00916B3A">
        <w:rPr>
          <w:rFonts w:ascii="Times New Roman" w:eastAsia="Calibri" w:hAnsi="Times New Roman" w:cs="Times New Roman"/>
          <w:sz w:val="28"/>
          <w:szCs w:val="28"/>
        </w:rPr>
        <w:t xml:space="preserve"> роды, показатели живорождении и гибели плода</w:t>
      </w:r>
      <w:r w:rsidRPr="00916B3A">
        <w:rPr>
          <w:rFonts w:ascii="Times New Roman" w:eastAsia="Calibri" w:hAnsi="Times New Roman" w:cs="Times New Roman"/>
          <w:sz w:val="28"/>
          <w:szCs w:val="28"/>
        </w:rPr>
        <w:t>, связь, которая может быть объяснена сниженной избирательной способностью нару</w:t>
      </w:r>
      <w:r w:rsidR="00FA6FB4" w:rsidRPr="00916B3A">
        <w:rPr>
          <w:rFonts w:ascii="Times New Roman" w:eastAsia="Calibri" w:hAnsi="Times New Roman" w:cs="Times New Roman"/>
          <w:sz w:val="28"/>
          <w:szCs w:val="28"/>
        </w:rPr>
        <w:t>шения рецептивности эндометрия</w:t>
      </w:r>
      <w:r w:rsidR="00FA6FB4"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{"citationItems":[{"id":"ITEM-1","itemData":{"DOI":"10.1093/humupd/dmu011","ISSN":"14602369","abstract":"Background: Thin endometrium on ultrasound in the course of ovarian hyperstimulation has been thought to be associated with poor success rates after IVF, even in the absence of prior intrauterine surgery or infection. To assess the clinical significance of endometrial thickness (EMT) for IVF outcome, we performed a systematic review and meta-analysis. Methods: The electronic databases Pubmed, Cochrane and Embase were searched up to October 2013 for articles that studied the association between EMT and IVF outcome. The articles had to be written in the English or Dutch language. Studies were included if two-by-two tables for EMT and pregnancy rates could be constructed. Study quality was scored using the Strengthening the Reporting of Observational Studies in Epidemiology (STROBE) checklist. Summary receiver operating characteristic (sROC) curves were estimated to assess the accuracy of EMT in the prediction of pregnancy. In addition, odds ratios (ORs) with 95% confidence intervals (CIs) were calculated using a Mantel-Haenszel random effect model expressing the association between EMT and pregnancy chances. Meta-regression was performed to determine if female age and number of oocytes at retrieval interacted in the estimated effect of EMT on IVF outcome. Results: A total of 1170 studies was retrieved by the search. The overall quality of the 22 studies included in the review and meta-analysis was moderate. The estimated sROC curve indicated a virtually absent discriminatory capacity of EMT in the prediction of pregnancy. A thin endometrium (≤7 mm) was observed in only 2.4% of the reported cases (260/10 724). In these cases a trend towards lower ongoing pregnancy and live birth rates for women with EMT ≤7 mm was observed [OR 0.38 (95% CI 0.09-1.5)]. The probability of clinical pregnancy for an EMT ≤7 mm was significantly lower compared with cases with EMT &gt; 7 mm [23.3% versus 48.1%, OR 0.42 (95% CI 0.27-0.67)]. Positive and negative predictive values for the outcome of clinical pregnancy 77 and 48%, respectively. The relationship between the number of oocytes and female age on the one hand and pregnancy on the other hand was very weak making correction for these variables unfeasible. Conclusions: Current data indicate that EMT has a limited capacity to identify women who have a low chance to conceive after IVF. The frequently reported cut-off of 7 mm is related to a lower chance of pregnancy, but occurs infrequently. The use of EMT as a tool to decide on …","author":[{"dropping-particle":"","family":"Kasius","given":"Annemieke","non-dropping-particle":"","parse-names":false,"suffix":""},{"dropping-particle":"","family":"Smit","given":"Janine G.","non-dropping-particle":"","parse-names":false,"suffix":""},{"dropping-particle":"","family":"Torrance","given":"Helen L.","non-dropping-particle":"","parse-names":false,"suffix":""},{"dropping-particle":"","family":"Eijkemans","given":"Marinus J.C.","non-dropping-particle":"","parse-names":false,"suffix":""},{"dropping-particle":"","family":"Mol","given":"Ben Willem","non-dropping-particle":"","parse-names":false,"suffix":""},{"dropping-particle":"","family":"Opmeer","given":"Brent C.","non-dropping-particle":"","parse-names":false,"suffix":""},{"dropping-particle":"","family":"Broekmans","given":"Frank J.M.","non-dropping-particle":"","parse-names":false,"suffix":""}],"container-title":"Human Reproduction Update","id":"ITEM-1","issue":"4","issued":{"date-parts":[["2014"]]},"page":"530-541","title":"Endometrial thickness and pregnancy rates after IVF: A systematic review and meta-analysis","type":"article-journal","volume":"20"},"uris":["http://www.mendeley.com/documents/?uuid=7638c948-18f4-34e3-b96c-ab5f50ca8d1d"]}],"mendeley":{"formattedCitation":"[7]","plainTextFormattedCitation":"[7]","previouslyFormattedCitation":"(7)"},"properties":{"noteIndex":0},"schema":"https://github.com/citation-style-language/schema/raw/master/csl-citation.json"}</w:instrText>
      </w:r>
      <w:r w:rsidR="00FA6FB4" w:rsidRPr="00916B3A">
        <w:rPr>
          <w:rFonts w:ascii="Times New Roman" w:eastAsia="Calibri" w:hAnsi="Times New Roman" w:cs="Times New Roman"/>
          <w:sz w:val="28"/>
          <w:szCs w:val="28"/>
        </w:rPr>
        <w:fldChar w:fldCharType="separate"/>
      </w:r>
      <w:r w:rsidR="00170826">
        <w:rPr>
          <w:rFonts w:ascii="Times New Roman" w:eastAsia="Calibri" w:hAnsi="Times New Roman" w:cs="Times New Roman"/>
          <w:noProof/>
          <w:sz w:val="28"/>
          <w:szCs w:val="28"/>
        </w:rPr>
        <w:t>[</w:t>
      </w:r>
      <w:r w:rsidR="00170826" w:rsidRPr="008C6800">
        <w:rPr>
          <w:rFonts w:ascii="Times New Roman" w:eastAsia="Calibri" w:hAnsi="Times New Roman" w:cs="Times New Roman"/>
          <w:noProof/>
          <w:sz w:val="28"/>
          <w:szCs w:val="28"/>
        </w:rPr>
        <w:t>58</w:t>
      </w:r>
      <w:r w:rsidR="00170826">
        <w:rPr>
          <w:rFonts w:ascii="Times New Roman" w:eastAsia="Calibri" w:hAnsi="Times New Roman" w:cs="Times New Roman"/>
          <w:noProof/>
          <w:sz w:val="28"/>
          <w:szCs w:val="28"/>
        </w:rPr>
        <w:t>,</w:t>
      </w:r>
      <w:r w:rsidR="00170826" w:rsidRPr="008C6800">
        <w:rPr>
          <w:rFonts w:ascii="Times New Roman" w:eastAsia="Calibri" w:hAnsi="Times New Roman" w:cs="Times New Roman"/>
          <w:noProof/>
          <w:sz w:val="28"/>
          <w:szCs w:val="28"/>
        </w:rPr>
        <w:t>59</w:t>
      </w:r>
      <w:r w:rsidR="008C6800" w:rsidRPr="008C6800">
        <w:rPr>
          <w:rFonts w:ascii="Times New Roman" w:eastAsia="Calibri" w:hAnsi="Times New Roman" w:cs="Times New Roman"/>
          <w:noProof/>
          <w:sz w:val="28"/>
          <w:szCs w:val="28"/>
        </w:rPr>
        <w:t>]</w:t>
      </w:r>
      <w:r w:rsidR="00FA6FB4" w:rsidRPr="00916B3A">
        <w:rPr>
          <w:rFonts w:ascii="Times New Roman" w:eastAsia="Calibri" w:hAnsi="Times New Roman" w:cs="Times New Roman"/>
          <w:sz w:val="28"/>
          <w:szCs w:val="28"/>
        </w:rPr>
        <w:fldChar w:fldCharType="end"/>
      </w:r>
      <w:r w:rsidRPr="00916B3A">
        <w:rPr>
          <w:rFonts w:ascii="Times New Roman" w:eastAsia="Calibri" w:hAnsi="Times New Roman" w:cs="Times New Roman"/>
          <w:sz w:val="28"/>
          <w:szCs w:val="28"/>
        </w:rPr>
        <w:t xml:space="preserve">. </w:t>
      </w:r>
      <w:r w:rsidR="00FA6FB4" w:rsidRPr="00916B3A">
        <w:rPr>
          <w:rFonts w:ascii="Times New Roman" w:eastAsia="Calibri" w:hAnsi="Times New Roman" w:cs="Times New Roman"/>
          <w:sz w:val="28"/>
          <w:szCs w:val="28"/>
        </w:rPr>
        <w:t>Снижение восприимчивости эндометрия связано со снижением вероятности беременности, самопроизвольного выкидыша, внематочной беременности, низкой массой тела при рождении и низким весом при рождении по сравнению с гестационным возрастом</w:t>
      </w:r>
      <w:r w:rsidR="00FA6FB4" w:rsidRPr="00916B3A">
        <w:rPr>
          <w:rFonts w:ascii="Times New Roman" w:eastAsia="Calibri" w:hAnsi="Times New Roman" w:cs="Times New Roman"/>
          <w:sz w:val="28"/>
          <w:szCs w:val="28"/>
        </w:rPr>
        <w:fldChar w:fldCharType="begin" w:fldLock="1"/>
      </w:r>
      <w:r w:rsidR="00E60637">
        <w:rPr>
          <w:rFonts w:ascii="Times New Roman" w:eastAsia="Calibri" w:hAnsi="Times New Roman" w:cs="Times New Roman"/>
          <w:sz w:val="28"/>
          <w:szCs w:val="28"/>
        </w:rPr>
        <w:instrText>ADDIN CSL_CITATION {"citationItems":[{"id":"ITEM-1","itemData":{"DOI":"10.1016/j.fertnstert.2021.12.025","ISSN":"15565653","abstract":"Objective: To study the effect of increasing endometrial thickness on live birth rates in fresh and frozen-thaw embryo transfer (FET) cycles. Design: Retrospective cohort study. Setting: National data from Autologous in vitro fertilization (IVF) embryo transfer and FET cycles in Canada from the Canadian Assisted Reproductive Technology Registry Plus (CARTR Plus) database for records between January 2013 and December 2019. Patients: Thirty-three Canadians clinics participated in voluntary reporting of IVF and pregnancy outcomes to the Canadian Assisted Reproductive Technology Registry Plus database, and a total of 43,383 fresh and 53,377 frozen transfers were included. Intervention(s): None. Main Outcome Measure(s): Clinical pregnancy, pregnancy loss, and live birth rates. Results: In fresh IVF-embryo transfer cycles, increasing endometrial thickness is associated with significant increases in the mean number of oocytes retrieved, peak estradiol levels, number of usable embryos, clinical pregnancy rates, live birth rates, and mean term singleton birth weights, and a decrease in pregnancy loss rates. However, live birth rates plateau after 10–12 mm. In contrast, in FET cycles live birth rates plateau after the endometrium measures 7–10 mm. The improvement in live birth rates with increasing endometrial thickness was independent of patient age, timing of embryo transfer (e.g., cleavage stage vs. blastocyst stage), or the number of oocytes at retrieval. Conclusions: In cycles with a fresh embryo transfer, live birth rates increase significantly until an endometrial thickness of 10–12 mm, while in FET cycles live birth rates plateau after 7–10 mm. However, an endometrial thickness &lt;6 mm was associated clearly with a dramatic reduction in live birth rates in fresh and frozen embryo transfer cycles.","author":[{"dropping-particle":"","family":"Mahutte","given":"Neal","non-dropping-particle":"","parse-names":false,"suffix":""},{"dropping-particle":"","family":"Hartman","given":"Michael","non-dropping-particle":"","parse-names":false,"suffix":""},{"dropping-particle":"","family":"Meng","given":"Lynn","non-dropping-particle":"","parse-names":false,"suffix":""},{"dropping-particle":"","family":"Lanes","given":"Andrea","non-dropping-particle":"","parse-names":false,"suffix":""},{"dropping-particle":"","family":"Luo","given":"Zhong Cheng","non-dropping-particle":"","parse-names":false,"suffix":""},{"dropping-particle":"","family":"Liu","given":"Kimberly E.","non-dropping-particle":"","parse-names":false,"suffix":""}],"container-title":"Fertility and Sterility","id":"ITEM-1","issue":"4","issued":{"date-parts":[["2022"]]},"title":"Optimal endometrial thickness in fresh and frozen-thaw in vitro fertilization cycles: an analysis of live birth rates from 96,000 autologous embryo transfers","type":"article-journal","volume":"117"},"uris":["http://www.mendeley.com/documents/?uuid=809288f4-aca3-3f42-8db0-3654ad9789eb"]}],"mendeley":{"formattedCitation":"[46]","manualFormatting":"[60]","plainTextFormattedCitation":"[46]","previouslyFormattedCitation":"(46)"},"properties":{"noteIndex":0},"schema":"https://github.com/citation-style-language/schema/raw/master/csl-citation.json"}</w:instrText>
      </w:r>
      <w:r w:rsidR="00FA6FB4" w:rsidRPr="00916B3A">
        <w:rPr>
          <w:rFonts w:ascii="Times New Roman" w:eastAsia="Calibri" w:hAnsi="Times New Roman" w:cs="Times New Roman"/>
          <w:sz w:val="28"/>
          <w:szCs w:val="28"/>
        </w:rPr>
        <w:fldChar w:fldCharType="separate"/>
      </w:r>
      <w:r w:rsidR="00E60637">
        <w:rPr>
          <w:rFonts w:ascii="Times New Roman" w:eastAsia="Calibri" w:hAnsi="Times New Roman" w:cs="Times New Roman"/>
          <w:noProof/>
          <w:sz w:val="28"/>
          <w:szCs w:val="28"/>
        </w:rPr>
        <w:t>[</w:t>
      </w:r>
      <w:r w:rsidR="00170826" w:rsidRPr="008C6800">
        <w:rPr>
          <w:rFonts w:ascii="Times New Roman" w:eastAsia="Calibri" w:hAnsi="Times New Roman" w:cs="Times New Roman"/>
          <w:noProof/>
          <w:sz w:val="28"/>
          <w:szCs w:val="28"/>
        </w:rPr>
        <w:t>60</w:t>
      </w:r>
      <w:r w:rsidR="008C6800" w:rsidRPr="008C6800">
        <w:rPr>
          <w:rFonts w:ascii="Times New Roman" w:eastAsia="Calibri" w:hAnsi="Times New Roman" w:cs="Times New Roman"/>
          <w:noProof/>
          <w:sz w:val="28"/>
          <w:szCs w:val="28"/>
        </w:rPr>
        <w:t>]</w:t>
      </w:r>
      <w:r w:rsidR="00FA6FB4" w:rsidRPr="00916B3A">
        <w:rPr>
          <w:rFonts w:ascii="Times New Roman" w:eastAsia="Calibri" w:hAnsi="Times New Roman" w:cs="Times New Roman"/>
          <w:sz w:val="28"/>
          <w:szCs w:val="28"/>
        </w:rPr>
        <w:fldChar w:fldCharType="end"/>
      </w:r>
      <w:r w:rsidR="00170826">
        <w:rPr>
          <w:rFonts w:ascii="Times New Roman" w:eastAsia="Calibri" w:hAnsi="Times New Roman" w:cs="Times New Roman"/>
          <w:sz w:val="28"/>
          <w:szCs w:val="28"/>
        </w:rPr>
        <w:t>.</w:t>
      </w:r>
      <w:r w:rsidR="00FA6FB4" w:rsidRPr="00916B3A">
        <w:rPr>
          <w:rFonts w:ascii="Times New Roman" w:eastAsia="Calibri" w:hAnsi="Times New Roman" w:cs="Times New Roman"/>
        </w:rPr>
        <w:t xml:space="preserve"> </w:t>
      </w:r>
      <w:r w:rsidRPr="00916B3A">
        <w:rPr>
          <w:rFonts w:ascii="Times New Roman" w:eastAsia="Calibri" w:hAnsi="Times New Roman" w:cs="Times New Roman"/>
          <w:sz w:val="28"/>
          <w:szCs w:val="28"/>
        </w:rPr>
        <w:t xml:space="preserve">Большие когортные исследования показали значительное снижение числа показателей живорождения при уменьшении толщины </w:t>
      </w:r>
      <w:proofErr w:type="gramStart"/>
      <w:r w:rsidRPr="00916B3A">
        <w:rPr>
          <w:rFonts w:ascii="Times New Roman" w:eastAsia="Calibri" w:hAnsi="Times New Roman" w:cs="Times New Roman"/>
          <w:sz w:val="28"/>
          <w:szCs w:val="28"/>
        </w:rPr>
        <w:t>эндометрия  перед</w:t>
      </w:r>
      <w:proofErr w:type="gramEnd"/>
      <w:r w:rsidRPr="00916B3A">
        <w:rPr>
          <w:rFonts w:ascii="Times New Roman" w:eastAsia="Calibri" w:hAnsi="Times New Roman" w:cs="Times New Roman"/>
          <w:sz w:val="28"/>
          <w:szCs w:val="28"/>
        </w:rPr>
        <w:t xml:space="preserve"> запуском овуляции в процедурах ЭКО/ИКСИ.    </w:t>
      </w:r>
      <w:r w:rsidRPr="00916B3A">
        <w:rPr>
          <w:rFonts w:ascii="Times New Roman" w:hAnsi="Times New Roman" w:cs="Times New Roman"/>
          <w:sz w:val="28"/>
          <w:szCs w:val="28"/>
        </w:rPr>
        <w:t>Имплантация эмбриона в полость матки – сложный многоступенчатый процесс с вовлечением большого числа клеточных и гуморальных факторов, успешность которых зависит не только от исходного состояния эндометрия, но и от качества эмбриона</w:t>
      </w:r>
      <w:r w:rsidR="00FA6FB4"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{"citationItems":[{"id":"ITEM-1","itemData":{"DOI":"10.1016/j.fertnstert.2019.02.029","ISSN":"15565653","PMID":"30929717","abstract":"Endometrial receptivity is an essential component of the complex process of embryo implantation. Its existence is inferred from the observation that not all embryo transfers result in pregnancy. The endometrium is a unique tissue which undergoes dramatic and rapid changes throughout the menstrual cycle. There appears to be a window of implantation, a time of optimal endometrial receptivity, when embryos are most likely to implant. The assessment of the timing and duration of this window of implantation has been a topic of interest and debate since the 1950s. The existence of the window of implantation led to the development of cycles in which endometrial receptivity is induced with exogenous E 2 and P. These cycles are essential to third party parenting and frozen embryo transfers and have therefore become a common part of the practice of assisted reproduction.","author":[{"dropping-particle":"","family":"Paulson","given":"Richard J.","non-dropping-particle":"","parse-names":false,"suffix":""}],"container-title":"Fertility and Sterility","id":"ITEM-1","issue":"4","issued":{"date-parts":[["2019"]]},"page":"609-610","title":"Introduction: Endometrial receptivity: evaluation, induction and inhibition","type":"article-journal","volume":"111"},"uris":["http://www.mendeley.com/documents/?uuid=620cf58b-54af-4386-a942-809e36d7c110"]}],"mendeley":{"formattedCitation":"[49]","plainTextFormattedCitation":"[49]","previouslyFormattedCitation":"(49)"},"properties":{"noteIndex":0},"schema":"https://github.com/citation-style-language/schema/raw/master/csl-citation.json"}</w:instrText>
      </w:r>
      <w:r w:rsidR="00FA6FB4"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[49</w:t>
      </w:r>
      <w:r w:rsidR="00E60637">
        <w:rPr>
          <w:rFonts w:ascii="Times New Roman" w:hAnsi="Times New Roman" w:cs="Times New Roman"/>
          <w:noProof/>
          <w:sz w:val="28"/>
          <w:szCs w:val="28"/>
        </w:rPr>
        <w:t>, с. 609</w:t>
      </w:r>
      <w:r w:rsidR="008C6800" w:rsidRPr="008C6800">
        <w:rPr>
          <w:rFonts w:ascii="Times New Roman" w:hAnsi="Times New Roman" w:cs="Times New Roman"/>
          <w:noProof/>
          <w:sz w:val="28"/>
          <w:szCs w:val="28"/>
        </w:rPr>
        <w:t>]</w:t>
      </w:r>
      <w:r w:rsidR="00FA6FB4" w:rsidRPr="00916B3A">
        <w:rPr>
          <w:rFonts w:ascii="Times New Roman" w:hAnsi="Times New Roman" w:cs="Times New Roman"/>
          <w:sz w:val="28"/>
          <w:szCs w:val="28"/>
        </w:rPr>
        <w:fldChar w:fldCharType="end"/>
      </w:r>
      <w:r w:rsidRPr="00916B3A">
        <w:rPr>
          <w:rFonts w:ascii="Times New Roman" w:hAnsi="Times New Roman" w:cs="Times New Roman"/>
          <w:sz w:val="28"/>
          <w:szCs w:val="28"/>
        </w:rPr>
        <w:t xml:space="preserve">. </w:t>
      </w:r>
      <w:r w:rsidR="00FA6FB4" w:rsidRPr="00916B3A">
        <w:rPr>
          <w:rFonts w:ascii="Times New Roman" w:eastAsia="Calibri" w:hAnsi="Times New Roman" w:cs="Times New Roman"/>
          <w:sz w:val="28"/>
          <w:szCs w:val="28"/>
        </w:rPr>
        <w:t>Данные об исходах беременности были схожими в свежих и замороженных циклах, включая показатели клинической беременности, имплантации и фертильности</w:t>
      </w:r>
      <w:r w:rsidR="00412C28"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author":[{"dropping-particle":"","family":"Balassiano","given":"Erika","non-dropping-particle":"","parse-names":false,"suffix":""},{"dropping-particle":"","family":"Malik","given":"Shaveta","non-dropping-particle":"","parse-names":false,"suffix":""},{"dropping-particle":"","family":"Vaid","given":"Praful","non-dropping-particle":"","parse-names":false,"suffix":""},{"dropping-particle":"","family":"Knochenhauer","given":"Eric S","non-dropping-particle":"","parse-names":false,"suffix":""},{"dropping-particle":"","family":"Traub","given":"Michael L","non-dropping-particle":"","parse-names":false,"suffix":""}],"container-title":"Reproductive Biology and Endocrinology","id":"ITEM-1","issued":{"date-parts":[["2014"]]},"page":"1-6","publisher":"Springer","title":"The presence of multiple gestational sacs confers a higher live birth rate in women with infertility who achieve a positive pregnancy test after fresh and frozen embryo transfer: a retrospective local cohort","type":"article-journal","volume":"12"},"uris":["http://www.mendeley.com/documents/?uuid=efbb50a8-447f-4b3c-88f3-c4bd7746bcf3"]}],"mendeley":{"formattedCitation":"[61]","plainTextFormattedCitation":"[61]","previouslyFormattedCitation":"(61)"},"properties":{"noteIndex":0},"schema":"https://github.com/citation-style-language/schema/raw/master/csl-citation.json"}</w:instrText>
      </w:r>
      <w:r w:rsidR="00412C28"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[61</w:t>
      </w:r>
      <w:r w:rsidR="00170826">
        <w:rPr>
          <w:rFonts w:ascii="Times New Roman" w:eastAsia="Calibri" w:hAnsi="Times New Roman" w:cs="Times New Roman"/>
          <w:noProof/>
          <w:sz w:val="28"/>
          <w:szCs w:val="28"/>
        </w:rPr>
        <w:t>,</w:t>
      </w:r>
      <w:r w:rsidR="00170826" w:rsidRPr="008C6800">
        <w:rPr>
          <w:rFonts w:ascii="Times New Roman" w:eastAsia="Calibri" w:hAnsi="Times New Roman" w:cs="Times New Roman"/>
          <w:noProof/>
          <w:sz w:val="28"/>
          <w:szCs w:val="28"/>
        </w:rPr>
        <w:t>62</w:t>
      </w:r>
      <w:r w:rsidR="008C6800" w:rsidRPr="008C6800">
        <w:rPr>
          <w:rFonts w:ascii="Times New Roman" w:eastAsia="Calibri" w:hAnsi="Times New Roman" w:cs="Times New Roman"/>
          <w:noProof/>
          <w:sz w:val="28"/>
          <w:szCs w:val="28"/>
        </w:rPr>
        <w:t>]</w:t>
      </w:r>
      <w:r w:rsidR="00412C28" w:rsidRPr="00916B3A">
        <w:rPr>
          <w:rFonts w:ascii="Times New Roman" w:eastAsia="Calibri" w:hAnsi="Times New Roman" w:cs="Times New Roman"/>
          <w:sz w:val="28"/>
          <w:szCs w:val="28"/>
        </w:rPr>
        <w:fldChar w:fldCharType="end"/>
      </w:r>
      <w:r w:rsidR="00170826">
        <w:rPr>
          <w:rFonts w:ascii="Times New Roman" w:eastAsia="Calibri" w:hAnsi="Times New Roman" w:cs="Times New Roman"/>
          <w:sz w:val="28"/>
          <w:szCs w:val="28"/>
        </w:rPr>
        <w:t>.</w:t>
      </w:r>
      <w:r w:rsidR="00FA6FB4" w:rsidRPr="00916B3A">
        <w:rPr>
          <w:rFonts w:ascii="Times New Roman" w:eastAsia="Calibri" w:hAnsi="Times New Roman" w:cs="Times New Roman"/>
          <w:sz w:val="28"/>
          <w:szCs w:val="28"/>
        </w:rPr>
        <w:t xml:space="preserve"> Тем не менее, толщина эндометрия был лучшим предиктором рецептивности эндометрия в свежих циклах, чем в замороженных циклах</w:t>
      </w:r>
      <w:r w:rsidR="00412C28"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{"citationItems":[{"id":"ITEM-1","itemData":{"ISSN":"1477-7827","author":[{"dropping-particle":"","family":"Jimenez","given":"Patricia T","non-dropping-particle":"","parse-names":false,"suffix":""},{"dropping-particle":"","family":"Schon","given":"Samantha B","non-dropping-particle":"","parse-names":false,"suffix":""},{"dropping-particle":"","family":"Odem","given":"Randall R","non-dropping-particle":"","parse-names":false,"suffix":""},{"dropping-particle":"","family":"Ratts","given":"Valerie S","non-dropping-particle":"","parse-names":false,"suffix":""},{"dropping-particle":"","family":"Jungheim","given":"Emily S","non-dropping-particle":"","parse-names":false,"suffix":""}],"container-title":"Reproductive biology and endocrinology","id":"ITEM-1","issue":"1","issued":{"date-parts":[["2013"]]},"page":"1-5","publisher":"BioMed Central","title":"A retrospective cross-sectional study: fresh cycle endometrial thickness is a sensitive predictor of inadequate endometrial thickness in frozen embryo transfer cycles","type":"article-journal","volume":"11"},"uris":["http://www.mendeley.com/documents/?uuid=bb0f8ebc-a2c8-4b3c-9bdd-56ddc30416bd"]}],"mendeley":{"formattedCitation":"[63]","plainTextFormattedCitation":"[63]","previouslyFormattedCitation":"(63)"},"properties":{"noteIndex":0},"schema":"https://github.com/citation-style-language/schema/raw/master/csl-citation.json"}</w:instrText>
      </w:r>
      <w:r w:rsidR="00412C28"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[63]</w:t>
      </w:r>
      <w:r w:rsidR="00412C28" w:rsidRPr="00916B3A">
        <w:rPr>
          <w:rFonts w:ascii="Times New Roman" w:eastAsia="Calibri" w:hAnsi="Times New Roman" w:cs="Times New Roman"/>
          <w:sz w:val="28"/>
          <w:szCs w:val="28"/>
        </w:rPr>
        <w:fldChar w:fldCharType="end"/>
      </w:r>
      <w:r w:rsidR="004C47CB" w:rsidRPr="004C47CB">
        <w:rPr>
          <w:rFonts w:ascii="Times New Roman" w:eastAsia="Calibri" w:hAnsi="Times New Roman" w:cs="Times New Roman"/>
          <w:sz w:val="28"/>
          <w:szCs w:val="28"/>
        </w:rPr>
        <w:t>.</w:t>
      </w:r>
    </w:p>
    <w:p w14:paraId="4E0FEC26" w14:textId="69387ABE" w:rsidR="00FA6FB4" w:rsidRPr="00916B3A" w:rsidRDefault="00FA6FB4" w:rsidP="00997125">
      <w:pPr>
        <w:spacing w:line="240" w:lineRule="auto"/>
        <w:ind w:firstLine="567"/>
        <w:contextualSpacing/>
        <w:jc w:val="both"/>
        <w:rPr>
          <w:rFonts w:ascii="Times New Roman" w:eastAsia="Calibri" w:hAnsi="Times New Roman" w:cs="Times New Roman"/>
          <w:sz w:val="28"/>
          <w:szCs w:val="28"/>
        </w:rPr>
      </w:pPr>
      <w:r w:rsidRPr="00916B3A">
        <w:rPr>
          <w:rFonts w:ascii="Times New Roman" w:eastAsia="Calibri" w:hAnsi="Times New Roman" w:cs="Times New Roman"/>
          <w:sz w:val="28"/>
          <w:szCs w:val="28"/>
          <w:lang w:val="kk-KZ"/>
        </w:rPr>
        <w:t>Наиболее распространенные</w:t>
      </w:r>
      <w:r w:rsidRPr="00916B3A">
        <w:rPr>
          <w:rFonts w:ascii="Times New Roman" w:eastAsia="Calibri" w:hAnsi="Times New Roman" w:cs="Times New Roman"/>
          <w:sz w:val="28"/>
          <w:szCs w:val="28"/>
        </w:rPr>
        <w:t xml:space="preserve"> причины</w:t>
      </w:r>
      <w:r w:rsidRPr="00916B3A">
        <w:rPr>
          <w:rFonts w:ascii="Times New Roman" w:eastAsia="Calibri" w:hAnsi="Times New Roman" w:cs="Times New Roman"/>
          <w:sz w:val="28"/>
          <w:szCs w:val="28"/>
          <w:lang w:val="kk-KZ"/>
        </w:rPr>
        <w:t xml:space="preserve"> истончения </w:t>
      </w:r>
      <w:r w:rsidRPr="00916B3A">
        <w:rPr>
          <w:rFonts w:ascii="Times New Roman" w:eastAsia="Calibri" w:hAnsi="Times New Roman" w:cs="Times New Roman"/>
          <w:sz w:val="28"/>
          <w:szCs w:val="28"/>
        </w:rPr>
        <w:t>до 60% были связаны с внутриматоч</w:t>
      </w:r>
      <w:r w:rsidRPr="00916B3A">
        <w:rPr>
          <w:rFonts w:ascii="Times New Roman" w:eastAsia="Calibri" w:hAnsi="Times New Roman" w:cs="Times New Roman"/>
          <w:sz w:val="28"/>
          <w:szCs w:val="28"/>
          <w:lang w:val="kk-KZ"/>
        </w:rPr>
        <w:t>ными вмешательствами</w:t>
      </w:r>
      <w:r w:rsidRPr="00916B3A">
        <w:rPr>
          <w:rFonts w:ascii="Times New Roman" w:eastAsia="Calibri" w:hAnsi="Times New Roman" w:cs="Times New Roman"/>
          <w:sz w:val="28"/>
          <w:szCs w:val="28"/>
        </w:rPr>
        <w:t>, которые могли повр</w:t>
      </w:r>
      <w:r w:rsidR="00412C28" w:rsidRPr="00916B3A">
        <w:rPr>
          <w:rFonts w:ascii="Times New Roman" w:eastAsia="Calibri" w:hAnsi="Times New Roman" w:cs="Times New Roman"/>
          <w:sz w:val="28"/>
          <w:szCs w:val="28"/>
        </w:rPr>
        <w:t>едить базальный слой эндометрия</w:t>
      </w:r>
      <w:r w:rsidR="00412C28"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ISSN":"1040-872X","author":[{"dropping-particle":"","family":"Tulandi","given":"Togas","non-dropping-particle":"","parse-names":false,"suffix":""},{"dropping-particle":"","family":"Al-Shahrani","given":"Abdulaziz","non-dropping-particle":"","parse-names":false,"suffix":""}],"container-title":"Current Opinion in Obstetrics and Gynecology","id":"ITEM-1","issue":"4","issued":{"date-parts":[["2005"]]},"page":"395-398","publisher":"LWW","title":"Adhesion prevention in gynecologic surgery","type":"article-journal","volume":"17"},"uris":["http://www.mendeley.com/documents/?uuid=69a10a39-5c24-4765-aa2e-5d95f868f0c1"]}],"mendeley":{"formattedCitation":"[64]","plainTextFormattedCitation":"[64]","previouslyFormattedCitation":"(64)"},"properties":{"noteIndex":0},"schema":"https://github.com/citation-style-language/schema/raw/master/csl-citation.json"}</w:instrText>
      </w:r>
      <w:r w:rsidR="00412C28"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[64</w:t>
      </w:r>
      <w:r w:rsidR="00170826">
        <w:rPr>
          <w:rFonts w:ascii="Times New Roman" w:eastAsia="Calibri" w:hAnsi="Times New Roman" w:cs="Times New Roman"/>
          <w:noProof/>
          <w:sz w:val="28"/>
          <w:szCs w:val="28"/>
        </w:rPr>
        <w:t>,</w:t>
      </w:r>
      <w:r w:rsidR="00170826" w:rsidRPr="008C6800">
        <w:rPr>
          <w:rFonts w:ascii="Times New Roman" w:eastAsia="Calibri" w:hAnsi="Times New Roman" w:cs="Times New Roman"/>
          <w:noProof/>
          <w:sz w:val="28"/>
          <w:szCs w:val="28"/>
        </w:rPr>
        <w:t>65</w:t>
      </w:r>
      <w:r w:rsidR="008C6800" w:rsidRPr="008C6800">
        <w:rPr>
          <w:rFonts w:ascii="Times New Roman" w:eastAsia="Calibri" w:hAnsi="Times New Roman" w:cs="Times New Roman"/>
          <w:noProof/>
          <w:sz w:val="28"/>
          <w:szCs w:val="28"/>
        </w:rPr>
        <w:t>]</w:t>
      </w:r>
      <w:r w:rsidR="00412C28" w:rsidRPr="00916B3A">
        <w:rPr>
          <w:rFonts w:ascii="Times New Roman" w:eastAsia="Calibri" w:hAnsi="Times New Roman" w:cs="Times New Roman"/>
          <w:sz w:val="28"/>
          <w:szCs w:val="28"/>
        </w:rPr>
        <w:fldChar w:fldCharType="end"/>
      </w:r>
      <w:r w:rsidR="00170826">
        <w:rPr>
          <w:rFonts w:ascii="Times New Roman" w:eastAsia="Calibri" w:hAnsi="Times New Roman" w:cs="Times New Roman"/>
          <w:sz w:val="28"/>
          <w:szCs w:val="28"/>
        </w:rPr>
        <w:t>.</w:t>
      </w:r>
      <w:r w:rsidR="00170826" w:rsidRPr="00916B3A">
        <w:rPr>
          <w:rFonts w:ascii="Times New Roman" w:eastAsia="Calibri" w:hAnsi="Times New Roman" w:cs="Times New Roman"/>
          <w:sz w:val="28"/>
          <w:szCs w:val="28"/>
          <w:lang w:val="kk-KZ"/>
        </w:rPr>
        <w:t xml:space="preserve"> </w:t>
      </w:r>
      <w:r w:rsidRPr="00916B3A">
        <w:rPr>
          <w:rFonts w:ascii="Times New Roman" w:eastAsia="Calibri" w:hAnsi="Times New Roman" w:cs="Times New Roman"/>
          <w:sz w:val="28"/>
          <w:szCs w:val="28"/>
          <w:lang w:val="kk-KZ"/>
        </w:rPr>
        <w:t xml:space="preserve">У </w:t>
      </w:r>
      <w:r w:rsidRPr="00916B3A">
        <w:rPr>
          <w:rFonts w:ascii="Times New Roman" w:eastAsia="Calibri" w:hAnsi="Times New Roman" w:cs="Times New Roman"/>
          <w:sz w:val="28"/>
          <w:szCs w:val="28"/>
        </w:rPr>
        <w:t xml:space="preserve">некоторых женщин </w:t>
      </w:r>
      <w:r w:rsidRPr="00916B3A">
        <w:rPr>
          <w:rFonts w:ascii="Times New Roman" w:eastAsia="Calibri" w:hAnsi="Times New Roman" w:cs="Times New Roman"/>
          <w:sz w:val="28"/>
          <w:szCs w:val="28"/>
          <w:lang w:val="kk-KZ"/>
        </w:rPr>
        <w:t xml:space="preserve">эндометрий </w:t>
      </w:r>
      <w:r w:rsidRPr="00916B3A">
        <w:rPr>
          <w:rFonts w:ascii="Times New Roman" w:eastAsia="Calibri" w:hAnsi="Times New Roman" w:cs="Times New Roman"/>
          <w:sz w:val="28"/>
          <w:szCs w:val="28"/>
        </w:rPr>
        <w:t>так</w:t>
      </w:r>
      <w:r w:rsidR="00412C28" w:rsidRPr="00916B3A">
        <w:rPr>
          <w:rFonts w:ascii="Times New Roman" w:eastAsia="Calibri" w:hAnsi="Times New Roman" w:cs="Times New Roman"/>
          <w:sz w:val="28"/>
          <w:szCs w:val="28"/>
        </w:rPr>
        <w:t>же может быть тонким от природы</w:t>
      </w:r>
      <w:r w:rsidR="00412C28" w:rsidRPr="00916B3A">
        <w:rPr>
          <w:rFonts w:ascii="Times New Roman" w:eastAsia="Calibri" w:hAnsi="Times New Roman" w:cs="Times New Roman"/>
          <w:sz w:val="28"/>
          <w:szCs w:val="28"/>
          <w:lang w:val="kk-KZ"/>
        </w:rPr>
        <w:t xml:space="preserve"> </w:t>
      </w:r>
      <w:r w:rsidR="00412C28" w:rsidRPr="00916B3A">
        <w:rPr>
          <w:rFonts w:ascii="Times New Roman" w:eastAsia="Calibri" w:hAnsi="Times New Roman" w:cs="Times New Roman"/>
          <w:sz w:val="28"/>
          <w:szCs w:val="28"/>
          <w:lang w:val="kk-KZ"/>
        </w:rPr>
        <w:fldChar w:fldCharType="begin" w:fldLock="1"/>
      </w:r>
      <w:r w:rsidR="008C6800">
        <w:rPr>
          <w:rFonts w:ascii="Times New Roman" w:eastAsia="Calibri" w:hAnsi="Times New Roman" w:cs="Times New Roman"/>
          <w:sz w:val="28"/>
          <w:szCs w:val="28"/>
          <w:lang w:val="kk-KZ"/>
        </w:rPr>
        <w:instrText>ADDIN CSL_CITATION {"citationItems":[{"id":"ITEM-1","itemData":{"DOI":"10.1016/j.fertnstert.2013.07.1966","ISSN":"1556-5653 (Electronic)","PMID":"23954352","abstract":"OBJECTIVE: To evaluate the combined effect of endometrial thickness and anatomic  uterine factors on clinical outcome in oocyte donation recipients. DESIGN: Retrospective analysis of oocyte donation cycles conducted between 2005 and 2010. SETTING: Two private IVF centers. PATIENT(S): A total of 737 donor oocyte cycles. INTERVENTION(S): None. MAIN OUTCOME MEASURE(S): Clinical pregnancy and live birth rates. RESULT(S): No statistically significant difference was found in clinical pregnancy rates and live birth rates in cycles with endometrial thickness &lt;6 mm compared with those with endometrial thickness &gt;10 mm. However, a relatively high rate of live births was found within a medium range of endometrial thickness (8.2-10 mm). All intrauterine adhesion cases occurred in cycles with thinner endometrium. CONCLUSION(S): No statistically significant difference was found in clinical pregnancy rates and live birth rates in cycles with endometrial thickness &lt;6 mm compared with those with thickness &gt;6 mm. A relatively high rate of live births was found within a medium range of endometrial thickness (9.1-10 mm).","author":[{"dropping-particle":"","family":"Dain","given":"Lena","non-dropping-particle":"","parse-names":false,"suffix":""},{"dropping-particle":"","family":"Bider","given":"David","non-dropping-particle":"","parse-names":false,"suffix":""},{"dropping-particle":"","family":"Levron","given":"Jacob","non-dropping-particle":"","parse-names":false,"suffix":""},{"dropping-particle":"","family":"Zinchenko","given":"Viktor","non-dropping-particle":"","parse-names":false,"suffix":""},{"dropping-particle":"","family":"Westler","given":"Sharon","non-dropping-particle":"","parse-names":false,"suffix":""},{"dropping-particle":"","family":"Dirnfeld","given":"Martha","non-dropping-particle":"","parse-names":false,"suffix":""}],"container-title":"Fertility and sterility","id":"ITEM-1","issue":"5","issued":{"date-parts":[["2013","11"]]},"language":"eng","page":"1289-1295","publisher-place":"United States","title":"Thin endometrium in donor oocyte recipients: enigma or obstacle for implantation?","type":"article-journal","volume":"100"},"uris":["http://www.mendeley.com/documents/?uuid=abbf93d8-c41a-494e-bc07-0a3fe263e6f3"]}],"mendeley":{"formattedCitation":"[66]","plainTextFormattedCitation":"[66]","previouslyFormattedCitation":"(66)"},"properties":{"noteIndex":0},"schema":"https://github.com/citation-style-language/schema/raw/master/csl-citation.json"}</w:instrText>
      </w:r>
      <w:r w:rsidR="00412C28" w:rsidRPr="00916B3A">
        <w:rPr>
          <w:rFonts w:ascii="Times New Roman" w:eastAsia="Calibri" w:hAnsi="Times New Roman" w:cs="Times New Roman"/>
          <w:sz w:val="28"/>
          <w:szCs w:val="28"/>
          <w:lang w:val="kk-KZ"/>
        </w:rPr>
        <w:fldChar w:fldCharType="separate"/>
      </w:r>
      <w:r w:rsidR="008C6800" w:rsidRPr="008C6800">
        <w:rPr>
          <w:rFonts w:ascii="Times New Roman" w:eastAsia="Calibri" w:hAnsi="Times New Roman" w:cs="Times New Roman"/>
          <w:noProof/>
          <w:sz w:val="28"/>
          <w:szCs w:val="28"/>
          <w:lang w:val="kk-KZ"/>
        </w:rPr>
        <w:t>[66]</w:t>
      </w:r>
      <w:r w:rsidR="00412C28" w:rsidRPr="00916B3A">
        <w:rPr>
          <w:rFonts w:ascii="Times New Roman" w:eastAsia="Calibri" w:hAnsi="Times New Roman" w:cs="Times New Roman"/>
          <w:sz w:val="28"/>
          <w:szCs w:val="28"/>
          <w:lang w:val="kk-KZ"/>
        </w:rPr>
        <w:fldChar w:fldCharType="end"/>
      </w:r>
      <w:r w:rsidRPr="00916B3A">
        <w:rPr>
          <w:rFonts w:ascii="Times New Roman" w:eastAsia="Calibri" w:hAnsi="Times New Roman" w:cs="Times New Roman"/>
          <w:sz w:val="28"/>
          <w:szCs w:val="28"/>
        </w:rPr>
        <w:t>или п</w:t>
      </w:r>
      <w:r w:rsidR="00412C28" w:rsidRPr="00916B3A">
        <w:rPr>
          <w:rFonts w:ascii="Times New Roman" w:eastAsia="Calibri" w:hAnsi="Times New Roman" w:cs="Times New Roman"/>
          <w:sz w:val="28"/>
          <w:szCs w:val="28"/>
        </w:rPr>
        <w:t>од влиянием стероидных гормонов</w:t>
      </w:r>
      <w:r w:rsidR="00412C28"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{"citationItems":[{"id":"ITEM-1","itemData":{"DOI":"10.1093/humupd/dml004","ISSN":"13554786","PMID":"16982667","abstract":"Human embryo implantation is a three-stage process (apposition, adhesion and invasion) involving synchronized crosstalk between a receptive endometrium and a functional blastocyst. This ovarian steroid-dependant phenomenon can only take place during the window of implantation, a self-limited period of endometrial receptivity spanning between days 20 and 24 of the menstrual cycle. Implantation involves a complex sequence of signalling events, consisting in the acquisition of adhesion ligands together with the loss of inhibitory components, which are crucial to the establishment of pregnancy. Histological evaluation, now considered to add little clinically significant information, should be replaced by functional assessment of endometrial receptivity. A large number of molecular mediators have been identified to date, including adhesion molecules, cytokines, growth factors, lipids and others. Thus, endometrial biopsy samples can be used to identify molecules associated with uterine receptivity to obtain a better insight into human implantation. In addition, development of functional in vitro systems to study embryo-uterine interactions will lead to better definition of the interactions existing between the molecules involved in this process. The purpose of this review was not only to describe the different players of the implantation process but also to try to portray the relationship between these factors and their timing in the process of uterine receptivity. © 2006 Oxford University Press.","author":[{"dropping-particle":"","family":"Achache","given":"Hanna","non-dropping-particle":"","parse-names":false,"suffix":""},{"dropping-particle":"","family":"Revel","given":"Ariel","non-dropping-particle":"","parse-names":false,"suffix":""}],"container-title":"Human Reproduction Update","id":"ITEM-1","issue":"6","issued":{"date-parts":[["2006"]]},"page":"731-746","title":"Endometrial receptivity markers, the journey to successful embryo implantation","type":"article-journal","volume":"12"},"uris":["http://www.mendeley.com/documents/?uuid=7fee529b-a1b6-4919-923c-00b793c217f3"]}],"mendeley":{"formattedCitation":"[67]","plainTextFormattedCitation":"[67]","previouslyFormattedCitation":"(67)"},"properties":{"noteIndex":0},"schema":"https://github.com/citation-style-language/schema/raw/master/csl-citation.json"}</w:instrText>
      </w:r>
      <w:r w:rsidR="00412C28"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[67]</w:t>
      </w:r>
      <w:r w:rsidR="00412C28" w:rsidRPr="00916B3A">
        <w:rPr>
          <w:rFonts w:ascii="Times New Roman" w:eastAsia="Calibri" w:hAnsi="Times New Roman" w:cs="Times New Roman"/>
          <w:sz w:val="28"/>
          <w:szCs w:val="28"/>
        </w:rPr>
        <w:fldChar w:fldCharType="end"/>
      </w:r>
      <w:r w:rsidRPr="00916B3A">
        <w:rPr>
          <w:rFonts w:ascii="Times New Roman" w:eastAsia="Calibri" w:hAnsi="Times New Roman" w:cs="Times New Roman"/>
          <w:sz w:val="28"/>
          <w:szCs w:val="28"/>
        </w:rPr>
        <w:t xml:space="preserve">. </w:t>
      </w:r>
    </w:p>
    <w:p w14:paraId="346A05A5" w14:textId="4B4C48E1" w:rsidR="00FA6FB4" w:rsidRPr="00916B3A" w:rsidRDefault="00FA6FB4" w:rsidP="00997125">
      <w:pPr>
        <w:spacing w:line="240" w:lineRule="auto"/>
        <w:ind w:firstLine="567"/>
        <w:contextualSpacing/>
        <w:jc w:val="both"/>
        <w:rPr>
          <w:rFonts w:ascii="Times New Roman" w:eastAsia="Calibri" w:hAnsi="Times New Roman" w:cs="Times New Roman"/>
          <w:color w:val="FF0000"/>
          <w:sz w:val="28"/>
          <w:szCs w:val="28"/>
        </w:rPr>
      </w:pPr>
      <w:r w:rsidRPr="00916B3A">
        <w:rPr>
          <w:rFonts w:ascii="Times New Roman" w:hAnsi="Times New Roman" w:cs="Times New Roman"/>
          <w:sz w:val="28"/>
          <w:szCs w:val="28"/>
        </w:rPr>
        <w:t xml:space="preserve">Результаты ЭКО у пациенток с нарушенной восприимчивостью эндометрия зависят не только от состояния эндометрия. </w:t>
      </w:r>
      <w:r w:rsidRPr="00916B3A">
        <w:rPr>
          <w:rFonts w:ascii="Times New Roman" w:eastAsia="Calibri" w:hAnsi="Times New Roman" w:cs="Times New Roman"/>
          <w:sz w:val="28"/>
          <w:szCs w:val="28"/>
        </w:rPr>
        <w:t xml:space="preserve">Факторы риска и толщина эндометрия значительно влияют на </w:t>
      </w:r>
      <w:r w:rsidRPr="00916B3A">
        <w:rPr>
          <w:rFonts w:ascii="Times New Roman" w:eastAsia="Calibri" w:hAnsi="Times New Roman" w:cs="Times New Roman"/>
          <w:sz w:val="28"/>
          <w:szCs w:val="28"/>
          <w:lang w:val="kk-KZ"/>
        </w:rPr>
        <w:t>показатель живорождения</w:t>
      </w:r>
      <w:r w:rsidRPr="00916B3A">
        <w:rPr>
          <w:rFonts w:ascii="Times New Roman" w:eastAsia="Calibri" w:hAnsi="Times New Roman" w:cs="Times New Roman"/>
          <w:sz w:val="28"/>
          <w:szCs w:val="28"/>
        </w:rPr>
        <w:t xml:space="preserve"> в свежих и замороженных циклах. Согласно результатам систематического обзора, у женщин с нарушенной восприимчивостью эндометрия важно применять  индивидуальный подход с высококачественной диагностикой и эффективными методами лечения для достижения адекватной толщины с улучшенной восприимчивостью эндометрия</w:t>
      </w:r>
      <w:r w:rsidR="00412C28"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{"citationItems":[{"id":"ITEM-1","itemData":{"DOI":"10.23750/abm.v94i3.14437","ISSN":"25316745","PMID":"37326261","abstract":"Aim: This study aims to systematically review the current literature on published studies with data on the clinical significance of endometrial thickness on ultrasound for live birth rate (LBR) after in vitro fertilization (IVF) procedures. Methods: A comprehensive systematic review of PubMed, Web of Science, ScienceDirect, Google Scholar, and Open Gray databases and a subsequent hand search of the reference list of included studies was performed. Results: We found 20 eligible studies that evaluated 20 546 patients for endometrial thickness, presented risk factors for decreased endometrial receptivity, and IVF outcomes with fresh and frozen embryo transfer (FET) cycles. The mean age of the patients ranged from 28.86 to 41.03 years. Reported endometrial thickness ranged from &lt;4 mm to &gt;15 mm. The clinical pregnancy rate varied from 9,09% to 61,49% in fresh embryo transfer cycles and from 13,3% to 79,31% in FET cycles. Overall, LBR varied between 4,80% and 48,99% in fresh embryo cycles and between 6.06% and 39,19% in FET cycles. Limitations. Only English-language studies were included; most studies were from the China region; retrospective study design used in most studies; different ET thresholds, which in turn could significantly alter the correlation with pregnancy outcomes; different IVF procedure protocols in fresh or FET cycles. Conclusions: IVF outcomes in patients with impaired endometrial receptivity do not depend only on the condition of the endometrium. Risk factors and endometrial thickness significantly affect LBR in fresh and FET cycles. (www.actabiomedica.it).","author":[{"dropping-particle":"","family":"Moshkalova","given":"Gaukhar","non-dropping-particle":"","parse-names":false,"suffix":""},{"dropping-particle":"","family":"Karibayeva","given":"Indira","non-dropping-particle":"","parse-names":false,"suffix":""},{"dropping-particle":"","family":"Kurmanova","given":"Almagul","non-dropping-particle":"","parse-names":false,"suffix":""},{"dropping-particle":"","family":"Mamedalieva","given":"Nagima","non-dropping-particle":"","parse-names":false,"suffix":""},{"dropping-particle":"","family":"Aimbetova","given":"Aliya","non-dropping-particle":"","parse-names":false,"suffix":""},{"dropping-particle":"","family":"Terlikbayeva","given":"Aigul","non-dropping-particle":"","parse-names":false,"suffix":""},{"dropping-particle":"","family":"Mamutova","given":"Arzu","non-dropping-particle":"","parse-names":false,"suffix":""},{"dropping-particle":"","family":"Yerzhan","given":"Zarina","non-dropping-particle":"","parse-names":false,"suffix":""},{"dropping-particle":"","family":"Yerkenova","given":"Sandugash","non-dropping-particle":"","parse-names":false,"suffix":""},{"dropping-particle":"","family":"Zheksembay","given":"Balgyn","non-dropping-particle":"","parse-names":false,"suffix":""}],"container-title":"Acta Biomedica","id":"ITEM-1","issue":"3","issued":{"date-parts":[["2023"]]},"title":"Endometrial thickness and live birth rates after IVF: a systematic review","type":"article-journal","volume":"94"},"uris":["http://www.mendeley.com/documents/?uuid=c7f5feb6-ed63-4d16-907d-dfc0e20a26aa"]}],"mendeley":{"formattedCitation":"[68]","plainTextFormattedCitation":"[68]","previouslyFormattedCitation":"(68)"},"properties":{"noteIndex":0},"schema":"https://github.com/citation-style-language/schema/raw/master/csl-citation.json"}</w:instrText>
      </w:r>
      <w:r w:rsidR="00412C28"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[68]</w:t>
      </w:r>
      <w:r w:rsidR="00412C28" w:rsidRPr="00916B3A">
        <w:rPr>
          <w:rFonts w:ascii="Times New Roman" w:eastAsia="Calibri" w:hAnsi="Times New Roman" w:cs="Times New Roman"/>
          <w:sz w:val="28"/>
          <w:szCs w:val="28"/>
        </w:rPr>
        <w:fldChar w:fldCharType="end"/>
      </w:r>
      <w:r w:rsidRPr="00916B3A">
        <w:rPr>
          <w:rFonts w:ascii="Times New Roman" w:eastAsia="Calibri" w:hAnsi="Times New Roman" w:cs="Times New Roman"/>
          <w:sz w:val="28"/>
          <w:szCs w:val="28"/>
        </w:rPr>
        <w:t>.</w:t>
      </w:r>
    </w:p>
    <w:p w14:paraId="34A9E9A0" w14:textId="53FBC9A3" w:rsidR="00412C28" w:rsidRPr="00916B3A" w:rsidRDefault="00412C28" w:rsidP="00997125">
      <w:pPr>
        <w:spacing w:line="240" w:lineRule="auto"/>
        <w:ind w:firstLine="567"/>
        <w:contextualSpacing/>
        <w:jc w:val="both"/>
        <w:rPr>
          <w:rFonts w:ascii="Times New Roman" w:eastAsia="Calibri" w:hAnsi="Times New Roman" w:cs="Times New Roman"/>
          <w:sz w:val="28"/>
          <w:szCs w:val="28"/>
        </w:rPr>
      </w:pPr>
      <w:r w:rsidRPr="00916B3A">
        <w:rPr>
          <w:rFonts w:ascii="Times New Roman" w:hAnsi="Times New Roman" w:cs="Times New Roman"/>
          <w:sz w:val="28"/>
          <w:szCs w:val="28"/>
        </w:rPr>
        <w:t>При исследовании биоптатов эндометрия предлагают использовать молекулярно-генетические методы (геномика), с помощью которых изучают экспрессию генов, функция которых связана с клеточным метаболизмом, железистой секрецией, дифференцировкой клеток, межклеточной коммуникацией, адгезией, механизмами репарации</w:t>
      </w:r>
      <w:r w:rsidR="00E22FFC" w:rsidRPr="00916B3A">
        <w:rPr>
          <w:rFonts w:ascii="Times New Roman" w:hAnsi="Times New Roman" w:cs="Times New Roman"/>
          <w:sz w:val="28"/>
          <w:szCs w:val="28"/>
        </w:rPr>
        <w:t xml:space="preserve"> и регуляции протеолиза</w:t>
      </w:r>
      <w:r w:rsidRPr="00916B3A">
        <w:rPr>
          <w:rFonts w:ascii="Times New Roman" w:hAnsi="Times New Roman" w:cs="Times New Roman"/>
          <w:sz w:val="28"/>
          <w:szCs w:val="28"/>
        </w:rPr>
        <w:t>.</w:t>
      </w:r>
      <w:r w:rsidRPr="00916B3A">
        <w:rPr>
          <w:rFonts w:ascii="Times New Roman" w:eastAsia="Calibri" w:hAnsi="Times New Roman" w:cs="Times New Roman"/>
          <w:sz w:val="28"/>
          <w:szCs w:val="28"/>
        </w:rPr>
        <w:t xml:space="preserve"> Транскриптомный анализ может предсказать тонкий эндометрий путем идентификации генов с повышенной активностью</w:t>
      </w:r>
      <w:r w:rsidR="00BA6F7A"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{"citationItems":[{"id":"ITEM-1","itemData":{"DOI":"10.1096/fj.202101579R","ISSN":"15306860","PMID":"35201635","abstract":"Infertility is a social and medical problem around the world and the incidence continues to rise. Thin endometrium (TE) is a great challenge of infertility treatment, even by in vitro fertilization and embryo transfer. It is widely believed that TE impairs endometrium receptivity. However, only a few studies have explained the molecular mechanism. Herein, in order to reveal the possible mechanism, we sampled endometrium from a TE patient and a control volunteer and got a transcriptomic atlas of 18 775 individual cells which was constructed using single-cell RNA sequencing, and seven cell types have been identified. The cells were acquired during proliferative and secretory phases, respectively. The proportion of epithelial cells and stromal cells showed a significant difference between the TE group and the control group. In addition, differential expressed genes (DEGs) in diverse cell types were revealed, the enriched pathways of DEGs were found closely related to the protein synthesis in TE of both proliferative and secretory phases. Some DEGs can influence cell-type ratio and impaired endometrial receptivity in TE. Furthermore, divergent expression of estrogen receptors 1 and progesterone receptors in stromal and epithelial cells were compared in the TE sample from the control. The cellular and molecular heterogeneity found in this study provided valuable information for disclosing the mechanisms of impaired receptivity in TE.","author":[{"dropping-particle":"","family":"Zhang","given":"Xirong","non-dropping-particle":"","parse-names":false,"suffix":""},{"dropping-particle":"","family":"Li","given":"Yini","non-dropping-particle":"","parse-names":false,"suffix":""},{"dropping-particle":"","family":"Chen","given":"Xiaopan","non-dropping-particle":"","parse-names":false,"suffix":""},{"dropping-particle":"","family":"Jin","given":"Bihui","non-dropping-particle":"","parse-names":false,"suffix":""},{"dropping-particle":"","family":"Shu","given":"Chongyi","non-dropping-particle":"","parse-names":false,"suffix":""},{"dropping-particle":"","family":"Ni","given":"Wanmao","non-dropping-particle":"","parse-names":false,"suffix":""},{"dropping-particle":"","family":"Jiang","given":"Yinshen","non-dropping-particle":"","parse-names":false,"suffix":""},{"dropping-particle":"","family":"Zhang","given":"Jing","non-dropping-particle":"","parse-names":false,"suffix":""},{"dropping-particle":"","family":"Ma","given":"Lijia","non-dropping-particle":"","parse-names":false,"suffix":""},{"dropping-particle":"","family":"Shu","given":"Jing","non-dropping-particle":"","parse-names":false,"suffix":""}],"container-title":"FASEB Journal","id":"ITEM-1","issue":"3","issued":{"date-parts":[["2022"]]},"page":"1-16","title":"Single-cell transcriptome analysis uncovers the molecular and cellular characteristics of thin endometrium","type":"article-journal","volume":"36"},"uris":["http://www.mendeley.com/documents/?uuid=698103f8-73b7-4750-b4e9-68e216b5578b"]}],"mendeley":{"formattedCitation":"[69]","plainTextFormattedCitation":"[69]","previouslyFormattedCitation":"(69)"},"properties":{"noteIndex":0},"schema":"https://github.com/citation-style-language/schema/raw/master/csl-citation.json"}</w:instrText>
      </w:r>
      <w:r w:rsidR="00BA6F7A"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[69]</w:t>
      </w:r>
      <w:r w:rsidR="00BA6F7A" w:rsidRPr="00916B3A">
        <w:rPr>
          <w:rFonts w:ascii="Times New Roman" w:eastAsia="Calibri" w:hAnsi="Times New Roman" w:cs="Times New Roman"/>
          <w:sz w:val="28"/>
          <w:szCs w:val="28"/>
        </w:rPr>
        <w:fldChar w:fldCharType="end"/>
      </w:r>
      <w:r w:rsidR="0039093F" w:rsidRPr="00916B3A">
        <w:rPr>
          <w:rFonts w:ascii="Times New Roman" w:eastAsia="Calibri" w:hAnsi="Times New Roman" w:cs="Times New Roman"/>
          <w:sz w:val="28"/>
          <w:szCs w:val="28"/>
        </w:rPr>
        <w:t>.</w:t>
      </w:r>
    </w:p>
    <w:p w14:paraId="1851FE19" w14:textId="252CA5DE" w:rsidR="00097959" w:rsidRPr="00916B3A" w:rsidRDefault="00097959" w:rsidP="00997125">
      <w:pPr>
        <w:spacing w:line="240" w:lineRule="auto"/>
        <w:ind w:firstLine="567"/>
        <w:contextualSpacing/>
        <w:jc w:val="both"/>
        <w:rPr>
          <w:rFonts w:ascii="Times New Roman" w:eastAsia="Calibri" w:hAnsi="Times New Roman" w:cs="Times New Roman"/>
        </w:rPr>
      </w:pPr>
    </w:p>
    <w:p w14:paraId="49AAFE22" w14:textId="044D0AEF" w:rsidR="00097959" w:rsidRPr="00916B3A" w:rsidRDefault="00097959" w:rsidP="00997125">
      <w:pPr>
        <w:spacing w:after="0" w:line="240" w:lineRule="auto"/>
        <w:ind w:firstLine="567"/>
        <w:jc w:val="both"/>
        <w:rPr>
          <w:rFonts w:ascii="Times New Roman" w:hAnsi="Times New Roman" w:cs="Times New Roman"/>
          <w:b/>
          <w:bCs/>
          <w:sz w:val="28"/>
          <w:szCs w:val="28"/>
        </w:rPr>
      </w:pPr>
      <w:r w:rsidRPr="00916B3A">
        <w:rPr>
          <w:rFonts w:ascii="Times New Roman" w:hAnsi="Times New Roman" w:cs="Times New Roman"/>
          <w:b/>
          <w:bCs/>
          <w:sz w:val="28"/>
          <w:szCs w:val="28"/>
        </w:rPr>
        <w:t>1.2 Молекулярные методы оценки рецептивности эндометрия</w:t>
      </w:r>
    </w:p>
    <w:p w14:paraId="44280799" w14:textId="66FE55D6" w:rsidR="00E17A7E" w:rsidRPr="00916B3A" w:rsidRDefault="00D52925" w:rsidP="00997125">
      <w:pPr>
        <w:spacing w:after="0" w:line="240" w:lineRule="auto"/>
        <w:ind w:firstLine="567"/>
        <w:jc w:val="both"/>
        <w:rPr>
          <w:rFonts w:ascii="Times New Roman" w:eastAsia="Calibri" w:hAnsi="Times New Roman" w:cs="Times New Roman"/>
          <w:sz w:val="28"/>
          <w:szCs w:val="28"/>
          <w:lang w:eastAsia="ko-KR"/>
        </w:rPr>
      </w:pPr>
      <w:r w:rsidRPr="00916B3A">
        <w:rPr>
          <w:rFonts w:ascii="Times New Roman" w:hAnsi="Times New Roman" w:cs="Times New Roman"/>
          <w:sz w:val="28"/>
          <w:szCs w:val="28"/>
        </w:rPr>
        <w:t>Эндометрий обладает наибольшей восприимчивостью к имплантации эмбриона на стадии бластоцисты в период, называемый «имплантационным окном». Рецептивность эндометрия определяется совокупностью его структурно-функциональных характеристик, которые создают оптимальные условия для имплантации бластоцисты. Процесс имплантации зависит от сложной системы регуляции межмолекулярных и межклеточных взаимодействий, которые обеспечивают «диалог» между эмбрионом и восприимчивым эндометрием, а также способствуют проникновению эмбриона в децидуальный слой матки и дальнейшей дифференцировке клеток эмбриона и трофобласта</w:t>
      </w:r>
      <w:r w:rsidR="00FD38BD"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{"citationItems":[{"id":"ITEM-1","itemData":{"DOI":"10.3390/ijms21010023","ISSN":"14220067","PMID":"31861484","abstract":"Implantation of the embryo into the uterine endometrium is one of the most finely-regulated processes that leads to the establishment of a successful pregnancy. A plethora of factors are released in a time-specific fashion to synchronize the differentiation program of both the embryo and the endometrium. Indeed, blastocyst implantation in the uterus occurs in a limited time frame called the “window of implantation” (WOI), during which the maternal endometrium undergoes dramatic changes, collectively called “decidualization”. Decidualization is guided not just by maternal factors (e.g., estrogen, progesterone, thyroid hormone), but also by molecules secreted by the embryo, such as chorionic gonadotropin (CG) and interleukin-1β (IL-1 β), just to cite few. Once reached the uterine cavity, the embryo orients correctly toward the uterine epithelium, interacts with specialized structures, called pinopodes, and begins the process of adhesion and invasion. All these events are guided by factors secreted by both the endometrium and the embryo, such as leukemia inhibitory factor (LIF), integrins and their ligands, adhesion molecules, Notch family members, and metalloproteinases and their inhibitors. The aim of this review is to give an overview of the factors and mechanisms regulating implantation, with a focus on those involved in the complex crosstalk between the blastocyst and the endometrium.","author":[{"dropping-particle":"","family":"Massimiani","given":"Micol","non-dropping-particle":"","parse-names":false,"suffix":""},{"dropping-particle":"","family":"Lacconi","given":"Valentina","non-dropping-particle":"","parse-names":false,"suffix":""},{"dropping-particle":"","family":"Civita","given":"Fabio","non-dropping-particle":"La","parse-names":false,"suffix":""},{"dropping-particle":"","family":"Ticconi","given":"Carlo","non-dropping-particle":"","parse-names":false,"suffix":""},{"dropping-particle":"","family":"Rago","given":"Rocco","non-dropping-particle":"","parse-names":false,"suffix":""},{"dropping-particle":"","family":"Campagnolo","given":"Luisa","non-dropping-particle":"","parse-names":false,"suffix":""}],"container-title":"International Journal of Molecular Sciences","id":"ITEM-1","issue":"1","issued":{"date-parts":[["2020"]]},"title":"Molecular signaling regulating endometrium–blastocyst crosstalk","type":"article-journal","volume":"21"},"uris":["http://www.mendeley.com/documents/?uuid=b769bb60-9ba6-4c0b-93c7-9f549c733e5a"]}],"mendeley":{"formattedCitation":"[70]","plainTextFormattedCitation":"[70]","previouslyFormattedCitation":"(70)"},"properties":{"noteIndex":0},"schema":"https://github.com/citation-style-language/schema/raw/master/csl-citation.json"}</w:instrText>
      </w:r>
      <w:r w:rsidR="00FD38BD"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[70]</w:t>
      </w:r>
      <w:r w:rsidR="00FD38BD" w:rsidRPr="00916B3A">
        <w:rPr>
          <w:rFonts w:ascii="Times New Roman" w:hAnsi="Times New Roman" w:cs="Times New Roman"/>
          <w:sz w:val="28"/>
          <w:szCs w:val="28"/>
        </w:rPr>
        <w:fldChar w:fldCharType="end"/>
      </w:r>
      <w:r w:rsidR="00FD38BD" w:rsidRPr="00916B3A">
        <w:rPr>
          <w:rFonts w:ascii="Times New Roman" w:hAnsi="Times New Roman" w:cs="Times New Roman"/>
          <w:sz w:val="28"/>
          <w:szCs w:val="28"/>
        </w:rPr>
        <w:t>. При различных заболеваниях эндометрия происходит нарушение его секреторной трансформации, что приводит к снижению активности маточных желез, в том числе секреции эндометрия. Это, в свою очередь, уменьшает рецептивность эндометрия и нарушает взаимодействие эмбриона с материнским организмом на стадии до имплантации</w:t>
      </w:r>
      <w:r w:rsidR="008231CC">
        <w:rPr>
          <w:rFonts w:ascii="Times New Roman" w:hAnsi="Times New Roman" w:cs="Times New Roman"/>
          <w:sz w:val="28"/>
          <w:szCs w:val="28"/>
        </w:rPr>
        <w:t xml:space="preserve">. </w:t>
      </w:r>
      <w:r w:rsidR="008231CC" w:rsidRPr="00916B3A">
        <w:rPr>
          <w:rFonts w:ascii="Times New Roman" w:hAnsi="Times New Roman" w:cs="Times New Roman"/>
          <w:sz w:val="28"/>
          <w:szCs w:val="28"/>
        </w:rPr>
        <w:t>С помощью микроматриц или NGS стало возможным провести одновременный анализ сразу большого количества транскриптов, но не было выявлено одного или нескольких ключевых генов, способных влиять на рецептивность эндометрия. Рецептивный статус эндометрия рассматривают как результат координированной экспрессии сразу большого количества генов, без доминирующей роли какого-то одного или нескольких факторов. Гены, показывающие существенное увеличение или снижение активности по результатам полногеномного анализа, не обязательно ключевые для успешной имплантации. Поэтому результаты полногеномных исследований не всегда совпадают с результатами анализа единичных транскриптов</w:t>
      </w:r>
      <w:r w:rsidR="008231CC" w:rsidRPr="00916B3A">
        <w:rPr>
          <w:rFonts w:ascii="Times New Roman" w:hAnsi="Times New Roman" w:cs="Times New Roman"/>
          <w:sz w:val="28"/>
          <w:szCs w:val="28"/>
        </w:rPr>
        <w:fldChar w:fldCharType="begin" w:fldLock="1"/>
      </w:r>
      <w:r w:rsidR="008231CC">
        <w:rPr>
          <w:rFonts w:ascii="Times New Roman" w:hAnsi="Times New Roman" w:cs="Times New Roman"/>
          <w:sz w:val="28"/>
          <w:szCs w:val="28"/>
        </w:rPr>
        <w:instrText>ADDIN CSL_CITATION {"citationItems":[{"id":"ITEM-1","itemData":{"DOI":"10.1210/er.2018-00281","ISSN":"19457189","PMID":"31074826","abstract":"All mammalian uteri contain glands in the endometrium that develop only or primarily after birth. Gland development or adenogenesis in the postnatal uterus is intrinsically regulated by proliferation, cell-cell interactions, growth factors and their inhibitors, as well as transcription factors, including forkhead box A2 (FOXA2) and estrogen receptor α (ESR1). Extrinsic factors regulating adenogenesis originate from other organs, including the ovary, pituitary, and mammary gland. The infertility and recurrent pregnancy loss observed in uterine gland knockout sheep and mouse models support a primary role for secretions and products of the glands in pregnancy success. Recent studies in mice revealed that uterine glandular epithelia govern postimplantation pregnancy establishment through effects on stromal cell decidualization and placental development. In humans, uterine glands and, by inference, their secretions and products are hypothesized to be critical for blastocyst survival and implantation as well as embryo and placental development during the first trimester before the onset of fetal-maternal circulation. A variety of hormones and other factors from the ovary, placenta, and stromal cells impact secretory function of the uterine glands during pregnancy. This review summarizes new information related to the developmental biology of uterine glands and discusses novel perspectives on their functional roles in pregnancy establishment and success.","author":[{"dropping-particle":"","family":"Kelleher","given":"Andrew M.","non-dropping-particle":"","parse-names":false,"suffix":""},{"dropping-particle":"","family":"Demayo","given":"Francesco J.","non-dropping-particle":"","parse-names":false,"suffix":""},{"dropping-particle":"","family":"Spencer","given":"Thomas E.","non-dropping-particle":"","parse-names":false,"suffix":""}],"container-title":"Endocrine Reviews","id":"ITEM-1","issue":"5","issued":{"date-parts":[["2019"]]},"page":"1424-1445","title":"Uterine Glands: Developmental Biology and Functional Roles in Pregnancy","type":"article-journal","volume":"40"},"uris":["http://www.mendeley.com/documents/?uuid=7e29ab5c-c8c0-4fed-afac-98d7be9bc62d"]}],"mendeley":{"formattedCitation":"[71]","plainTextFormattedCitation":"[71]","previouslyFormattedCitation":"(71)"},"properties":{"noteIndex":0},"schema":"https://github.com/citation-style-language/schema/raw/master/csl-citation.json"}</w:instrText>
      </w:r>
      <w:r w:rsidR="008231CC" w:rsidRPr="00916B3A">
        <w:rPr>
          <w:rFonts w:ascii="Times New Roman" w:hAnsi="Times New Roman" w:cs="Times New Roman"/>
          <w:sz w:val="28"/>
          <w:szCs w:val="28"/>
        </w:rPr>
        <w:fldChar w:fldCharType="separate"/>
      </w:r>
      <w:r w:rsidR="008231CC" w:rsidRPr="008C6800">
        <w:rPr>
          <w:rFonts w:ascii="Times New Roman" w:hAnsi="Times New Roman" w:cs="Times New Roman"/>
          <w:noProof/>
          <w:sz w:val="28"/>
          <w:szCs w:val="28"/>
        </w:rPr>
        <w:t>[71]</w:t>
      </w:r>
      <w:r w:rsidR="008231CC" w:rsidRPr="00916B3A">
        <w:rPr>
          <w:rFonts w:ascii="Times New Roman" w:hAnsi="Times New Roman" w:cs="Times New Roman"/>
          <w:sz w:val="28"/>
          <w:szCs w:val="28"/>
        </w:rPr>
        <w:fldChar w:fldCharType="end"/>
      </w:r>
      <w:r w:rsidR="008231CC">
        <w:rPr>
          <w:rFonts w:ascii="Times New Roman" w:hAnsi="Times New Roman" w:cs="Times New Roman"/>
          <w:sz w:val="28"/>
          <w:szCs w:val="28"/>
        </w:rPr>
        <w:t xml:space="preserve">. </w:t>
      </w:r>
      <w:r w:rsidR="00856D43" w:rsidRPr="00916B3A">
        <w:rPr>
          <w:rFonts w:ascii="Times New Roman" w:hAnsi="Times New Roman" w:cs="Times New Roman"/>
          <w:sz w:val="28"/>
          <w:szCs w:val="28"/>
        </w:rPr>
        <w:t>Для оценки рецептивности эндометрия разработаны и используются различные диагностические методы, включая гистологический анализ</w:t>
      </w:r>
      <w:r w:rsidR="00254B5B"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{"citationItems":[{"id":"ITEM-1","itemData":{"DOI":"10.1530/REP-14-0395","ISSN":"17417899","PMID":"25349438","abstract":"A decade ago, we first reported that endometrial biopsy significantly improves the success of pregnancy in IVF patients with recurrent implantation failure, an observation that was later confirmed by others. Recently, we have demonstrated that this treatment elevated the levels of endometrial pro-inflammatory cytokines and increased the abundance of macrophages (Mac) and dendritic cells (DCs). We therefore hypothesised that the biopsy-related successful pregnancy is secondary to an inflammatory response, and aimed at deciphering its mechanism of action. Supporting our hypothesis, we found that the pro-inflammatory TNFa stimulated primary endometrial stromal cells to express cytokines that attracted monocytes and induced their differentiation into DCs. These monocyte-derived DCs stimulated endometrial epithelial cells to express the adhesive molecule SPP1 (osteopontin (OPN)) and its receptors ITGB3 and CD44, whereas MUC16, which interferes with adhesion, was downregulated. Other implantation-associated genes, such as CHST2, CCL4 (MIP1B) and GROA, were upregulated by monocyte-derived Mac. These findings suggest that uterine receptivity is mediated by the expression of molecules associated with inflammation. Such an inflammatory milieu is not generated in some IVF patients with recurrent implantation failure in the absence of local injury provoked by the biopsy treatment.","author":[{"dropping-particle":"","family":"Gnainsky","given":"Y.","non-dropping-particle":"","parse-names":false,"suffix":""},{"dropping-particle":"","family":"Granot","given":"I.","non-dropping-particle":"","parse-names":false,"suffix":""},{"dropping-particle":"","family":"Aldo","given":"P.","non-dropping-particle":"","parse-names":false,"suffix":""},{"dropping-particle":"","family":"Barash","given":"A.","non-dropping-particle":"","parse-names":false,"suffix":""},{"dropping-particle":"","family":"Or","given":"Y.","non-dropping-particle":"","parse-names":false,"suffix":""},{"dropping-particle":"","family":"Mor","given":"G.","non-dropping-particle":"","parse-names":false,"suffix":""},{"dropping-particle":"","family":"Dekel","given":"N.","non-dropping-particle":"","parse-names":false,"suffix":""}],"container-title":"Reproduction","id":"ITEM-1","issue":"1","issued":{"date-parts":[["2015"]]},"page":"75-85","title":"Biopsy-induced inflammatory conditions improve endometrial receptivity: The mechanism of action","type":"article-journal","volume":"149"},"uris":["http://www.mendeley.com/documents/?uuid=22b6f323-27db-4bf2-8d87-1f66892887fd"]}],"mendeley":{"formattedCitation":"[72]","plainTextFormattedCitation":"[72]","previouslyFormattedCitation":"(72)"},"properties":{"noteIndex":0},"schema":"https://github.com/citation-style-language/schema/raw/master/csl-citation.json"}</w:instrText>
      </w:r>
      <w:r w:rsidR="00254B5B"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[72]</w:t>
      </w:r>
      <w:r w:rsidR="00254B5B" w:rsidRPr="00916B3A">
        <w:rPr>
          <w:rFonts w:ascii="Times New Roman" w:hAnsi="Times New Roman" w:cs="Times New Roman"/>
          <w:sz w:val="28"/>
          <w:szCs w:val="28"/>
        </w:rPr>
        <w:fldChar w:fldCharType="end"/>
      </w:r>
      <w:r w:rsidR="00856D43" w:rsidRPr="00916B3A">
        <w:rPr>
          <w:rFonts w:ascii="Times New Roman" w:hAnsi="Times New Roman" w:cs="Times New Roman"/>
          <w:sz w:val="28"/>
          <w:szCs w:val="28"/>
        </w:rPr>
        <w:t>, электронную микроскопию</w:t>
      </w:r>
      <w:r w:rsidR="00BB5AF3"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{"citationItems":[{"id":"ITEM-1","itemData":{"DOI":"10.1080/09513590.2019.1653562","ISSN":"14730766","PMID":"31532318","abstract":"The scanning electron microscopy of the endometrial surface epithelium during the ‘implantation window’ was performed in 119 patients with uterine factor of infertility or recurrent miscarriage due to endometrial hypoplasia. Ultramorphological picture of the surface endometrial epithelium was characterized by aplasia and hypoplasia of pinopodes (67.39%), dense cell–cell contacts (69.53%), heteromorphy of secretory cells (15.22%) in combination with atypia of microenvironment cells (50%) in patients with infertility. The asynchronous development of pinopodes (46.67%) and the absence of intercellular contacts separation during the ‘implantation window’ (84.44%) was observed in patients with recurrent miscarriage. The revealed disturbance determines the mechanisms of the blastocyst adhesion violation and trophoblast invasion in the different stages of implantation in patients with uterine factor of infertility and recurrent miscarriage.","author":[{"dropping-particle":"","family":"Melkozerova","given":"O. A.","non-dropping-particle":"","parse-names":false,"suffix":""},{"dropping-particle":"V.","family":"Bashmakova","given":"N.","non-dropping-particle":"","parse-names":false,"suffix":""},{"dropping-particle":"","family":"Malgina","given":"G. B.","non-dropping-particle":"","parse-names":false,"suffix":""},{"dropping-particle":"","family":"Bragina","given":"E. E.","non-dropping-particle":"","parse-names":false,"suffix":""},{"dropping-particle":"","family":"Michelson","given":"A. A.","non-dropping-particle":"","parse-names":false,"suffix":""},{"dropping-particle":"","family":"Chistyakova","given":"G. N.","non-dropping-particle":"","parse-names":false,"suffix":""}],"container-title":"Gynecological Endocrinology","id":"ITEM-1","issue":"sup1","issued":{"date-parts":[["2019"]]},"page":"45-48","publisher":"Taylor &amp; Francis","title":"Ultrastructural markers of tissue endometrial receptivity in patients with recurrent implantation failure","type":"article-journal","volume":"35"},"uris":["http://www.mendeley.com/documents/?uuid=f7cbae03-d3f1-465e-b010-1221fb8cf110"]}],"mendeley":{"formattedCitation":"[73]","plainTextFormattedCitation":"[73]","previouslyFormattedCitation":"(73)"},"properties":{"noteIndex":0},"schema":"https://github.com/citation-style-language/schema/raw/master/csl-citation.json"}</w:instrText>
      </w:r>
      <w:r w:rsidR="00BB5AF3"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[73]</w:t>
      </w:r>
      <w:r w:rsidR="00BB5AF3" w:rsidRPr="00916B3A">
        <w:rPr>
          <w:rFonts w:ascii="Times New Roman" w:hAnsi="Times New Roman" w:cs="Times New Roman"/>
          <w:sz w:val="28"/>
          <w:szCs w:val="28"/>
        </w:rPr>
        <w:fldChar w:fldCharType="end"/>
      </w:r>
      <w:r w:rsidR="00BB5AF3" w:rsidRPr="00916B3A">
        <w:rPr>
          <w:rFonts w:ascii="Times New Roman" w:hAnsi="Times New Roman" w:cs="Times New Roman"/>
          <w:sz w:val="28"/>
          <w:szCs w:val="28"/>
        </w:rPr>
        <w:t>, иммуногистохими</w:t>
      </w:r>
      <w:r w:rsidR="00BB5AF3" w:rsidRPr="00916B3A">
        <w:rPr>
          <w:rFonts w:ascii="Times New Roman" w:hAnsi="Times New Roman" w:cs="Times New Roman"/>
          <w:sz w:val="28"/>
          <w:szCs w:val="28"/>
          <w:lang w:val="kk-KZ"/>
        </w:rPr>
        <w:t>ческое исследование</w:t>
      </w:r>
      <w:r w:rsidR="005415DD" w:rsidRPr="00916B3A">
        <w:rPr>
          <w:rFonts w:ascii="Times New Roman" w:hAnsi="Times New Roman" w:cs="Times New Roman"/>
          <w:sz w:val="28"/>
          <w:szCs w:val="28"/>
          <w:lang w:val="kk-KZ"/>
        </w:rPr>
        <w:fldChar w:fldCharType="begin" w:fldLock="1"/>
      </w:r>
      <w:r w:rsidR="00E60637">
        <w:rPr>
          <w:rFonts w:ascii="Times New Roman" w:hAnsi="Times New Roman" w:cs="Times New Roman"/>
          <w:sz w:val="28"/>
          <w:szCs w:val="28"/>
          <w:lang w:val="kk-KZ"/>
        </w:rPr>
        <w:instrText>ADDIN CSL_CITATION {"citationItems":[{"id":"ITEM-1","itemData":{"DOI":"10.5935/1518-0557.20190061","ISSN":"15180557","PMID":"31589391","abstract":"Objective: Our primary objective was to evaluate the endometrial changes before and after the transfer of endo-metrial mesenchymal stem cells (enMSCs) in a population of thinned endometrium women, with absence or hypo-re-sponsiveness to estrogen and repeated implantation failure (RIF). The secondary objective was to evaluate the clinical outcomes of the intervention in terms of clinical pregnancy (CP), early abortions, ongoing pregnancy and live birth delivery rate (LBDR) per in vitro fertilization (IVF) cycle. Methods: A longitudinal and experimental study. The intervention was defined as \"subendometrial inoculation of enMSCs,\" and the post-intervention changes were evaluated by the following variables: endometrial thickness (Eth), endometrial flow cytometry (enFC), endometrial histopa-thology (enHP) and endometrial immunohistochemistry (enIHQ). The variables were analyzed after the intervention (Post-treatment) regarding previous values (Pretreat-ment). Results: Eth values before and after treatment with enMSCs were 5.24±1.24 mm vs. 9.93±0.77 (p=0.000), respectively. Endometrial Flow Cytometry showed significant differences in favor of Normalized variables in the post-treatment assessment, associated with the pre-treatment, LT/Li, LB/Li, NK/Li, CD8/CD3+ and CD4/CD8 (p≤0.015), respectively. Only two variables Li/PC and CD4/ CD3 had NS (p=0.167 and 0.118). A similar analysis was performed on enHP with an HP increase post-treatment (p=0.007). The CP rate was 79.31% (23/29), a live birth delivery rate per embryo transfer was 45.45% (10/22) and ongoing pregnancy 7/29 (24.14%). Conclusion: Subendometrial enMSCs inoculation produces a significant increase in endometrial thickness; normalize the enHP, enIHQ and enFC. As a result, IVF after treatment with enMSCs yields a higher rate of CP and LBDR.","author":[{"dropping-particle":"","family":"Tersoglio","given":"Alberto E.","non-dropping-particle":"","parse-names":false,"suffix":""},{"dropping-particle":"","family":"Tersoglio","given":"Sebastian","non-dropping-particle":"","parse-names":false,"suffix":""},{"dropping-particle":"","family":"Salatino","given":"Dante R.","non-dropping-particle":"","parse-names":false,"suffix":""},{"dropping-particle":"","family":"Castro","given":"Matías","non-dropping-particle":"","parse-names":false,"suffix":""},{"dropping-particle":"","family":"Gonzalez","given":"Adriana","non-dropping-particle":"","parse-names":false,"suffix":""},{"dropping-particle":"","family":"Hinojosa","given":"Mariana","non-dropping-particle":"","parse-names":false,"suffix":""},{"dropping-particle":"","family":"Castellano","given":"Onias","non-dropping-particle":"","parse-names":false,"suffix":""}],"container-title":"Jornal Brasileiro de Reproducao Assistida","id":"ITEM-1","issue":"2","issued":{"date-parts":[["2020"]]},"page":"118-127","title":"Regenerative therapy by endometrial mesenchymal stem cells in thin endometrium with repeated implantation failure. A novel strategy","type":"article-journal","volume":"24"},"uris":["http://www.mendeley.com/documents/?uuid=b627ae19-0af0-4499-8648-0e14daa5ea3e"]}],"mendeley":{"formattedCitation":"[31]","manualFormatting":"[31, с. 118]","plainTextFormattedCitation":"[31]","previouslyFormattedCitation":"(31)"},"properties":{"noteIndex":0},"schema":"https://github.com/citation-style-language/schema/raw/master/csl-citation.json"}</w:instrText>
      </w:r>
      <w:r w:rsidR="005415DD"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[31</w:t>
      </w:r>
      <w:r w:rsidR="00E60637">
        <w:rPr>
          <w:rFonts w:ascii="Times New Roman" w:hAnsi="Times New Roman" w:cs="Times New Roman"/>
          <w:noProof/>
          <w:sz w:val="28"/>
          <w:szCs w:val="28"/>
          <w:lang w:val="kk-KZ"/>
        </w:rPr>
        <w:t>, с. 118</w:t>
      </w:r>
      <w:r w:rsidR="008C6800" w:rsidRPr="008C6800">
        <w:rPr>
          <w:rFonts w:ascii="Times New Roman" w:hAnsi="Times New Roman" w:cs="Times New Roman"/>
          <w:noProof/>
          <w:sz w:val="28"/>
          <w:szCs w:val="28"/>
          <w:lang w:val="kk-KZ"/>
        </w:rPr>
        <w:t>]</w:t>
      </w:r>
      <w:r w:rsidR="005415DD" w:rsidRPr="00916B3A">
        <w:rPr>
          <w:rFonts w:ascii="Times New Roman" w:hAnsi="Times New Roman" w:cs="Times New Roman"/>
          <w:sz w:val="28"/>
          <w:szCs w:val="28"/>
          <w:lang w:val="kk-KZ"/>
        </w:rPr>
        <w:fldChar w:fldCharType="end"/>
      </w:r>
      <w:r w:rsidR="00856D43" w:rsidRPr="00916B3A">
        <w:rPr>
          <w:rFonts w:ascii="Times New Roman" w:hAnsi="Times New Roman" w:cs="Times New Roman"/>
          <w:sz w:val="28"/>
          <w:szCs w:val="28"/>
        </w:rPr>
        <w:t>, определение уровня простагландинов с помощью масс-спектрометрии</w:t>
      </w:r>
      <w:r w:rsidR="005415DD"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{"citationItems":[{"id":"ITEM-1","itemData":{"DOI":"10.1016/j.fertnstert.2019.10.017","ISSN":"15565653","PMID":"32061358","abstract":"Objective: To study the prostanoid profile of the endometria of patients with recurrent implantation failure (RIF), unexplained infertility (UIF), and recurrent miscarriages (RM), and to compare them with the endometria of healthy fertile controls. Design: Prospective cohort study. Setting: University hospital. Patient(s): Fifteen patients with RIF, 18 patients with UIF, 16 patients with RM, and 23 fertile controls were recruited. Intervention(s): Endometrial samples were taken during the window of implantation. After tissue homogenization and extraction, analysis with ultra-performance liquid chromatography diode array detector electrospray ionisation tandem mass spectrometry was performed. Main Outcome Measures: Concentrations of prostaglandin (PG) D1, PGE1, PGF1α, 6-ketoPGF1α, PGD2, PGE2, PGF2α, 15-deoxy-Δ12,14-PGJ2, PGD3, PGE3, PGF3α, thromboxane B2, 13,14-dihydro-PGE1, 13,14-dihydro-PGF1α, 13,14-dihydro-PGF2α, 13,14-dihydro-15-keto-PGE1, 13,14-dihydro-15-keto-PGE2, and 13,14-dihydro-15-keto-PGF2α were assessed. Result(s): Comparison of the endometria of patients with UIF and the controls showed no statistically significant differences. When the endometria of patients with RIF were compared with the controls, thromboxane B2 (TXB2) was found significantly higher (843.1 pg/mg vs. 133.5 pg/mg). When the endometria of patients with RM were compared with controls, 13,14-dihydro-15-keto PGF2α and TXB2 were found significantly higher (3907.30 pg/mg vs. 17.80 pg/mg and 858.7 pg/mg vs. 133.5 pg/mg respectively). Conclusion(s): We identified increased endometrial presence of TXB2 in patients with RM and RIF, and 13,14-dihydro-15-keto PGF2α in patients with RM. Although common ground is observed for RM and RIF, prostanoids, on the other hand, might make their own contribution to endometrial receptivity as important as genes and proteins. Attempts to normalize the prostaglandin profile of the endometrium via enzymatic activity can open new therapeutic options.","author":[{"dropping-particle":"","family":"Demiral Keleş","given":"Irem","non-dropping-particle":"","parse-names":false,"suffix":""},{"dropping-particle":"","family":"Ülgen","given":"Ege","non-dropping-particle":"","parse-names":false,"suffix":""},{"dropping-particle":"","family":"Erkan","given":"Melike Belkız","non-dropping-particle":"","parse-names":false,"suffix":""},{"dropping-particle":"","family":"Çelik","given":"Saliha Esin","non-dropping-particle":"","parse-names":false,"suffix":""},{"dropping-particle":"","family":"Aydın","given":"Yasemin","non-dropping-particle":"","parse-names":false,"suffix":""},{"dropping-particle":"","family":"Önem","given":"Ayşe Nur","non-dropping-particle":"","parse-names":false,"suffix":""},{"dropping-particle":"","family":"Kandemir","given":"Hülya","non-dropping-particle":"","parse-names":false,"suffix":""},{"dropping-particle":"","family":"Arslanoğlu","given":"Tuğçe","non-dropping-particle":"","parse-names":false,"suffix":""},{"dropping-particle":"","family":"Apak","given":"Mustafa Reşat","non-dropping-particle":"","parse-names":false,"suffix":""},{"dropping-particle":"","family":"Sezerman","given":"Uğur","non-dropping-particle":"","parse-names":false,"suffix":""},{"dropping-particle":"","family":"Yeh","given":"John","non-dropping-particle":"","parse-names":false,"suffix":""},{"dropping-particle":"","family":"Buyru","given":"Faruk","non-dropping-particle":"","parse-names":false,"suffix":""},{"dropping-particle":"","family":"Baştu","given":"Ercan","non-dropping-particle":"","parse-names":false,"suffix":""}],"container-title":"Fertility and Sterility","id":"ITEM-1","issue":"3","issued":{"date-parts":[["2020"]]},"page":"670-678.e1","title":"Comparison of endometrial prostanoid profiles in three infertile subgroups: the missing part of receptivity?","type":"article-journal","volume":"113"},"uris":["http://www.mendeley.com/documents/?uuid=2b69f1fc-bc59-429c-a67b-b6e598a55767"]}],"mendeley":{"formattedCitation":"[74]","plainTextFormattedCitation":"[74]","previouslyFormattedCitation":"(74)"},"properties":{"noteIndex":0},"schema":"https://github.com/citation-style-language/schema/raw/master/csl-citation.json"}</w:instrText>
      </w:r>
      <w:r w:rsidR="005415DD"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[74]</w:t>
      </w:r>
      <w:r w:rsidR="005415DD" w:rsidRPr="00916B3A">
        <w:rPr>
          <w:rFonts w:ascii="Times New Roman" w:hAnsi="Times New Roman" w:cs="Times New Roman"/>
          <w:sz w:val="28"/>
          <w:szCs w:val="28"/>
        </w:rPr>
        <w:fldChar w:fldCharType="end"/>
      </w:r>
      <w:r w:rsidR="00856D43" w:rsidRPr="00916B3A">
        <w:rPr>
          <w:rFonts w:ascii="Times New Roman" w:hAnsi="Times New Roman" w:cs="Times New Roman"/>
          <w:sz w:val="28"/>
          <w:szCs w:val="28"/>
        </w:rPr>
        <w:t xml:space="preserve"> и молекулярно-генетические исследования</w:t>
      </w:r>
      <w:r w:rsidR="005415DD"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{"citationItems":[{"id":"ITEM-1","itemData":{"DOI":"10.18786/2072-0505-2019-47-005","ISSN":"25879294","abstract":"Background: Despite significant improvements in the efficiency of assisted reproductive tech-nologies (ART) for the past 10 years, proportion of unsuccessful cycles still remains significant and can reach up to 40%. Impairment of embryonic implantation is considered as one of the possible causes for low ART efficiency. Implantation failure may be a consequence of a shift in the “window of implantation”, i.e. the period of a cycle when endo-metrium is most receptive and ready for embryo implantation. Several methods have been devel-oped to evaluate endometrial receptivity, but their accuracy and efficiency are quite different. Aim: Review and efficiency evaluation of the methods used for endometrial receptivity assessment and the window of implantation determination. Methods: We performed a comprehensive litera-ture search (September 2018) with the key words “endometrial receptivity”, “endometrial receptivity evaluation”, “implantation window”, “window of implantation”, “pinopodes” from PubMed and E-library (Russian) databases. One hundred and thirty four (134) publications were selected for the analysis, including 101 original papers and 33 lit-erature reviews. Results: The methods of conven-tional histology, scanning electronic microscopy, immunohistochemistry, as well as techniques based on the measurement of prostaglandin levels in endometrial fluid and mRNA profiling in an endometrium biopsy sample to assess endome-trial receptivity are reviewed. The issue of a search for an ideal endometrial receptivity marker is dis-cussed. Conclusion: At present, the most efficient and accurate methods to diagnose the window of implantation are those based on the mRNA profile assessment of an endometrial tissue sample. Аnalysis of mRNAs allows not only the accurate diagnosis of endometrial receptivity at the time of biopsy to be determined, but also the window of implantation shift to earlier or later periods to be reliably predicted.","author":[{"dropping-particle":"V.","family":"Kibanov","given":"Mikhail","non-dropping-particle":"","parse-names":false,"suffix":""},{"dropping-particle":"","family":"Makhmudova","given":"Gulnora M.","non-dropping-particle":"","parse-names":false,"suffix":""},{"dropping-particle":"","family":"Gokhberg","given":"Yael A.","non-dropping-particle":"","parse-names":false,"suffix":""}],"container-title":"Almanac of Clinical Medicine","id":"ITEM-1","issue":"1","issued":{"date-parts":[["2019"]]},"page":"12-25","title":"In search for an ideal marker of endometrial receptivity: from histology to comprehensive molecular genetics-based approaches","type":"article-journal","volume":"47"},"uris":["http://www.mendeley.com/documents/?uuid=6f9d74d4-8ffc-4204-9e5f-539a9001a8c4"]}],"mendeley":{"formattedCitation":"[75]","plainTextFormattedCitation":"[75]","previouslyFormattedCitation":"(75)"},"properties":{"noteIndex":0},"schema":"https://github.com/citation-style-language/schema/raw/master/csl-citation.json"}</w:instrText>
      </w:r>
      <w:r w:rsidR="005415DD"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[75]</w:t>
      </w:r>
      <w:r w:rsidR="005415DD" w:rsidRPr="00916B3A">
        <w:rPr>
          <w:rFonts w:ascii="Times New Roman" w:hAnsi="Times New Roman" w:cs="Times New Roman"/>
          <w:sz w:val="28"/>
          <w:szCs w:val="28"/>
        </w:rPr>
        <w:fldChar w:fldCharType="end"/>
      </w:r>
      <w:r w:rsidR="00856D43" w:rsidRPr="00916B3A">
        <w:rPr>
          <w:rFonts w:ascii="Times New Roman" w:hAnsi="Times New Roman" w:cs="Times New Roman"/>
          <w:sz w:val="28"/>
          <w:szCs w:val="28"/>
        </w:rPr>
        <w:t xml:space="preserve">. </w:t>
      </w:r>
      <w:r w:rsidR="006C2D5D" w:rsidRPr="00916B3A">
        <w:rPr>
          <w:rFonts w:ascii="Times New Roman" w:hAnsi="Times New Roman" w:cs="Times New Roman"/>
          <w:sz w:val="28"/>
          <w:szCs w:val="28"/>
        </w:rPr>
        <w:t>Эти методы в значительной степени зависят от различных факторов, в то время как молекулярные механизмы имплантации до сих пор остаются плохо изученными. Это стало причиной для проведения дополнительных исследований и разработки новых маркеров рецептивности эндометрия.</w:t>
      </w:r>
      <w:r w:rsidR="006C2D5D" w:rsidRPr="00916B3A">
        <w:rPr>
          <w:rFonts w:ascii="Times New Roman" w:hAnsi="Times New Roman" w:cs="Times New Roman"/>
          <w:sz w:val="28"/>
          <w:szCs w:val="28"/>
          <w:lang w:val="kk-KZ"/>
        </w:rPr>
        <w:t xml:space="preserve"> </w:t>
      </w:r>
      <w:r w:rsidR="00A17D9E" w:rsidRPr="00916B3A">
        <w:rPr>
          <w:rFonts w:ascii="Times New Roman" w:hAnsi="Times New Roman" w:cs="Times New Roman"/>
          <w:sz w:val="28"/>
          <w:szCs w:val="28"/>
        </w:rPr>
        <w:t>Структурные изменения эндометрия, такие как образование пиноподий, изменения их морфологии, возникновение структурных белков на апикальной поверхности эпителиальных клеток, секреция растворимых регуляторных факторов и экспрессия молекулярных маркеров рецептивного эндометрия, происходят в результате изменения активности транскрипции генов под воздействием стероидных гормонов.</w:t>
      </w:r>
      <w:r w:rsidR="00A17D9E" w:rsidRPr="00916B3A">
        <w:rPr>
          <w:rFonts w:ascii="Times New Roman" w:hAnsi="Times New Roman" w:cs="Times New Roman"/>
          <w:sz w:val="28"/>
          <w:szCs w:val="28"/>
          <w:lang w:val="kk-KZ"/>
        </w:rPr>
        <w:t xml:space="preserve"> </w:t>
      </w:r>
      <w:r w:rsidR="00A17D9E" w:rsidRPr="00916B3A">
        <w:rPr>
          <w:rFonts w:ascii="Times New Roman" w:hAnsi="Times New Roman" w:cs="Times New Roman"/>
          <w:sz w:val="28"/>
          <w:szCs w:val="28"/>
        </w:rPr>
        <w:t>Транскрипционную активность генов оценивают по количеству соответствующих мРНК. Для изучения уровня отдельных молекул мРНК обычно применяют нозерн-блот анализ (</w:t>
      </w:r>
      <w:r w:rsidR="00A17D9E" w:rsidRPr="00916B3A">
        <w:rPr>
          <w:rFonts w:ascii="Times New Roman" w:eastAsia="Calibri" w:hAnsi="Times New Roman" w:cs="Times New Roman"/>
          <w:sz w:val="28"/>
          <w:szCs w:val="28"/>
          <w:lang w:eastAsia="ko-KR"/>
        </w:rPr>
        <w:t xml:space="preserve">англ. Northern blot) </w:t>
      </w:r>
      <w:r w:rsidR="00A17D9E" w:rsidRPr="00916B3A">
        <w:rPr>
          <w:rFonts w:ascii="Times New Roman" w:hAnsi="Times New Roman" w:cs="Times New Roman"/>
          <w:sz w:val="28"/>
          <w:szCs w:val="28"/>
        </w:rPr>
        <w:t>или метод обратной транскрипции с количественной ПЦР. Для анализа общего набора молекул мРНК в клетке используют микроматричный анализ или высокопроизводительное секвенирование (next generation sequencing, NGS) — современные генетические технологии, которые позволяют исследовать экспрессию сотен и тысяч генов в одном эксперименте</w:t>
      </w:r>
      <w:r w:rsidR="00A17D9E" w:rsidRPr="00916B3A">
        <w:rPr>
          <w:rFonts w:ascii="Times New Roman" w:hAnsi="Times New Roman" w:cs="Times New Roman"/>
          <w:sz w:val="28"/>
          <w:szCs w:val="28"/>
        </w:rPr>
        <w:fldChar w:fldCharType="begin" w:fldLock="1"/>
      </w:r>
      <w:r w:rsidR="00E60637">
        <w:rPr>
          <w:rFonts w:ascii="Times New Roman" w:hAnsi="Times New Roman" w:cs="Times New Roman"/>
          <w:sz w:val="28"/>
          <w:szCs w:val="28"/>
        </w:rPr>
        <w:instrText>ADDIN CSL_CITATION {"citationItems":[{"id":"ITEM-1","itemData":{"DOI":"10.1093/hropen/hoab011","abstract":"This article summarises and contextualises the accumulated basic and clinical data on the ERA test and addresses specific comments and opinions presented by the opponent as part of an invited debate. Progress in medicine depends on new technologies and concepts that translate to practice to solve long-standing problems. In a key example, combining RNA sequencing data (transcriptomics) with artificial intelligence (AI) led to a clinical revolution in personalising disease diagnosis and fostered the concept of precision medicine. The reproductive field is no exception. Translation of endometrial transcriptomics to the clinic yielded an objective definition of the limited time period during which the maternal endometrium is receptive to an embryo, known as the window of implantation (WOI). The WOI is induced by the presence of exogenous and/or endogenous progesterone (P) after proper oestradiol (E2) priming. The window lasts 30–36 hours and, depending on the patient, occurs between LH + 6 and LH + 9 in natural cycles or between P + 4 and P + 7 in hormonal replacement therapy (HRT) cycles. In approximately 30% of IVF cycles in which embryo transfer is performed blindly, the WOI is displaced and embryo-endometrial synchrony is not achieved. Extending this application of endometrial transcriptomics, the endometrial receptivity analysis (ERA) test couples next-generation sequencing (NGS) to a computational predictor to identify transcriptomic signatures for each endometrial stage: proliferative (PRO), pre-receptive (PRE), receptive (R) and post-receptive (POST). In this way, personalised embryo transfer (pET) may be possible by synchronising embryo transfer with each patient’s WOI. Data are the only way to confront arguments sustained in opinions and/or misleading concepts; it is up to the reader to make their own conclusions regarding its clinical utility.","author":[{"dropping-particle":"","family":"Ruiz-Alonso","given":"Maria","non-dropping-particle":"","parse-names":false,"suffix":""},{"dropping-particle":"","family":"Valbuena","given":"Diana","non-dropping-particle":"","parse-names":false,"suffix":""},{"dropping-particle":"","family":"Gomez","given":"Carlos","non-dropping-particle":"","parse-names":false,"suffix":""},{"dropping-particle":"","family":"Cuzzi","given":"Juliana","non-dropping-particle":"","parse-names":false,"suffix":""},{"dropping-particle":"","family":"Simon","given":"Carlos","non-dropping-particle":"","parse-names":false,"suffix":""}],"container-title":"Human Reproduction Open","id":"ITEM-1","issue":"2","issued":{"date-parts":[["2021"]]},"page":"1-11","title":"Endometrial Receptivity Analysis (ERA): data versus opinions","type":"article-journal","volume":"2021"},"uris":["http://www.mendeley.com/documents/?uuid=dbd5fd89-4cd2-4765-be35-7b9c50c3331a"]}],"mendeley":{"formattedCitation":"[34]","manualFormatting":"[34, с. 2,76]","plainTextFormattedCitation":"[34]","previouslyFormattedCitation":"(34)"},"properties":{"noteIndex":0},"schema":"https://github.com/citation-style-language/schema/raw/master/csl-citation.json"}</w:instrText>
      </w:r>
      <w:r w:rsidR="00A17D9E"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[34</w:t>
      </w:r>
      <w:r w:rsidR="00E60637">
        <w:rPr>
          <w:rFonts w:ascii="Times New Roman" w:hAnsi="Times New Roman" w:cs="Times New Roman"/>
          <w:noProof/>
          <w:sz w:val="28"/>
          <w:szCs w:val="28"/>
        </w:rPr>
        <w:t>, с. 2</w:t>
      </w:r>
      <w:r w:rsidR="009205BE">
        <w:rPr>
          <w:rFonts w:ascii="Times New Roman" w:hAnsi="Times New Roman" w:cs="Times New Roman"/>
          <w:noProof/>
          <w:sz w:val="28"/>
          <w:szCs w:val="28"/>
        </w:rPr>
        <w:t xml:space="preserve">; </w:t>
      </w:r>
      <w:r w:rsidR="00170826" w:rsidRPr="008C6800">
        <w:rPr>
          <w:rFonts w:ascii="Times New Roman" w:hAnsi="Times New Roman" w:cs="Times New Roman"/>
          <w:noProof/>
          <w:sz w:val="28"/>
          <w:szCs w:val="28"/>
        </w:rPr>
        <w:t>76</w:t>
      </w:r>
      <w:r w:rsidR="008C6800" w:rsidRPr="008C6800">
        <w:rPr>
          <w:rFonts w:ascii="Times New Roman" w:hAnsi="Times New Roman" w:cs="Times New Roman"/>
          <w:noProof/>
          <w:sz w:val="28"/>
          <w:szCs w:val="28"/>
        </w:rPr>
        <w:t>]</w:t>
      </w:r>
      <w:r w:rsidR="00A17D9E" w:rsidRPr="00916B3A">
        <w:rPr>
          <w:rFonts w:ascii="Times New Roman" w:hAnsi="Times New Roman" w:cs="Times New Roman"/>
          <w:sz w:val="28"/>
          <w:szCs w:val="28"/>
        </w:rPr>
        <w:fldChar w:fldCharType="end"/>
      </w:r>
      <w:r w:rsidR="00A17D9E" w:rsidRPr="00916B3A">
        <w:rPr>
          <w:rFonts w:ascii="Times New Roman" w:hAnsi="Times New Roman" w:cs="Times New Roman"/>
          <w:sz w:val="28"/>
          <w:szCs w:val="28"/>
        </w:rPr>
        <w:t>.</w:t>
      </w:r>
      <w:r w:rsidR="00A17D9E" w:rsidRPr="00916B3A">
        <w:rPr>
          <w:rFonts w:ascii="Times New Roman" w:eastAsia="Calibri" w:hAnsi="Times New Roman" w:cs="Times New Roman"/>
          <w:sz w:val="28"/>
          <w:szCs w:val="28"/>
          <w:lang w:eastAsia="ko-KR"/>
        </w:rPr>
        <w:t xml:space="preserve"> </w:t>
      </w:r>
    </w:p>
    <w:p w14:paraId="4EB842C3" w14:textId="0E9288D9" w:rsidR="00E17A7E" w:rsidRPr="00916B3A" w:rsidRDefault="00A17D9E" w:rsidP="00997125">
      <w:pPr>
        <w:pBdr>
          <w:bottom w:val="single" w:sz="4" w:space="31" w:color="FFFFFF"/>
        </w:pBdr>
        <w:tabs>
          <w:tab w:val="left" w:pos="0"/>
        </w:tabs>
        <w:autoSpaceDE w:val="0"/>
        <w:spacing w:after="0" w:line="240" w:lineRule="auto"/>
        <w:ind w:firstLine="567"/>
        <w:jc w:val="both"/>
        <w:rPr>
          <w:rFonts w:ascii="Times New Roman" w:eastAsia="Calibri" w:hAnsi="Times New Roman" w:cs="Times New Roman"/>
          <w:sz w:val="28"/>
          <w:szCs w:val="28"/>
          <w:lang w:eastAsia="ko-KR"/>
        </w:rPr>
      </w:pPr>
      <w:r w:rsidRPr="00916B3A">
        <w:rPr>
          <w:rFonts w:ascii="Times New Roman" w:hAnsi="Times New Roman" w:cs="Times New Roman"/>
          <w:sz w:val="28"/>
          <w:szCs w:val="28"/>
        </w:rPr>
        <w:t>Одним из рекомендованных методов анализа экспрессии генов является метод Endometrial Receptive Array (ERA), который исследует 238 генов, а также метод Receptivity Associated Genes (RA</w:t>
      </w:r>
      <w:r w:rsidR="00913683" w:rsidRPr="00916B3A">
        <w:rPr>
          <w:rFonts w:ascii="Times New Roman" w:hAnsi="Times New Roman" w:cs="Times New Roman"/>
          <w:sz w:val="28"/>
          <w:szCs w:val="28"/>
        </w:rPr>
        <w:t xml:space="preserve">Gs), охватывающий 179 генов </w:t>
      </w:r>
      <w:r w:rsidR="00913683"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{"citationItems":[{"id":"ITEM-1","itemData":{"ISSN":"0015-0282","author":[{"dropping-particle":"","family":"Díaz-Gimeno","given":"Patricia","non-dropping-particle":"","parse-names":false,"suffix":""},{"dropping-particle":"","family":"Horcajadas","given":"José A","non-dropping-particle":"","parse-names":false,"suffix":""},{"dropping-particle":"","family":"Martínez-Conejero","given":"José A","non-dropping-particle":"","parse-names":false,"suffix":""},{"dropping-particle":"","family":"Esteban","given":"Francisco J","non-dropping-particle":"","parse-names":false,"suffix":""},{"dropping-particle":"","family":"Alamá","given":"Pilar","non-dropping-particle":"","parse-names":false,"suffix":""},{"dropping-particle":"","family":"Pellicer","given":"Antonio","non-dropping-particle":"","parse-names":false,"suffix":""},{"dropping-particle":"","family":"Simón","given":"Carlos","non-dropping-particle":"","parse-names":false,"suffix":""}],"container-title":"Fertility and sterility","id":"ITEM-1","issue":"1","issued":{"date-parts":[["2011"]]},"page":"50-60","publisher":"Elsevier","title":"A genomic diagnostic tool for human endometrial receptivity based on the transcriptomic signature","type":"article-journal","volume":"95"},"uris":["http://www.mendeley.com/documents/?uuid=e7afb503-2a31-4f11-ab54-6f776b3dd8bd"]}],"mendeley":{"formattedCitation":"[15]","plainTextFormattedCitation":"[15]","previouslyFormattedCitation":"(15)"},"properties":{"noteIndex":0},"schema":"https://github.com/citation-style-language/schema/raw/master/csl-citation.json"}</w:instrText>
      </w:r>
      <w:r w:rsidR="00913683"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[15</w:t>
      </w:r>
      <w:r w:rsidR="008231CC">
        <w:rPr>
          <w:rFonts w:ascii="Times New Roman" w:hAnsi="Times New Roman" w:cs="Times New Roman"/>
          <w:noProof/>
          <w:sz w:val="28"/>
          <w:szCs w:val="28"/>
        </w:rPr>
        <w:t>, с. 50</w:t>
      </w:r>
      <w:r w:rsidR="008C6800" w:rsidRPr="008C6800">
        <w:rPr>
          <w:rFonts w:ascii="Times New Roman" w:hAnsi="Times New Roman" w:cs="Times New Roman"/>
          <w:noProof/>
          <w:sz w:val="28"/>
          <w:szCs w:val="28"/>
        </w:rPr>
        <w:t>]</w:t>
      </w:r>
      <w:r w:rsidR="00913683" w:rsidRPr="00916B3A">
        <w:rPr>
          <w:rFonts w:ascii="Times New Roman" w:hAnsi="Times New Roman" w:cs="Times New Roman"/>
          <w:sz w:val="28"/>
          <w:szCs w:val="28"/>
        </w:rPr>
        <w:fldChar w:fldCharType="end"/>
      </w:r>
      <w:r w:rsidRPr="00916B3A">
        <w:rPr>
          <w:rFonts w:ascii="Times New Roman" w:hAnsi="Times New Roman" w:cs="Times New Roman"/>
          <w:sz w:val="28"/>
          <w:szCs w:val="28"/>
        </w:rPr>
        <w:t>. ERA представляет собой специализированный ДНК-микрочип, включающий 238 генов, чья экспрессия варьирует на различных стадиях эндометриального цикла. С помощью этой комбинированной транскриптомной подписи можно определить окно имплантации (window of implantation – WOI).</w:t>
      </w:r>
      <w:r w:rsidRPr="00916B3A">
        <w:rPr>
          <w:rFonts w:ascii="Times New Roman" w:hAnsi="Times New Roman" w:cs="Times New Roman"/>
          <w:sz w:val="28"/>
          <w:szCs w:val="28"/>
          <w:lang w:val="kk-KZ"/>
        </w:rPr>
        <w:t xml:space="preserve"> </w:t>
      </w:r>
      <w:r w:rsidR="00913683" w:rsidRPr="00916B3A">
        <w:rPr>
          <w:rFonts w:ascii="Times New Roman" w:hAnsi="Times New Roman" w:cs="Times New Roman"/>
          <w:sz w:val="28"/>
          <w:szCs w:val="28"/>
        </w:rPr>
        <w:t>Анализ ERA помогает определить восприимчивость или невосприимчивость эндометрия, что позволяет прогнозировать изменения времени окна имплантации (WOI) и предоставляет доказательства для необходимости индивидуализации переноса эмбрионов</w:t>
      </w:r>
      <w:r w:rsidR="00E17A7E" w:rsidRPr="00916B3A">
        <w:rPr>
          <w:rFonts w:ascii="Times New Roman" w:eastAsia="Calibri" w:hAnsi="Times New Roman" w:cs="Times New Roman"/>
          <w:sz w:val="28"/>
          <w:szCs w:val="28"/>
          <w:lang w:eastAsia="ko-KR"/>
        </w:rPr>
        <w:t xml:space="preserve">. </w:t>
      </w:r>
      <w:r w:rsidR="00984D1F" w:rsidRPr="00916B3A">
        <w:rPr>
          <w:rFonts w:ascii="Times New Roman" w:hAnsi="Times New Roman" w:cs="Times New Roman"/>
          <w:sz w:val="28"/>
          <w:szCs w:val="28"/>
        </w:rPr>
        <w:t xml:space="preserve">ERA </w:t>
      </w:r>
      <w:r w:rsidR="00C37FFB" w:rsidRPr="00916B3A">
        <w:rPr>
          <w:rFonts w:ascii="Times New Roman" w:hAnsi="Times New Roman" w:cs="Times New Roman"/>
          <w:sz w:val="28"/>
          <w:szCs w:val="28"/>
        </w:rPr>
        <w:t xml:space="preserve">- </w:t>
      </w:r>
      <w:r w:rsidR="00984D1F" w:rsidRPr="00916B3A">
        <w:rPr>
          <w:rFonts w:ascii="Times New Roman" w:hAnsi="Times New Roman" w:cs="Times New Roman"/>
          <w:sz w:val="28"/>
          <w:szCs w:val="28"/>
        </w:rPr>
        <w:t>метод оценки рецептивности эндометрия, основанный на ограниченном наборе генов, что позволяет избежать использования полногеномных микрочипов и, таким образом, снижает затраты и упрощает анализ данных. Однако, как новый геномный инструмент, тест ERA имеет свои ограничения: он не способен точно определить оптимальное время для переноса эмбрионов или выявить заболевания матки, которые могут повлиять на имплантацию.</w:t>
      </w:r>
      <w:r w:rsidR="008231CC" w:rsidRPr="008231CC">
        <w:rPr>
          <w:rFonts w:ascii="Times New Roman" w:hAnsi="Times New Roman" w:cs="Times New Roman"/>
          <w:sz w:val="28"/>
          <w:szCs w:val="28"/>
        </w:rPr>
        <w:t xml:space="preserve"> </w:t>
      </w:r>
      <w:r w:rsidR="008231CC" w:rsidRPr="00916B3A">
        <w:rPr>
          <w:rFonts w:ascii="Times New Roman" w:hAnsi="Times New Roman" w:cs="Times New Roman"/>
          <w:sz w:val="28"/>
          <w:szCs w:val="28"/>
        </w:rPr>
        <w:t>Учитывая, что у пациенток с привычным невынашиванием и синдромом «тонкого» эндометрия причина эндометриопатий связана с хроническим эндометритом, поэтому перспективными методами диагностики дисфункций является изучение гено- и фенотипа маркеров иммунного ответа</w:t>
      </w:r>
      <w:r w:rsidR="008231CC" w:rsidRPr="00916B3A">
        <w:rPr>
          <w:rFonts w:ascii="Times New Roman" w:hAnsi="Times New Roman" w:cs="Times New Roman"/>
          <w:sz w:val="28"/>
          <w:szCs w:val="28"/>
        </w:rPr>
        <w:fldChar w:fldCharType="begin" w:fldLock="1"/>
      </w:r>
      <w:r w:rsidR="008231CC">
        <w:rPr>
          <w:rFonts w:ascii="Times New Roman" w:hAnsi="Times New Roman" w:cs="Times New Roman"/>
          <w:sz w:val="28"/>
          <w:szCs w:val="28"/>
        </w:rPr>
        <w:instrText>ADDIN CSL_CITATION {"citationItems":[{"id":"ITEM-1","itemData":{"DOI":"10.1371/journal.pone.0058419","ISSN":"19326203","PMID":"23555582","abstract":"Background: Endometrium acquires structural and functional competence for embryo implantation only during the receptive phase of menstrual cycle in fertile women. Sizeable data are available to indicate that this ability is acquired by modulation in the expression of several genes/gene products. However, there exists little consensus on the identity, number of expressed/not-detected genes and their pattern of expression (up or down regulation). Methods: Literature search was carried out to retrieve the data on endometrial expression of genes/proteins in various conditions. Data were compiled to generate a comprehensive database, Human Gene Expression Endometrial Receptivity database (HGEx-ERdb). The database was used to identify the Receptivity Associated Genes (RAGs) which display the similar pattern of expression across different investigations. Transcript levels of select RAGs encoding cell adhesion proteins were compared between two human endometrial epithelial cell lines; RL95-2 and HEC-1-A by quantitative real time polymerase chain reaction (q-RT-PCR). Further select RAGs were investigated for their expression in pre-receptive (n = 4) and receptive phase (n = 4) human endometrial tissues by immunohistochemical studies. JAr spheroid attachment assays were carried out to assess the functional significance of two RAGs. Results: HGEx-ERdb (http://resource.ibab.ac.in/HGEx-ERdb/) helped identification of 179 RAGs, of which 151 genes were consistently expressed and upregulated and 28 consistently not-detected and downregulated in receptive phase as compared to pre-receptive phase. q-RT-PCR confirmed significantly higher (p&lt;0.005) expression of Thrombospondin1 (THBS1), CD36 and Mucin 16 transcripts, in RL95-2 as compared to HEC-1-A. Further, the pretreatment with antibodies against CD36 and COMP led to a reduction in the percentage of JAr spheroids attached to RL95-2. Immunohistochemical studies demonstrated significantly higher (p&lt;0.05) expression of endometrial THBS1, Cartilage Oligomeric Matrix Protein (COMP) and CD36 in the receptive phase as compared to pre-receptive phase human endometrial tissues. Conclusion: HGEx-ERdb is a catalogue of 19,285 genes, reported for their expression in human endometrium. Further 179 genes were identified as the RAGs. Expression analysis of some RAGs validated the utility of approach employed in creation of HGEx-ERdb. Studies aimed towards defining the specific functions of RAGs and their potential networks may yield r…","author":[{"dropping-particle":"","family":"Bhagwat","given":"Sonali R.","non-dropping-particle":"","parse-names":false,"suffix":""},{"dropping-particle":"","family":"Chandrashekar","given":"Darshan S.","non-dropping-particle":"","parse-names":false,"suffix":""},{"dropping-particle":"","family":"Kakar","given":"Ruchi","non-dropping-particle":"","parse-names":false,"suffix":""},{"dropping-particle":"","family":"Davuluri","given":"Sravanthi","non-dropping-particle":"","parse-names":false,"suffix":""},{"dropping-particle":"","family":"Bajpai","given":"Akhilesh K.","non-dropping-particle":"","parse-names":false,"suffix":""},{"dropping-particle":"","family":"Nayak","given":"Sumeet","non-dropping-particle":"","parse-names":false,"suffix":""},{"dropping-particle":"","family":"Bhutada","given":"Sumit","non-dropping-particle":"","parse-names":false,"suffix":""},{"dropping-particle":"","family":"Acharya","given":"Kshitish","non-dropping-particle":"","parse-names":false,"suffix":""},{"dropping-particle":"","family":"Sachdeva","given":"Geetanjali","non-dropping-particle":"","parse-names":false,"suffix":""}],"container-title":"PLoS ONE","id":"ITEM-1","issue":"3","issued":{"date-parts":[["2013"]]},"title":"Endometrial Receptivity: A Revisit to Functional Genomics Studies on Human Endometrium and Creation of HGEx-ERdb","type":"article-journal","volume":"8"},"uris":["http://www.mendeley.com/documents/?uuid=9aad2232-ec09-4705-b31f-0c66dba1fa7b"]}],"mendeley":{"formattedCitation":"[77]","plainTextFormattedCitation":"[77]","previouslyFormattedCitation":"(77)"},"properties":{"noteIndex":0},"schema":"https://github.com/citation-style-language/schema/raw/master/csl-citation.json"}</w:instrText>
      </w:r>
      <w:r w:rsidR="008231CC" w:rsidRPr="00916B3A">
        <w:rPr>
          <w:rFonts w:ascii="Times New Roman" w:hAnsi="Times New Roman" w:cs="Times New Roman"/>
          <w:sz w:val="28"/>
          <w:szCs w:val="28"/>
        </w:rPr>
        <w:fldChar w:fldCharType="separate"/>
      </w:r>
      <w:r w:rsidR="008231CC" w:rsidRPr="008C6800">
        <w:rPr>
          <w:rFonts w:ascii="Times New Roman" w:hAnsi="Times New Roman" w:cs="Times New Roman"/>
          <w:noProof/>
          <w:sz w:val="28"/>
          <w:szCs w:val="28"/>
        </w:rPr>
        <w:t>[77]</w:t>
      </w:r>
      <w:r w:rsidR="008231CC" w:rsidRPr="00916B3A">
        <w:rPr>
          <w:rFonts w:ascii="Times New Roman" w:hAnsi="Times New Roman" w:cs="Times New Roman"/>
          <w:sz w:val="28"/>
          <w:szCs w:val="28"/>
        </w:rPr>
        <w:fldChar w:fldCharType="end"/>
      </w:r>
      <w:r w:rsidR="008231CC">
        <w:rPr>
          <w:rFonts w:ascii="Times New Roman" w:hAnsi="Times New Roman" w:cs="Times New Roman"/>
          <w:sz w:val="28"/>
          <w:szCs w:val="28"/>
        </w:rPr>
        <w:t>.</w:t>
      </w:r>
    </w:p>
    <w:p w14:paraId="0DE605F0" w14:textId="616BBBAC" w:rsidR="00E17A7E" w:rsidRPr="00916B3A" w:rsidRDefault="00984D1F" w:rsidP="00997125">
      <w:pPr>
        <w:pBdr>
          <w:bottom w:val="single" w:sz="4" w:space="31" w:color="FFFFFF"/>
        </w:pBdr>
        <w:tabs>
          <w:tab w:val="left" w:pos="0"/>
        </w:tabs>
        <w:autoSpaceDE w:val="0"/>
        <w:spacing w:after="0" w:line="240" w:lineRule="auto"/>
        <w:ind w:firstLine="567"/>
        <w:jc w:val="both"/>
        <w:rPr>
          <w:rFonts w:ascii="Times New Roman" w:eastAsia="Calibri" w:hAnsi="Times New Roman" w:cs="Times New Roman"/>
          <w:sz w:val="28"/>
          <w:szCs w:val="28"/>
          <w:lang w:eastAsia="ko-KR"/>
        </w:rPr>
      </w:pPr>
      <w:r w:rsidRPr="00916B3A">
        <w:rPr>
          <w:rFonts w:ascii="Times New Roman" w:hAnsi="Times New Roman" w:cs="Times New Roman"/>
          <w:sz w:val="28"/>
          <w:szCs w:val="28"/>
        </w:rPr>
        <w:t>Анализ экспрессии мРНК с использованием Gene Ontology (GO) показал, что гены с повышенной активностью в «тонком» эндометрии включают несколько генов, связанных с иммунными процессами. Исследование Kyoto Encyclopedia of Genes and Genomes (KEGG) выявило, что гены, такие как TNFAIP2 и TNFAIP6, а также те, что индуцируют IFN-γ, FASLG, GZMB и TNF-α, связаны с цитотоксичностью натуральных киллеров. Также было обнаружено подавление генов, связанных с метаболизмом и реакциями на окислительный стресс. Эти гены, включая PPAR-γ, XDH, CBR3, IDH1 и CPT1, играют важную роль в клеточных реакциях на окислительный стресс. Дополнительно, GO-анализ показал снижение активности генов, которые участвуют в катаболических процессах, направленных на расщепление крупных молекул, таких как полисахариды, липиды и белки, на более мелкие компоненты, такие как моносахариды, жирные кислоты и аминокислоты</w:t>
      </w:r>
      <w:r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{"citationItems":[{"id":"ITEM-1","itemData":{"DOI":"10.1016/j.fertnstert.2020.11.010","ISSN":"15565653","PMID":"33589135","abstract":"Objective: To define the transcriptomic signature with respect to human endometrial receptivity in Chinese women by next-generation sequencing and to develop a more refined and customized bioinformatic predictive method for endometrial dating in Chinese women. Design: Randomized. Setting: A tertiary hospital−based reproductive medicine center. Patient(s): Ninety healthy, fertile Chinese women. Intervention(s): Human endometrial biopsies. Main Outcome Measure(s): Gene expression of endometrial biopsies. Result(s): Ninety endometrial samples from healthy Chinese women during their menstrual cycles—including prereceptive (luteinizing hormone [LH] + 3 days/LH + 5 days), receptive (LH + 7 days), and post-receptive (LH + 9 days) phases—were subjected to transcriptomic analysis using messenger RNA (mRNA)-enriched RNA-Seq. Feature genes were obtained and used to train the predictor for endometrial dating, with 63 samples for the training set and 27 samples for the validation set. Differentially expressed genes (DEGs) were identified by comparing samples from different phases of the menstrual cycle. Based on the transcriptomic feature genes, we constructed a bioinformatic predictor for endometrial dating. The accuracy on assessment of the endometrium on days LH + 3, LH + 5, LH + 7, and LH + 9 was 100% in the training set and 85.19% in the validation set. Conclusion(s): Our transcriptomic profiling method can be used to monitor the window of implantation with regard to the endometrium in the Chinese population. This method potentially provides an evaluation of endometrial status, and can be used to predict a personal window of implantation by reproductive medicine clinicians.","author":[{"dropping-particle":"","family":"Zhang","given":"Wen bi","non-dropping-particle":"","parse-names":false,"suffix":""},{"dropping-particle":"","family":"Li","given":"Qing","non-dropping-particle":"","parse-names":false,"suffix":""},{"dropping-particle":"","family":"Liu","given":"Hu","non-dropping-particle":"","parse-names":false,"suffix":""},{"dropping-particle":"","family":"Chen","given":"Wei jian","non-dropping-particle":"","parse-names":false,"suffix":""},{"dropping-particle":"","family":"Zhang","given":"Chun lei","non-dropping-particle":"","parse-names":false,"suffix":""},{"dropping-particle":"","family":"Li","given":"He","non-dropping-particle":"","parse-names":false,"suffix":""},{"dropping-particle":"","family":"Lu","given":"Xiang","non-dropping-particle":"","parse-names":false,"suffix":""},{"dropping-particle":"","family":"Chen","given":"Jun ling","non-dropping-particle":"","parse-names":false,"suffix":""},{"dropping-particle":"","family":"Li","given":"Lu","non-dropping-particle":"","parse-names":false,"suffix":""},{"dropping-particle":"","family":"Wu","given":"Han","non-dropping-particle":"","parse-names":false,"suffix":""},{"dropping-particle":"","family":"Sun","given":"Xiao xi","non-dropping-particle":"","parse-names":false,"suffix":""}],"container-title":"Fertility and Sterility","id":"ITEM-1","issue":"1","issued":{"date-parts":[["2021"]]},"page":"157-164","title":"Transcriptomic analysis of endometrial receptivity for a genomic diagnostics model of Chinese women","type":"article-journal","volume":"116"},"uris":["http://www.mendeley.com/documents/?uuid=2b1421dd-6604-42ef-ad23-b000db7c6c94"]}],"mendeley":{"formattedCitation":"[78]","plainTextFormattedCitation":"[78]","previouslyFormattedCitation":"(78)"},"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[78]</w:t>
      </w:r>
      <w:r w:rsidRPr="00916B3A">
        <w:rPr>
          <w:rFonts w:ascii="Times New Roman" w:hAnsi="Times New Roman" w:cs="Times New Roman"/>
          <w:sz w:val="28"/>
          <w:szCs w:val="28"/>
        </w:rPr>
        <w:fldChar w:fldCharType="end"/>
      </w:r>
      <w:r w:rsidRPr="00916B3A">
        <w:rPr>
          <w:rFonts w:ascii="Times New Roman" w:hAnsi="Times New Roman" w:cs="Times New Roman"/>
          <w:sz w:val="28"/>
          <w:szCs w:val="28"/>
        </w:rPr>
        <w:t>.</w:t>
      </w:r>
      <w:r w:rsidRPr="00916B3A">
        <w:rPr>
          <w:rFonts w:ascii="Times New Roman" w:eastAsia="Calibri" w:hAnsi="Times New Roman" w:cs="Times New Roman"/>
          <w:sz w:val="28"/>
          <w:szCs w:val="28"/>
          <w:lang w:eastAsia="ko-KR"/>
        </w:rPr>
        <w:t xml:space="preserve"> </w:t>
      </w:r>
    </w:p>
    <w:p w14:paraId="2F710F61" w14:textId="1BC90CDD" w:rsidR="00234A06" w:rsidRPr="00916B3A" w:rsidRDefault="00984D1F" w:rsidP="00997125">
      <w:pPr>
        <w:pBdr>
          <w:bottom w:val="single" w:sz="4" w:space="31" w:color="FFFFFF"/>
        </w:pBdr>
        <w:tabs>
          <w:tab w:val="left" w:pos="0"/>
        </w:tabs>
        <w:autoSpaceDE w:val="0"/>
        <w:spacing w:after="0" w:line="240" w:lineRule="auto"/>
        <w:ind w:firstLine="567"/>
        <w:jc w:val="both"/>
        <w:rPr>
          <w:rFonts w:ascii="Times New Roman" w:eastAsia="Calibri" w:hAnsi="Times New Roman" w:cs="Times New Roman"/>
          <w:sz w:val="24"/>
          <w:szCs w:val="24"/>
          <w:lang w:eastAsia="ko-KR"/>
        </w:rPr>
      </w:pPr>
      <w:r w:rsidRPr="00916B3A">
        <w:rPr>
          <w:rFonts w:ascii="Times New Roman" w:hAnsi="Times New Roman" w:cs="Times New Roman"/>
          <w:sz w:val="28"/>
          <w:szCs w:val="28"/>
        </w:rPr>
        <w:t>Достижения в области изучения рецептивности эндометрия, включая протеомику, эпигенетику, микроматрицу ДНК для мРНК и микроРНК, а также фенотипирование иммунокомпетентных клеток, открывают возможности для выявления новых биомаркеров эндометриальной рецептивности. На примере использования ДНК-микрочипа, исследования нормального и патологического эндометрия приводят к созданию растущего списка потенциальных биомаркеров, связанных с периодом имплантации</w:t>
      </w:r>
      <w:r w:rsidR="00C91A29" w:rsidRPr="00916B3A">
        <w:rPr>
          <w:rFonts w:ascii="Times New Roman" w:hAnsi="Times New Roman" w:cs="Times New Roman"/>
          <w:sz w:val="28"/>
          <w:szCs w:val="28"/>
        </w:rPr>
        <w:t>. Выявлено 318 генов с увеличенной регуляцией и 322 гена с уменьшенной регуляцией в тонком эндометрии по сравнению с контрольным. Анализ путей GO и KEGG показал, что в тонком эндометрии наблюдается аномальная активация иммунных процессов и цитотоксичности естественных клеток-киллеров, что сопровождается повышенным уровнем воспалительных цитокинов, таких как IFN-γ. Также в тонком эндометрии были снижены экспрессия генов, связанных с метаболизмом и антиоксидантным стрессом</w:t>
      </w:r>
      <w:r w:rsidR="00C91A29" w:rsidRPr="00916B3A">
        <w:rPr>
          <w:rFonts w:ascii="Times New Roman" w:hAnsi="Times New Roman" w:cs="Times New Roman"/>
        </w:rPr>
        <w:t xml:space="preserve"> </w:t>
      </w:r>
      <w:r w:rsidR="00F87DB1"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{"citationItems":[{"id":"ITEM-1","itemData":{"DOI":"10.1016/j.fertnstert.2019.02.009","ISSN":"15565653","PMID":"30929718","abstract":"Endometrial receptivity is a complex process that provides the embryo with the opportunity to attach, invade, and develop, culminating in a new individual and continuation of the species. The window of implantation extends 3–6 days within the secretory phase in most normal women. In certain inflammatory or anatomic conditions, this window is narrowed or shifted to preclude normal implantation, leading to infertility or pregnancy loss. Of the factors that prevent normal implantation and pregnancy, embryo and endometrial quality share responsibility. In this review, we highlight the advances in the study of implantation from the perspective of the endometrium, normally a barrier to implantation. New advances will allow the early identification of defects in endometrial receptivity and provide new avenues for treatment that promote successful establishment of pregnancy.","author":[{"dropping-particle":"","family":"Lessey","given":"Bruce A.","non-dropping-particle":"","parse-names":false,"suffix":""},{"dropping-particle":"","family":"Young","given":"Steven L.","non-dropping-particle":"","parse-names":false,"suffix":""}],"container-title":"Fertility and Sterility","id":"ITEM-1","issue":"4","issued":{"date-parts":[["2019"]]},"page":"611-617","publisher":"Elsevier Inc.","title":"What exactly is endometrial receptivity?","type":"article-journal","volume":"111"},"uris":["http://www.mendeley.com/documents/?uuid=ce99271d-067c-47c0-9675-cf468f6e769b"]}],"mendeley":{"formattedCitation":"[22]","plainTextFormattedCitation":"[22]","previouslyFormattedCitation":"(22)"},"properties":{"noteIndex":0},"schema":"https://github.com/citation-style-language/schema/raw/master/csl-citation.json"}</w:instrText>
      </w:r>
      <w:r w:rsidR="00F87DB1"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[22</w:t>
      </w:r>
      <w:r w:rsidR="008231CC">
        <w:rPr>
          <w:rFonts w:ascii="Times New Roman" w:hAnsi="Times New Roman" w:cs="Times New Roman"/>
          <w:noProof/>
          <w:sz w:val="28"/>
          <w:szCs w:val="28"/>
        </w:rPr>
        <w:t>, с.</w:t>
      </w:r>
      <w:r w:rsidR="009205BE">
        <w:rPr>
          <w:rFonts w:ascii="Times New Roman" w:hAnsi="Times New Roman" w:cs="Times New Roman"/>
          <w:noProof/>
          <w:sz w:val="28"/>
          <w:szCs w:val="28"/>
        </w:rPr>
        <w:t xml:space="preserve"> </w:t>
      </w:r>
      <w:r w:rsidR="008231CC">
        <w:rPr>
          <w:rFonts w:ascii="Times New Roman" w:hAnsi="Times New Roman" w:cs="Times New Roman"/>
          <w:noProof/>
          <w:sz w:val="28"/>
          <w:szCs w:val="28"/>
        </w:rPr>
        <w:t>611</w:t>
      </w:r>
      <w:r w:rsidR="009205BE">
        <w:rPr>
          <w:rFonts w:ascii="Times New Roman" w:hAnsi="Times New Roman" w:cs="Times New Roman"/>
          <w:noProof/>
          <w:sz w:val="28"/>
          <w:szCs w:val="28"/>
        </w:rPr>
        <w:t xml:space="preserve">; </w:t>
      </w:r>
      <w:r w:rsidR="00170826" w:rsidRPr="008C6800">
        <w:rPr>
          <w:rFonts w:ascii="Times New Roman" w:hAnsi="Times New Roman" w:cs="Times New Roman"/>
          <w:noProof/>
          <w:sz w:val="28"/>
          <w:szCs w:val="28"/>
        </w:rPr>
        <w:t>79</w:t>
      </w:r>
      <w:r w:rsidR="008C6800" w:rsidRPr="008C6800">
        <w:rPr>
          <w:rFonts w:ascii="Times New Roman" w:hAnsi="Times New Roman" w:cs="Times New Roman"/>
          <w:noProof/>
          <w:sz w:val="28"/>
          <w:szCs w:val="28"/>
        </w:rPr>
        <w:t>]</w:t>
      </w:r>
      <w:r w:rsidR="00F87DB1" w:rsidRPr="00916B3A">
        <w:rPr>
          <w:rFonts w:ascii="Times New Roman" w:hAnsi="Times New Roman" w:cs="Times New Roman"/>
          <w:sz w:val="28"/>
          <w:szCs w:val="28"/>
        </w:rPr>
        <w:fldChar w:fldCharType="end"/>
      </w:r>
      <w:r w:rsidR="00E17A7E" w:rsidRPr="00916B3A">
        <w:rPr>
          <w:rFonts w:ascii="Times New Roman" w:eastAsia="Calibri" w:hAnsi="Times New Roman" w:cs="Times New Roman"/>
          <w:sz w:val="24"/>
          <w:szCs w:val="24"/>
          <w:lang w:eastAsia="ko-KR"/>
        </w:rPr>
        <w:t>.</w:t>
      </w:r>
    </w:p>
    <w:p w14:paraId="21B34FD9" w14:textId="49CF7306" w:rsidR="00CD5ABF" w:rsidRPr="00916B3A" w:rsidRDefault="008231CC" w:rsidP="00997125">
      <w:pPr>
        <w:pBdr>
          <w:bottom w:val="single" w:sz="4" w:space="31" w:color="FFFFFF"/>
        </w:pBdr>
        <w:tabs>
          <w:tab w:val="left" w:pos="0"/>
        </w:tabs>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Гены, демонстрирующие значительные изменения в активности на основе полногеномного анализа, не всегда играют ключевую роль в успешной имплантации. Поэтому результаты полногеномных исследований могут не совпадать с данными, полученными из анализа отдельных транскриптов РНК</w:t>
      </w:r>
      <w:r>
        <w:rPr>
          <w:rFonts w:ascii="Times New Roman" w:hAnsi="Times New Roman" w:cs="Times New Roman"/>
          <w:sz w:val="28"/>
          <w:szCs w:val="28"/>
        </w:rPr>
        <w:t xml:space="preserve">. </w:t>
      </w:r>
      <w:r w:rsidR="00234A06" w:rsidRPr="00916B3A">
        <w:rPr>
          <w:rFonts w:ascii="Times New Roman" w:hAnsi="Times New Roman" w:cs="Times New Roman"/>
          <w:sz w:val="28"/>
          <w:szCs w:val="28"/>
        </w:rPr>
        <w:t>Винтегративной биомедицине используются различные подходы, основанные на анализе нескольких слоев данных о регуляции генов (генетические варианты, транскрипты РНК, профили метилирования ДНК, концентрации белков, метки хроматина)</w:t>
      </w:r>
      <w:r w:rsidR="00B86AE4"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{"citationItems":[{"id":"ITEM-1","itemData":{"DOI":"10.1007/s43032-021-00629-9","ISBN":"4303202100629","ISSN":"19337205","PMID":"34046867","abstract":"Polycystic ovary syndrome (PCOS) is a mysterious and complicated endocrine disease with the combination of metabolic, reproductive, psychological dysfunctions. Impaired endometrial receptivity and ovulation disorders/anovulation are both important causes of PCOS-related infertility. However, change in endometrium has never received the same attention as ovulatory dysfunction. Besides, putting emphasis on endometrial function may be more realistic for PCOS-related infertility, given the wide use of assisted reproductive technology. The present review focuses on the disorders of endometrial receptivity of patients with PCOS, summarizes the changes of the indicators of endometrial receptivity including leukemia inhibitory factor, homeobox genes A, pinopodes, αvβ3-integrin, and intercellular junctions and also analyzes the possible mechanisms of decreased endometrial receptivity and its relationship with the main endocrine and metabolic disorders of PCOS such as hyperandrogenism, inflammation, insulin resistance, and obesity. Despite several biomarkers have been found to be associated with decreased endometrial receptivity in PCOS, the clinical relevance of these findings still awaits future clarification.","author":[{"dropping-particle":"","family":"Jiang","given":"Nan Xing","non-dropping-particle":"","parse-names":false,"suffix":""},{"dropping-particle":"","family":"Li","given":"Xue Lian","non-dropping-particle":"","parse-names":false,"suffix":""}],"container-title":"Reproductive Sciences","id":"ITEM-1","issue":"9","issued":{"date-parts":[["2022"]]},"page":"2465-2476","title":"The Disorders of Endometrial Receptivity in PCOS and Its Mechanisms","type":"article-journal","volume":"29"},"uris":["http://www.mendeley.com/documents/?uuid=c7fe8adb-0a0a-4818-91a8-e18f3cdf1ac1"]}],"mendeley":{"formattedCitation":"[80]","plainTextFormattedCitation":"[80]","previouslyFormattedCitation":"(80)"},"properties":{"noteIndex":0},"schema":"https://github.com/citation-style-language/schema/raw/master/csl-citation.json"}</w:instrText>
      </w:r>
      <w:r w:rsidR="00B86AE4"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[80]</w:t>
      </w:r>
      <w:r w:rsidR="00B86AE4" w:rsidRPr="00916B3A">
        <w:rPr>
          <w:rFonts w:ascii="Times New Roman" w:hAnsi="Times New Roman" w:cs="Times New Roman"/>
          <w:sz w:val="28"/>
          <w:szCs w:val="28"/>
        </w:rPr>
        <w:fldChar w:fldCharType="end"/>
      </w:r>
      <w:r w:rsidR="00234A06" w:rsidRPr="00916B3A">
        <w:rPr>
          <w:rFonts w:ascii="Times New Roman" w:hAnsi="Times New Roman" w:cs="Times New Roman"/>
          <w:sz w:val="28"/>
          <w:szCs w:val="28"/>
        </w:rPr>
        <w:t>.  Это позволяет суммировать и анализировать общедоступные данные, полученные различными научными группами из отдельных омических подходов, посредством метаанализа</w:t>
      </w:r>
      <w:r w:rsidR="00B86AE4" w:rsidRPr="00916B3A">
        <w:rPr>
          <w:rFonts w:ascii="Times New Roman" w:hAnsi="Times New Roman" w:cs="Times New Roman"/>
          <w:sz w:val="28"/>
          <w:szCs w:val="28"/>
        </w:rPr>
        <w:t xml:space="preserve"> </w:t>
      </w:r>
      <w:r w:rsidR="00234A06" w:rsidRPr="00916B3A">
        <w:rPr>
          <w:rFonts w:ascii="Times New Roman" w:hAnsi="Times New Roman" w:cs="Times New Roman"/>
          <w:sz w:val="28"/>
          <w:szCs w:val="28"/>
        </w:rPr>
        <w:t>мульти-исследований</w:t>
      </w:r>
      <w:r w:rsidR="00B86AE4"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{"citationItems":[{"id":"ITEM-1","itemData":{"DOI":"10.1016/j.celrep.2016.04.047","ISSN":"22111247","PMID":"27184836","abstract":"In order to facilitate the identification of factors and pathways in the cellular response to UV-induced DNA damage, several descriptive proteomic screens and a functional genomics screen were performed in parallel. Numerous factors could be identified with high confidence when the screen results were superimposed and interpreted together, incorporating biological knowledge. A searchable database, bioLOGIC, which provides access to relevant information about a protein or process of interest, was established to host the results and facilitate data mining. Besides uncovering roles in the DNA damage response for numerous proteins and complexes, including Integrator, Cohesin, PHF3, ASC-1, SCAF4, SCAF8, and SCAF11, we uncovered a role for the poorly studied, melanoma-associated serine/threonine kinase 19 (STK19). Besides effectively uncovering relevant factors, the multiomic approach also provides a systems-wide overview of the diverse cellular processes connected to the transcription-related DNA damage response.","author":[{"dropping-particle":"","family":"Boeing","given":"Stefan","non-dropping-particle":"","parse-names":false,"suffix":""},{"dropping-particle":"","family":"Williamson","given":"Laura","non-dropping-particle":"","parse-names":false,"suffix":""},{"dropping-particle":"","family":"Encheva","given":"Vesela","non-dropping-particle":"","parse-names":false,"suffix":""},{"dropping-particle":"","family":"Gori","given":"Ilaria","non-dropping-particle":"","parse-names":false,"suffix":""},{"dropping-particle":"","family":"Saunders","given":"Rebecca E.","non-dropping-particle":"","parse-names":false,"suffix":""},{"dropping-particle":"","family":"Instrell","given":"Rachael","non-dropping-particle":"","parse-names":false,"suffix":""},{"dropping-particle":"","family":"Aygün","given":"Ozan","non-dropping-particle":"","parse-names":false,"suffix":""},{"dropping-particle":"","family":"Rodriguez-Martinez","given":"Marta","non-dropping-particle":"","parse-names":false,"suffix":""},{"dropping-particle":"","family":"Weems","given":"Juston C.","non-dropping-particle":"","parse-names":false,"suffix":""},{"dropping-particle":"","family":"Kelly","given":"Gavin P.","non-dropping-particle":"","parse-names":false,"suffix":""},{"dropping-particle":"","family":"Conaway","given":"Joan W.","non-dropping-particle":"","parse-names":false,"suffix":""},{"dropping-particle":"","family":"Conaway","given":"Ronald C.","non-dropping-particle":"","parse-names":false,"suffix":""},{"dropping-particle":"","family":"Stewart","given":"Aengus","non-dropping-particle":"","parse-names":false,"suffix":""},{"dropping-particle":"","family":"Howell","given":"Michael","non-dropping-particle":"","parse-names":false,"suffix":""},{"dropping-particle":"","family":"Snijders","given":"Ambrosius P.","non-dropping-particle":"","parse-names":false,"suffix":""},{"dropping-particle":"","family":"Svejstrup","given":"Jesper Q.","non-dropping-particle":"","parse-names":false,"suffix":""}],"container-title":"Cell Reports","id":"ITEM-1","issue":"7","issued":{"date-parts":[["2016"]]},"page":"1597-1610","title":"Multiomic Analysis of the UV-Induced DNA Damage Response","type":"article-journal","volume":"15"},"uris":["http://www.mendeley.com/documents/?uuid=38387282-192d-4ece-ae92-86420599476f"]}],"mendeley":{"formattedCitation":"[81]","plainTextFormattedCitation":"[81]","previouslyFormattedCitation":"(81)"},"properties":{"noteIndex":0},"schema":"https://github.com/citation-style-language/schema/raw/master/csl-citation.json"}</w:instrText>
      </w:r>
      <w:r w:rsidR="00B86AE4"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[81]</w:t>
      </w:r>
      <w:r w:rsidR="00B86AE4" w:rsidRPr="00916B3A">
        <w:rPr>
          <w:rFonts w:ascii="Times New Roman" w:hAnsi="Times New Roman" w:cs="Times New Roman"/>
          <w:sz w:val="28"/>
          <w:szCs w:val="28"/>
        </w:rPr>
        <w:fldChar w:fldCharType="end"/>
      </w:r>
      <w:r w:rsidR="00CD5ABF" w:rsidRPr="00916B3A">
        <w:rPr>
          <w:rFonts w:ascii="Times New Roman" w:hAnsi="Times New Roman" w:cs="Times New Roman"/>
          <w:sz w:val="28"/>
          <w:szCs w:val="28"/>
        </w:rPr>
        <w:t>.</w:t>
      </w:r>
    </w:p>
    <w:p w14:paraId="2DE1BD55" w14:textId="75F3BCA5" w:rsidR="00E17A7E" w:rsidRPr="008231CC" w:rsidRDefault="00CD5ABF" w:rsidP="008231CC">
      <w:pPr>
        <w:pBdr>
          <w:bottom w:val="single" w:sz="4" w:space="31" w:color="FFFFFF"/>
        </w:pBdr>
        <w:tabs>
          <w:tab w:val="left" w:pos="0"/>
        </w:tabs>
        <w:autoSpaceDE w:val="0"/>
        <w:spacing w:after="0" w:line="240" w:lineRule="auto"/>
        <w:ind w:firstLine="567"/>
        <w:jc w:val="both"/>
        <w:rPr>
          <w:rFonts w:ascii="Times New Roman" w:hAnsi="Times New Roman" w:cs="Times New Roman"/>
          <w:sz w:val="28"/>
          <w:szCs w:val="28"/>
        </w:rPr>
      </w:pPr>
      <w:proofErr w:type="gramStart"/>
      <w:r w:rsidRPr="00916B3A">
        <w:rPr>
          <w:rFonts w:ascii="Times New Roman" w:hAnsi="Times New Roman" w:cs="Times New Roman"/>
          <w:sz w:val="28"/>
          <w:szCs w:val="28"/>
        </w:rPr>
        <w:t>.Благодаря</w:t>
      </w:r>
      <w:proofErr w:type="gramEnd"/>
      <w:r w:rsidRPr="00916B3A">
        <w:rPr>
          <w:rFonts w:ascii="Times New Roman" w:hAnsi="Times New Roman" w:cs="Times New Roman"/>
          <w:sz w:val="28"/>
          <w:szCs w:val="28"/>
        </w:rPr>
        <w:t xml:space="preserve"> объединенному измерению экспрессии РНК и белков клеток иммунной системы можно получить результаты с большей статистической мощностью по сравнению с отдельными анализами.Целевые подходы экономят как затраты на секвенирование, так и время анализа, позволяя исследователям лучше использовать ресурсы дл</w:t>
      </w:r>
      <w:r w:rsidR="008231CC">
        <w:rPr>
          <w:rFonts w:ascii="Times New Roman" w:hAnsi="Times New Roman" w:cs="Times New Roman"/>
          <w:sz w:val="28"/>
          <w:szCs w:val="28"/>
        </w:rPr>
        <w:t xml:space="preserve">я других иммунных исследований. </w:t>
      </w:r>
      <w:r w:rsidR="00F87DB1" w:rsidRPr="00916B3A">
        <w:rPr>
          <w:rFonts w:ascii="Times New Roman" w:hAnsi="Times New Roman" w:cs="Times New Roman"/>
          <w:sz w:val="28"/>
          <w:szCs w:val="28"/>
        </w:rPr>
        <w:t>В интегративной биомедицине применяются различные методы, которые учитывают несколько уровней данных о регуляции генов (генетические вариации, РНК-транскрипты, метилирование ДНК, белковые профили, хроматиновые метки)</w:t>
      </w:r>
      <w:r w:rsidR="00B37EA2" w:rsidRPr="00916B3A">
        <w:rPr>
          <w:rFonts w:ascii="Times New Roman" w:hAnsi="Times New Roman" w:cs="Times New Roman"/>
          <w:sz w:val="28"/>
          <w:szCs w:val="28"/>
        </w:rPr>
        <w:fldChar w:fldCharType="begin" w:fldLock="1"/>
      </w:r>
      <w:r w:rsidR="008231CC">
        <w:rPr>
          <w:rFonts w:ascii="Times New Roman" w:hAnsi="Times New Roman" w:cs="Times New Roman"/>
          <w:sz w:val="28"/>
          <w:szCs w:val="28"/>
        </w:rPr>
        <w:instrText>ADDIN CSL_CITATION {"citationItems":[{"id":"ITEM-1","itemData":{"DOI":"10.1016/j.celrep.2016.04.047","ISSN":"22111247","PMID":"27184836","abstract":"In order to facilitate the identification of factors and pathways in the cellular response to UV-induced DNA damage, several descriptive proteomic screens and a functional genomics screen were performed in parallel. Numerous factors could be identified with high confidence when the screen results were superimposed and interpreted together, incorporating biological knowledge. A searchable database, bioLOGIC, which provides access to relevant information about a protein or process of interest, was established to host the results and facilitate data mining. Besides uncovering roles in the DNA damage response for numerous proteins and complexes, including Integrator, Cohesin, PHF3, ASC-1, SCAF4, SCAF8, and SCAF11, we uncovered a role for the poorly studied, melanoma-associated serine/threonine kinase 19 (STK19). Besides effectively uncovering relevant factors, the multiomic approach also provides a systems-wide overview of the diverse cellular processes connected to the transcription-related DNA damage response.","author":[{"dropping-particle":"","family":"Boeing","given":"Stefan","non-dropping-particle":"","parse-names":false,"suffix":""},{"dropping-particle":"","family":"Williamson","given":"Laura","non-dropping-particle":"","parse-names":false,"suffix":""},{"dropping-particle":"","family":"Encheva","given":"Vesela","non-dropping-particle":"","parse-names":false,"suffix":""},{"dropping-particle":"","family":"Gori","given":"Ilaria","non-dropping-particle":"","parse-names":false,"suffix":""},{"dropping-particle":"","family":"Saunders","given":"Rebecca E.","non-dropping-particle":"","parse-names":false,"suffix":""},{"dropping-particle":"","family":"Instrell","given":"Rachael","non-dropping-particle":"","parse-names":false,"suffix":""},{"dropping-particle":"","family":"Aygün","given":"Ozan","non-dropping-particle":"","parse-names":false,"suffix":""},{"dropping-particle":"","family":"Rodriguez-Martinez","given":"Marta","non-dropping-particle":"","parse-names":false,"suffix":""},{"dropping-particle":"","family":"Weems","given":"Juston C.","non-dropping-particle":"","parse-names":false,"suffix":""},{"dropping-particle":"","family":"Kelly","given":"Gavin P.","non-dropping-particle":"","parse-names":false,"suffix":""},{"dropping-particle":"","family":"Conaway","given":"Joan W.","non-dropping-particle":"","parse-names":false,"suffix":""},{"dropping-particle":"","family":"Conaway","given":"Ronald C.","non-dropping-particle":"","parse-names":false,"suffix":""},{"dropping-particle":"","family":"Stewart","given":"Aengus","non-dropping-particle":"","parse-names":false,"suffix":""},{"dropping-particle":"","family":"Howell","given":"Michael","non-dropping-particle":"","parse-names":false,"suffix":""},{"dropping-particle":"","family":"Snijders","given":"Ambrosius P.","non-dropping-particle":"","parse-names":false,"suffix":""},{"dropping-particle":"","family":"Svejstrup","given":"Jesper Q.","non-dropping-particle":"","parse-names":false,"suffix":""}],"container-title":"Cell Reports","id":"ITEM-1","issue":"7","issued":{"date-parts":[["2016"]]},"page":"1597-1610","title":"Multiomic Analysis of the UV-Induced DNA Damage Response","type":"article-journal","volume":"15"},"uris":["http://www.mendeley.com/documents/?uuid=38387282-192d-4ece-ae92-86420599476f"]}],"mendeley":{"formattedCitation":"[81]","manualFormatting":"[81-83]","plainTextFormattedCitation":"[81]","previouslyFormattedCitation":"(81)"},"properties":{"noteIndex":0},"schema":"https://github.com/citation-style-language/schema/raw/master/csl-citation.json"}</w:instrText>
      </w:r>
      <w:r w:rsidR="00B37EA2"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[81</w:t>
      </w:r>
      <w:r w:rsidR="00006148">
        <w:rPr>
          <w:rFonts w:ascii="Times New Roman" w:hAnsi="Times New Roman" w:cs="Times New Roman"/>
          <w:noProof/>
          <w:sz w:val="28"/>
          <w:szCs w:val="28"/>
        </w:rPr>
        <w:t>-</w:t>
      </w:r>
      <w:r w:rsidR="008231CC">
        <w:rPr>
          <w:rFonts w:ascii="Times New Roman" w:hAnsi="Times New Roman" w:cs="Times New Roman"/>
          <w:noProof/>
          <w:sz w:val="28"/>
          <w:szCs w:val="28"/>
        </w:rPr>
        <w:t>83</w:t>
      </w:r>
      <w:r w:rsidR="008C6800" w:rsidRPr="008C6800">
        <w:rPr>
          <w:rFonts w:ascii="Times New Roman" w:hAnsi="Times New Roman" w:cs="Times New Roman"/>
          <w:noProof/>
          <w:sz w:val="28"/>
          <w:szCs w:val="28"/>
        </w:rPr>
        <w:t>]</w:t>
      </w:r>
      <w:r w:rsidR="00B37EA2" w:rsidRPr="00916B3A">
        <w:rPr>
          <w:rFonts w:ascii="Times New Roman" w:hAnsi="Times New Roman" w:cs="Times New Roman"/>
          <w:sz w:val="28"/>
          <w:szCs w:val="28"/>
        </w:rPr>
        <w:fldChar w:fldCharType="end"/>
      </w:r>
      <w:r w:rsidR="00F87DB1" w:rsidRPr="00916B3A">
        <w:rPr>
          <w:rFonts w:ascii="Times New Roman" w:hAnsi="Times New Roman" w:cs="Times New Roman"/>
          <w:sz w:val="28"/>
          <w:szCs w:val="28"/>
        </w:rPr>
        <w:t>. Это дает возможность суммировать и анализировать общедоступные данные, полученные различными научными группами с использованием различных омических подходов, через метаа</w:t>
      </w:r>
      <w:r w:rsidR="0048173A" w:rsidRPr="00916B3A">
        <w:rPr>
          <w:rFonts w:ascii="Times New Roman" w:hAnsi="Times New Roman" w:cs="Times New Roman"/>
          <w:sz w:val="28"/>
          <w:szCs w:val="28"/>
        </w:rPr>
        <w:t xml:space="preserve">нализ </w:t>
      </w:r>
      <w:r w:rsidR="00B37EA2" w:rsidRPr="00916B3A">
        <w:rPr>
          <w:rFonts w:ascii="Times New Roman" w:hAnsi="Times New Roman" w:cs="Times New Roman"/>
          <w:sz w:val="28"/>
          <w:szCs w:val="28"/>
        </w:rPr>
        <w:t>многократных исследований</w:t>
      </w:r>
      <w:r w:rsidR="00B37EA2"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{"citationItems":[{"id":"ITEM-1","itemData":{"DOI":"10.3389/fgene.2022.828786","ISSN":"16648021","abstract":"The wealth of high-throughput data has opened up new opportunities to analyze and describe biological processes at higher resolution, ultimately leading to a significant acceleration of scientific output using high-throughput data from the different omics layers and the generation of databases to store and report raw datasets. The great variability among the techniques and the heterogeneous methodologies used to produce this data have placed meta-analysis methods as one of the approaches of choice to correlate the resultant large-scale datasets from different research groups. Through multi-study meta-analyses, it is possible to generate results with greater statistical power compared to individual analyses. Gene signatures, biomarkers and pathways that provide new insights of a phenotype of interest have been identified by the analysis of large-scale datasets in several fields of science. However, despite all the efforts, a standardized regulation to report large-scale data and to identify the molecular targets and signaling networks is still lacking. Integrative analyses have also been introduced as complementation and augmentation for meta-analysis methodologies to generate novel hypotheses. Currently, there is no universal method established and the different methods available follow different purposes. Herein we describe a new unifying, scalable and straightforward methodology to meta-analyze different omics outputs, but also to integrate the significant outcomes into novel pathways describing biological processes of interest. The significance of using proper molecular identifiers is highlighted as well as the potential to further correlate molecules from different regulatory levels. To show the methodology’s potential, a set of transcriptomic datasets are meta-analyzed as an example.","author":[{"dropping-particle":"","family":"Cervantes-Gracia","given":"Karla","non-dropping-particle":"","parse-names":false,"suffix":""},{"dropping-particle":"","family":"Chahwan","given":"Richard","non-dropping-particle":"","parse-names":false,"suffix":""},{"dropping-particle":"","family":"Husi","given":"Holger","non-dropping-particle":"","parse-names":false,"suffix":""}],"container-title":"Frontiers in Genetics","id":"ITEM-1","issue":"February","issued":{"date-parts":[["2022"]]},"page":"1-17","title":"Integrative OMICS Data-Driven Procedure Using a Derivatized Meta-Analysis Approach","type":"article-journal","volume":"13"},"uris":["http://www.mendeley.com/documents/?uuid=f919a013-ba77-4226-935b-166bef44bdf9"]}],"mendeley":{"formattedCitation":"[84]","plainTextFormattedCitation":"[84]","previouslyFormattedCitation":"(84)"},"properties":{"noteIndex":0},"schema":"https://github.com/citation-style-language/schema/raw/master/csl-citation.json"}</w:instrText>
      </w:r>
      <w:r w:rsidR="00B37EA2"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[84]</w:t>
      </w:r>
      <w:r w:rsidR="00B37EA2" w:rsidRPr="00916B3A">
        <w:rPr>
          <w:rFonts w:ascii="Times New Roman" w:hAnsi="Times New Roman" w:cs="Times New Roman"/>
          <w:sz w:val="28"/>
          <w:szCs w:val="28"/>
        </w:rPr>
        <w:fldChar w:fldCharType="end"/>
      </w:r>
      <w:r w:rsidR="00E17A7E" w:rsidRPr="00916B3A">
        <w:rPr>
          <w:rFonts w:ascii="Times New Roman" w:eastAsia="Calibri" w:hAnsi="Times New Roman" w:cs="Times New Roman"/>
          <w:sz w:val="28"/>
          <w:szCs w:val="28"/>
          <w:lang w:eastAsia="ko-KR"/>
        </w:rPr>
        <w:t xml:space="preserve">. </w:t>
      </w:r>
    </w:p>
    <w:p w14:paraId="0DF11AA3" w14:textId="77777777" w:rsidR="003D36FD" w:rsidRPr="00916B3A" w:rsidRDefault="00C00A1E" w:rsidP="00997125">
      <w:pPr>
        <w:pBdr>
          <w:bottom w:val="single" w:sz="4" w:space="31" w:color="FFFFFF"/>
        </w:pBdr>
        <w:tabs>
          <w:tab w:val="left" w:pos="0"/>
        </w:tabs>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Репродуктивные нарушения могут возникать как при спонтанной, так и при искусственной беременности, а также при синдроме «тонкого» эндометрия. Причины эндометриопатий часто связаны с хроническим эндометритом.</w:t>
      </w:r>
      <w:r w:rsidR="0007004D" w:rsidRPr="00916B3A">
        <w:rPr>
          <w:rFonts w:ascii="Times New Roman" w:hAnsi="Times New Roman" w:cs="Times New Roman"/>
        </w:rPr>
        <w:t xml:space="preserve"> </w:t>
      </w:r>
      <w:r w:rsidR="0007004D" w:rsidRPr="00916B3A">
        <w:rPr>
          <w:rFonts w:ascii="Times New Roman" w:hAnsi="Times New Roman" w:cs="Times New Roman"/>
          <w:sz w:val="28"/>
          <w:szCs w:val="28"/>
        </w:rPr>
        <w:t>В настоящее время нет практических и эффективны</w:t>
      </w:r>
      <w:r w:rsidR="0007004D" w:rsidRPr="00916B3A">
        <w:rPr>
          <w:rFonts w:ascii="Times New Roman" w:hAnsi="Times New Roman" w:cs="Times New Roman"/>
          <w:sz w:val="28"/>
          <w:szCs w:val="28"/>
          <w:lang w:val="kk-KZ"/>
        </w:rPr>
        <w:t>х</w:t>
      </w:r>
      <w:r w:rsidR="0007004D" w:rsidRPr="00916B3A">
        <w:rPr>
          <w:rFonts w:ascii="Times New Roman" w:hAnsi="Times New Roman" w:cs="Times New Roman"/>
          <w:sz w:val="28"/>
          <w:szCs w:val="28"/>
        </w:rPr>
        <w:t xml:space="preserve"> диагностически</w:t>
      </w:r>
      <w:r w:rsidR="0007004D" w:rsidRPr="00916B3A">
        <w:rPr>
          <w:rFonts w:ascii="Times New Roman" w:hAnsi="Times New Roman" w:cs="Times New Roman"/>
          <w:sz w:val="28"/>
          <w:szCs w:val="28"/>
          <w:lang w:val="kk-KZ"/>
        </w:rPr>
        <w:t>х</w:t>
      </w:r>
      <w:r w:rsidR="0007004D" w:rsidRPr="00916B3A">
        <w:rPr>
          <w:rFonts w:ascii="Times New Roman" w:hAnsi="Times New Roman" w:cs="Times New Roman"/>
          <w:sz w:val="28"/>
          <w:szCs w:val="28"/>
        </w:rPr>
        <w:t xml:space="preserve"> инструмент</w:t>
      </w:r>
      <w:r w:rsidR="0007004D" w:rsidRPr="00916B3A">
        <w:rPr>
          <w:rFonts w:ascii="Times New Roman" w:hAnsi="Times New Roman" w:cs="Times New Roman"/>
          <w:sz w:val="28"/>
          <w:szCs w:val="28"/>
          <w:lang w:val="kk-KZ"/>
        </w:rPr>
        <w:t>ов</w:t>
      </w:r>
      <w:r w:rsidR="0007004D" w:rsidRPr="00916B3A">
        <w:rPr>
          <w:rFonts w:ascii="Times New Roman" w:hAnsi="Times New Roman" w:cs="Times New Roman"/>
          <w:sz w:val="28"/>
          <w:szCs w:val="28"/>
        </w:rPr>
        <w:t xml:space="preserve">, доступные для точного прогнозирования восприимчивости эндометрия. Транскриптомика, область, основанная на технологии микрочипов, имеет ряд процедуры для клинических приложений, хотя функциональная значимость большинства идентифицированных генов остается неясной. </w:t>
      </w:r>
    </w:p>
    <w:p w14:paraId="09AB2BF4" w14:textId="5C2EDD83" w:rsidR="002B4F84" w:rsidRPr="008E694E" w:rsidRDefault="0007004D" w:rsidP="008E694E">
      <w:pPr>
        <w:pBdr>
          <w:bottom w:val="single" w:sz="4" w:space="31" w:color="FFFFFF"/>
        </w:pBdr>
        <w:tabs>
          <w:tab w:val="left" w:pos="0"/>
        </w:tabs>
        <w:autoSpaceDE w:val="0"/>
        <w:spacing w:after="0" w:line="240" w:lineRule="auto"/>
        <w:ind w:firstLine="567"/>
        <w:jc w:val="both"/>
        <w:rPr>
          <w:rFonts w:ascii="Times New Roman" w:hAnsi="Times New Roman" w:cs="Times New Roman"/>
        </w:rPr>
      </w:pPr>
      <w:r w:rsidRPr="00916B3A">
        <w:rPr>
          <w:rFonts w:ascii="Times New Roman" w:hAnsi="Times New Roman" w:cs="Times New Roman"/>
          <w:sz w:val="28"/>
          <w:szCs w:val="28"/>
        </w:rPr>
        <w:t>Важно, что секвенирование РНК будет способствовать дальнейше</w:t>
      </w:r>
      <w:r w:rsidRPr="00916B3A">
        <w:rPr>
          <w:rFonts w:ascii="Times New Roman" w:hAnsi="Times New Roman" w:cs="Times New Roman"/>
          <w:sz w:val="28"/>
          <w:szCs w:val="28"/>
          <w:lang w:val="kk-KZ"/>
        </w:rPr>
        <w:t xml:space="preserve">му </w:t>
      </w:r>
      <w:r w:rsidRPr="00916B3A">
        <w:rPr>
          <w:rFonts w:ascii="Times New Roman" w:hAnsi="Times New Roman" w:cs="Times New Roman"/>
          <w:sz w:val="28"/>
          <w:szCs w:val="28"/>
        </w:rPr>
        <w:t>повысить точность и расширить клиническое применение транскриптома за счет обнаружения ранее неизвестных генов, которые могут быть использованы для изучения</w:t>
      </w:r>
      <w:r w:rsidR="00C00A1E" w:rsidRPr="00916B3A">
        <w:rPr>
          <w:rFonts w:ascii="Times New Roman" w:hAnsi="Times New Roman" w:cs="Times New Roman"/>
          <w:sz w:val="28"/>
          <w:szCs w:val="28"/>
        </w:rPr>
        <w:t xml:space="preserve"> </w:t>
      </w:r>
      <w:r w:rsidRPr="00916B3A">
        <w:rPr>
          <w:rFonts w:ascii="Times New Roman" w:hAnsi="Times New Roman" w:cs="Times New Roman"/>
          <w:sz w:val="28"/>
          <w:szCs w:val="28"/>
        </w:rPr>
        <w:t>понимание восприимчивости эндометрия.</w:t>
      </w:r>
      <w:r w:rsidRPr="00916B3A">
        <w:rPr>
          <w:rFonts w:ascii="Times New Roman" w:hAnsi="Times New Roman" w:cs="Times New Roman"/>
        </w:rPr>
        <w:t xml:space="preserve"> </w:t>
      </w:r>
      <w:r w:rsidR="00C00A1E" w:rsidRPr="00916B3A">
        <w:rPr>
          <w:rFonts w:ascii="Times New Roman" w:hAnsi="Times New Roman" w:cs="Times New Roman"/>
          <w:sz w:val="28"/>
          <w:szCs w:val="28"/>
        </w:rPr>
        <w:t xml:space="preserve">В связи с этим перспективными </w:t>
      </w:r>
      <w:r w:rsidR="00BF5664" w:rsidRPr="00916B3A">
        <w:rPr>
          <w:rFonts w:ascii="Times New Roman" w:hAnsi="Times New Roman" w:cs="Times New Roman"/>
          <w:sz w:val="28"/>
          <w:szCs w:val="28"/>
        </w:rPr>
        <w:t>методами диагностики дисфункций</w:t>
      </w:r>
      <w:r w:rsidR="00C00A1E" w:rsidRPr="00916B3A">
        <w:rPr>
          <w:rFonts w:ascii="Times New Roman" w:hAnsi="Times New Roman" w:cs="Times New Roman"/>
          <w:sz w:val="28"/>
          <w:szCs w:val="28"/>
        </w:rPr>
        <w:t>являются анализ генотипа и фенотипа маркеров иммунного ответа</w:t>
      </w:r>
      <w:r w:rsidR="008E694E">
        <w:rPr>
          <w:rFonts w:ascii="Times New Roman" w:hAnsi="Times New Roman" w:cs="Times New Roman"/>
          <w:sz w:val="28"/>
          <w:szCs w:val="28"/>
        </w:rPr>
        <w:t>.</w:t>
      </w:r>
      <w:r w:rsidR="008E694E" w:rsidRPr="008E694E">
        <w:rPr>
          <w:rFonts w:ascii="Times New Roman" w:hAnsi="Times New Roman" w:cs="Times New Roman"/>
          <w:sz w:val="28"/>
          <w:szCs w:val="28"/>
        </w:rPr>
        <w:t xml:space="preserve"> </w:t>
      </w:r>
      <w:r w:rsidR="008E694E" w:rsidRPr="00916B3A">
        <w:rPr>
          <w:rFonts w:ascii="Times New Roman" w:hAnsi="Times New Roman" w:cs="Times New Roman"/>
          <w:sz w:val="28"/>
          <w:szCs w:val="28"/>
        </w:rPr>
        <w:t>В последнее десятилетие транскриптомика эндометрия была использована для обогащения наших знаний о патофизиологии эндометрия и для улучшения понимания процесса имплантации. Сообщалось, что значительное количество генов дифференциально экспрессируется между пререцептивной и рецептивной фазами эндометрия. Исследования, основанные на транскриптомном и молекулярном анализе эндометрия, способствовали пониманию механизмов имплантации и выявлению потенциальных молекулярных биомаркеров, определяющих восприимчивость эндометрия</w:t>
      </w:r>
      <w:r w:rsidR="008E694E">
        <w:rPr>
          <w:rFonts w:ascii="Times New Roman" w:hAnsi="Times New Roman" w:cs="Times New Roman"/>
          <w:sz w:val="28"/>
          <w:szCs w:val="28"/>
        </w:rPr>
        <w:t xml:space="preserve"> </w:t>
      </w:r>
      <w:r w:rsidR="00C00A1E"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{"citationItems":[{"id":"ITEM-1","itemData":{"DOI":"10.1016/j.rbmo.2019.05.004","ISSN":"14726491","PMID":"31519421","abstract":"Research question: How does mucin MUC20 expression change during the menstrual cycle in different cell types of human endometrium? Design: Study involved examination of MUC20 expression in two previously published RNA-seq datasets in whole endometrial tissue (n = 10), sorted endometrial epithelial (n = 44) or stromal (n = 42) cell samples. RNA-Seq results were validated by quantitative reverse transcription polymerase chain reaction (qRT-PCR) in whole tissue (n = 10), sorted epithelial (n = 17) and stromal (n = 17) cell samples. MUC20 protein localization and expression were analysed in human endometrium by immunohistochemical analysis of intact endometrial tissue (n = 6) and also Western blot of cultured stromal and epithelial cells (n = 2). Results: MUC20 is differentially expressed in the endometrium between the pre-receptive and receptive phases. We show that MUC20 is predominantly expressed by epithelial cells of the receptive endometrium, both at the mRNA (RNA-Seq, P = 0.005; qRT-PCR, P = 0.039) and protein levels (Western blot; immunohistochemistry, P = 0.029). Conclusion: Our results indicate MUC20 as a novel marker of mid-secretory endometrial biology. We propose a model of MUC20 function in the hepatocyte growth factor (HGF)-activated mesenchymal–epithelial transition (MET) receptor signalling specifically in the receptive phase. Further investigations should reveal the precise function of MUC20 in human endometrium and the possible connection between MUC20 and HGF-activated MET receptor signalling. MUC20 could potentially be included in the list of endometrial receptivity markers after further clinical validation.","author":[{"dropping-particle":"","family":"Stepanjuk","given":"Artjom","non-dropping-particle":"","parse-names":false,"suffix":""},{"dropping-particle":"","family":"Koel","given":"Mariann","non-dropping-particle":"","parse-names":false,"suffix":""},{"dropping-particle":"","family":"Pook","given":"Martin","non-dropping-particle":"","parse-names":false,"suffix":""},{"dropping-particle":"","family":"Saare","given":"Merli","non-dropping-particle":"","parse-names":false,"suffix":""},{"dropping-particle":"","family":"Jääger","given":"Kersti","non-dropping-particle":"","parse-names":false,"suffix":""},{"dropping-particle":"","family":"Peters","given":"Maire","non-dropping-particle":"","parse-names":false,"suffix":""},{"dropping-particle":"","family":"Krjutškov","given":"Kaarel","non-dropping-particle":"","parse-names":false,"suffix":""},{"dropping-particle":"","family":"Ingerpuu","given":"Sulev","non-dropping-particle":"","parse-names":false,"suffix":""},{"dropping-particle":"","family":"Salumets","given":"Andres","non-dropping-particle":"","parse-names":false,"suffix":""}],"container-title":"Reproductive BioMedicine Online","id":"ITEM-1","issue":"5","issued":{"date-parts":[["2019"]]},"page":"725-736","publisher":"Elsevier Ltd","title":"MUC20 expression marks the receptive phase of the human endometrium","type":"article-journal","volume":"39"},"uris":["http://www.mendeley.com/documents/?uuid=60ca5933-78d2-4036-95ec-8eabfa78d202"]}],"mendeley":{"formattedCitation":"[85]","plainTextFormattedCitation":"[85]","previouslyFormattedCitation":"(85)"},"properties":{"noteIndex":0},"schema":"https://github.com/citation-style-language/schema/raw/master/csl-citation.json"}</w:instrText>
      </w:r>
      <w:r w:rsidR="00C00A1E"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[85</w:t>
      </w:r>
      <w:r w:rsidR="00006148">
        <w:rPr>
          <w:rFonts w:ascii="Times New Roman" w:hAnsi="Times New Roman" w:cs="Times New Roman"/>
          <w:noProof/>
          <w:sz w:val="28"/>
          <w:szCs w:val="28"/>
        </w:rPr>
        <w:t>-</w:t>
      </w:r>
      <w:r w:rsidR="00006148" w:rsidRPr="008C6800">
        <w:rPr>
          <w:rFonts w:ascii="Times New Roman" w:hAnsi="Times New Roman" w:cs="Times New Roman"/>
          <w:noProof/>
          <w:sz w:val="28"/>
          <w:szCs w:val="28"/>
        </w:rPr>
        <w:t>87</w:t>
      </w:r>
      <w:r w:rsidR="008C6800" w:rsidRPr="008C6800">
        <w:rPr>
          <w:rFonts w:ascii="Times New Roman" w:hAnsi="Times New Roman" w:cs="Times New Roman"/>
          <w:noProof/>
          <w:sz w:val="28"/>
          <w:szCs w:val="28"/>
        </w:rPr>
        <w:t>]</w:t>
      </w:r>
      <w:r w:rsidR="00C00A1E" w:rsidRPr="00916B3A">
        <w:rPr>
          <w:rFonts w:ascii="Times New Roman" w:hAnsi="Times New Roman" w:cs="Times New Roman"/>
          <w:sz w:val="28"/>
          <w:szCs w:val="28"/>
        </w:rPr>
        <w:fldChar w:fldCharType="end"/>
      </w:r>
      <w:r w:rsidR="00C00A1E" w:rsidRPr="00916B3A">
        <w:rPr>
          <w:rFonts w:ascii="Times New Roman" w:hAnsi="Times New Roman" w:cs="Times New Roman"/>
          <w:sz w:val="28"/>
          <w:szCs w:val="28"/>
        </w:rPr>
        <w:t>.</w:t>
      </w:r>
      <w:r w:rsidR="00E17A7E" w:rsidRPr="00916B3A">
        <w:rPr>
          <w:rFonts w:ascii="Times New Roman" w:eastAsia="Calibri" w:hAnsi="Times New Roman" w:cs="Times New Roman"/>
          <w:sz w:val="28"/>
          <w:szCs w:val="28"/>
          <w:lang w:eastAsia="ko-KR"/>
        </w:rPr>
        <w:t xml:space="preserve"> </w:t>
      </w:r>
      <w:r w:rsidR="00DC4692" w:rsidRPr="00916B3A">
        <w:rPr>
          <w:rFonts w:ascii="Times New Roman" w:hAnsi="Times New Roman" w:cs="Times New Roman"/>
          <w:sz w:val="28"/>
          <w:szCs w:val="28"/>
        </w:rPr>
        <w:t xml:space="preserve">Транскриптомная подпись </w:t>
      </w:r>
      <w:r w:rsidR="00DC4692" w:rsidRPr="00916B3A">
        <w:rPr>
          <w:rFonts w:ascii="Times New Roman" w:hAnsi="Times New Roman" w:cs="Times New Roman"/>
          <w:sz w:val="28"/>
          <w:szCs w:val="28"/>
          <w:lang w:val="kk-KZ"/>
        </w:rPr>
        <w:t>рецептивности эндометрия</w:t>
      </w:r>
      <w:r w:rsidR="00DC4692" w:rsidRPr="00916B3A">
        <w:rPr>
          <w:rFonts w:ascii="Times New Roman" w:hAnsi="Times New Roman" w:cs="Times New Roman"/>
          <w:sz w:val="28"/>
          <w:szCs w:val="28"/>
        </w:rPr>
        <w:t xml:space="preserve"> изучается с 2002 года, и</w:t>
      </w:r>
      <w:r w:rsidR="00DC4692" w:rsidRPr="00916B3A">
        <w:rPr>
          <w:rFonts w:ascii="Times New Roman" w:hAnsi="Times New Roman" w:cs="Times New Roman"/>
          <w:sz w:val="28"/>
          <w:szCs w:val="28"/>
          <w:lang w:val="kk-KZ"/>
        </w:rPr>
        <w:t xml:space="preserve"> б</w:t>
      </w:r>
      <w:r w:rsidR="00DC4692" w:rsidRPr="00916B3A">
        <w:rPr>
          <w:rFonts w:ascii="Times New Roman" w:hAnsi="Times New Roman" w:cs="Times New Roman"/>
          <w:sz w:val="28"/>
          <w:szCs w:val="28"/>
        </w:rPr>
        <w:t>ыло опубликовано множество исследований, в которых проводился анализ экспрессии генов в естественных или</w:t>
      </w:r>
      <w:r w:rsidR="00DC4692" w:rsidRPr="00916B3A">
        <w:rPr>
          <w:rFonts w:ascii="Times New Roman" w:hAnsi="Times New Roman" w:cs="Times New Roman"/>
          <w:sz w:val="28"/>
          <w:szCs w:val="28"/>
          <w:lang w:val="kk-KZ"/>
        </w:rPr>
        <w:t xml:space="preserve"> </w:t>
      </w:r>
      <w:r w:rsidR="00DC4692" w:rsidRPr="00916B3A">
        <w:rPr>
          <w:rFonts w:ascii="Times New Roman" w:hAnsi="Times New Roman" w:cs="Times New Roman"/>
          <w:sz w:val="28"/>
          <w:szCs w:val="28"/>
        </w:rPr>
        <w:t>циклов контролируемой стимуляции яичников у фертильных и бесплодных женщин</w:t>
      </w:r>
      <w:r w:rsidR="008E694E" w:rsidRPr="00916B3A">
        <w:rPr>
          <w:rFonts w:ascii="Times New Roman" w:hAnsi="Times New Roman" w:cs="Times New Roman"/>
          <w:sz w:val="28"/>
          <w:szCs w:val="28"/>
        </w:rPr>
        <w:fldChar w:fldCharType="begin" w:fldLock="1"/>
      </w:r>
      <w:r w:rsidR="008E694E">
        <w:rPr>
          <w:rFonts w:ascii="Times New Roman" w:hAnsi="Times New Roman" w:cs="Times New Roman"/>
          <w:sz w:val="28"/>
          <w:szCs w:val="28"/>
        </w:rPr>
        <w:instrText xml:space="preserve">ADDIN CSL_CITATION {"citationItems":[{"id":"ITEM-1","itemData":{"DOI":"10.1093/molehr/8.9.871","ISSN":"13609947","PMID":"12200466","abstract":"High density cDNA microarray screening was used to determine changes in gene expression occurring during the transition between the early luteal (prereceptive) and mid-luteal (receptive) phases in human endometrium. Of </w:instrText>
      </w:r>
      <w:r w:rsidR="008E694E">
        <w:rPr>
          <w:rFonts w:ascii="Cambria Math" w:hAnsi="Cambria Math" w:cs="Cambria Math"/>
          <w:sz w:val="28"/>
          <w:szCs w:val="28"/>
        </w:rPr>
        <w:instrText>∼</w:instrText>
      </w:r>
      <w:r w:rsidR="008E694E">
        <w:rPr>
          <w:rFonts w:ascii="Times New Roman" w:hAnsi="Times New Roman" w:cs="Times New Roman"/>
          <w:sz w:val="28"/>
          <w:szCs w:val="28"/>
        </w:rPr>
        <w:instrText xml:space="preserve">12 000 genes profiled, 693 (5.8%) displayed &gt;2-fold differences in relative levels of expression between these stages. Of these, 370 genes (3.1%) displayed decreases ranging from 2- to &gt;100-fold while 323 genes (2.7%) displayed increases ranging from 2- to &gt;45-fold. Many genes correspond to mRNAs encoding proteins previously shown to change in a similar manner between the proliferative and mid-luteal phases, serving as one validation of the microarray screening results. In addition, novel genes were identified. Genes encoding cell surface receptors, adhesion and extracellular matrix proteins and growth factors accounted for 20% of the changes. Several genes were studied further by Northern blot analyses. These results confirmed that claudin-4/Clostridium perfringens enterotoxin (CPE) receptor and osteopontin (OPN) mRNA increased </w:instrText>
      </w:r>
      <w:r w:rsidR="008E694E">
        <w:rPr>
          <w:rFonts w:ascii="Cambria Math" w:hAnsi="Cambria Math" w:cs="Cambria Math"/>
          <w:sz w:val="28"/>
          <w:szCs w:val="28"/>
        </w:rPr>
        <w:instrText>∼</w:instrText>
      </w:r>
      <w:r w:rsidR="008E694E">
        <w:rPr>
          <w:rFonts w:ascii="Times New Roman" w:hAnsi="Times New Roman" w:cs="Times New Roman"/>
          <w:sz w:val="28"/>
          <w:szCs w:val="28"/>
        </w:rPr>
        <w:instrText>4- and 12-fold respectively, while betaig-H3 (BIGH3) decreased &gt;80% during the early to mid-luteal transition. Immunostaining also revealed strong specific staining for claudin-4/CPE, EP1 and prostaglandin receptor in epithelia, and leukotriene B4 receptor in both epithelia and stroma, at the mid-luteal stage. Collectively, these studies identify multiple new candidate markers that may be used to predict the receptive phase in humans. Some of these gene products, e.g. OPN, may play direct roles in embryo-uterine interactions during the implantation process.","author":[{"dropping-particle":"","family":"Carson","given":"Daniel D.","non-dropping-particle":"","parse-names":false,"suffix":""},{"dropping-particle":"","family":"Lagow","given":"Errin","non-dropping-particle":"","parse-names":false,"suffix":""},{"dropping-particle":"","family":"Thathiah","given":"Amantha","non-dropping-particle":"","parse-names":false,"suffix":""},{"dropping-particle":"","family":"Al-Shami","given":"Rania","non-dropping-particle":"","parse-names":false,"suffix":""},{"dropping-particle":"","family":"Farach-Carson","given":"Mary C.","non-dropping-particle":"","parse-names":false,"suffix":""},{"dropping-particle":"","family":"Vernon","given":"Michael","non-dropping-particle":"","parse-names":false,"suffix":""},{"dropping-particle":"","family":"Yuan","given":"Lingwen","non-dropping-particle":"","parse-names":false,"suffix":""},{"dropping-particle":"","family":"Fritz","given":"Marc A.","non-dropping-particle":"","parse-names":false,"suffix":""},{"dropping-particle":"","family":"Lessey","given":"Bruce","non-dropping-particle":"","parse-names":false,"suffix":""}],"container-title":"Molecular Human Reproduction","id":"ITEM-1","issue":"9","issued":{"date-parts":[["2002"]]},"page":"871-879","title":"Changes in gene expression during the early to mid-luteal (receptive phase) transition in human endometrium detected by high-density microarray screening","type":"article-journal","volume":"8"},"uris":["http://www.mendeley.com/documents/?uuid=3a53919a-a3ee-436a-ad1a-bddc94301607"]}],"mendeley":{"formattedCitation":"[88]","plainTextFormattedCitation":"[88]","previouslyFormattedCitation":"(88)"},"properties":{"noteIndex":0},"schema":"https://github.com/citation-style-language/schema/raw/master/csl-citation.json"}</w:instrText>
      </w:r>
      <w:r w:rsidR="008E694E" w:rsidRPr="00916B3A">
        <w:rPr>
          <w:rFonts w:ascii="Times New Roman" w:hAnsi="Times New Roman" w:cs="Times New Roman"/>
          <w:sz w:val="28"/>
          <w:szCs w:val="28"/>
        </w:rPr>
        <w:fldChar w:fldCharType="separate"/>
      </w:r>
      <w:r w:rsidR="008E694E" w:rsidRPr="008C6800">
        <w:rPr>
          <w:rFonts w:ascii="Times New Roman" w:hAnsi="Times New Roman" w:cs="Times New Roman"/>
          <w:noProof/>
          <w:sz w:val="28"/>
          <w:szCs w:val="28"/>
        </w:rPr>
        <w:t>[88]</w:t>
      </w:r>
      <w:r w:rsidR="008E694E" w:rsidRPr="00916B3A">
        <w:rPr>
          <w:rFonts w:ascii="Times New Roman" w:hAnsi="Times New Roman" w:cs="Times New Roman"/>
          <w:sz w:val="28"/>
          <w:szCs w:val="28"/>
        </w:rPr>
        <w:fldChar w:fldCharType="end"/>
      </w:r>
      <w:r w:rsidR="00672B17" w:rsidRPr="00916B3A">
        <w:rPr>
          <w:rFonts w:ascii="Times New Roman" w:hAnsi="Times New Roman" w:cs="Times New Roman"/>
          <w:sz w:val="28"/>
          <w:szCs w:val="28"/>
        </w:rPr>
        <w:t xml:space="preserve">. </w:t>
      </w:r>
      <w:r w:rsidR="00FC6375" w:rsidRPr="00916B3A">
        <w:rPr>
          <w:rFonts w:ascii="Times New Roman" w:hAnsi="Times New Roman" w:cs="Times New Roman"/>
          <w:sz w:val="28"/>
          <w:szCs w:val="28"/>
        </w:rPr>
        <w:t>Множество генов демонстрируют дифференциальную экспрессию между предрецептивной и рецептивной фазами эндометрия, однако их число колеблется от 107 до 2878 в зависимости от разнообразия пациентов, участвующих в различных исследованиях</w:t>
      </w:r>
      <w:r w:rsidR="008E694E">
        <w:rPr>
          <w:rFonts w:ascii="Times New Roman" w:hAnsi="Times New Roman" w:cs="Times New Roman"/>
          <w:sz w:val="28"/>
          <w:szCs w:val="28"/>
        </w:rPr>
        <w:t>.</w:t>
      </w:r>
      <w:r w:rsidR="008E694E" w:rsidRPr="008E694E">
        <w:rPr>
          <w:rFonts w:ascii="Times New Roman" w:hAnsi="Times New Roman" w:cs="Times New Roman"/>
          <w:sz w:val="28"/>
          <w:szCs w:val="28"/>
        </w:rPr>
        <w:t xml:space="preserve"> </w:t>
      </w:r>
      <w:r w:rsidR="008E694E" w:rsidRPr="00916B3A">
        <w:rPr>
          <w:rFonts w:ascii="Times New Roman" w:hAnsi="Times New Roman" w:cs="Times New Roman"/>
          <w:sz w:val="28"/>
          <w:szCs w:val="28"/>
        </w:rPr>
        <w:t>Исследования, в которых сообщалось об анализе экспрессии генов для выявления молекулярных биомаркеров рецептивности эндометрия либо в естественных, либо в контролируемых циклах стимуляции яичников для фертильных и бесплодных женщин. Во всех этих сравнениях секреторной фазы фертильных женщин в естественных циклах профили экспрессии генов различаются. Различия в результатах могут быть объяснены несколькими факторами, как как: размер выборок пациентов (от 6 до 88 образцов), возраст пациентов (от 22 до 39 лет), местонахождение пациентов (Европа, Северная Америка), время взятия проб в течение цикла, тип ДНК-микрочипов, содержащих различную геномную информацию (30 000 генов для микрочипов олигонуклеотидов Hu133P против 12 000 генов для Hu95A), статистические методологии, биоинформатические инструменты, образцы, сравниваемые у одних и тех же или разных пациентов. Успешная имплантация - сложный процесс, требующий рецептивного эндометрия, жизнеспособного эмбриона и синхронизированного диалога между материнскими и эмбриональными тканями. Несмотря за последние несколько лет проведен</w:t>
      </w:r>
      <w:r w:rsidR="008E694E" w:rsidRPr="00916B3A">
        <w:rPr>
          <w:rFonts w:ascii="Times New Roman" w:hAnsi="Times New Roman" w:cs="Times New Roman"/>
          <w:sz w:val="28"/>
          <w:szCs w:val="28"/>
          <w:lang w:val="kk-KZ"/>
        </w:rPr>
        <w:t>ные исследовани</w:t>
      </w:r>
      <w:r w:rsidR="008E694E" w:rsidRPr="00916B3A">
        <w:rPr>
          <w:rFonts w:ascii="Times New Roman" w:hAnsi="Times New Roman" w:cs="Times New Roman"/>
          <w:sz w:val="28"/>
          <w:szCs w:val="28"/>
        </w:rPr>
        <w:t xml:space="preserve"> транскриптомного анализа рецептивности эндометрия, необходимы дополнительные исследования, чтобы оптимизировать отбора биомаркеров рецептивности эндометрия и материнско-плодового диалога, которые влияют на исход беременности. Анализ онтологии генов показал, что деление и пролиферация клеток, клеточная сигнализация и реакция, внеклеточная организация и коммуникация, иммунологическая активность, пролиферация сосудов, регуляция кровяного давления и имплантация эмбриона - наиболее часто встречающиеся биологические термины в этой группе генов. Анализ главных компонент и </w:t>
      </w:r>
      <w:r w:rsidR="008E694E" w:rsidRPr="00916B3A">
        <w:rPr>
          <w:rFonts w:ascii="Times New Roman" w:hAnsi="Times New Roman" w:cs="Times New Roman"/>
          <w:sz w:val="28"/>
          <w:szCs w:val="28"/>
          <w:lang w:val="kk-KZ"/>
        </w:rPr>
        <w:t>д</w:t>
      </w:r>
      <w:r w:rsidR="008E694E" w:rsidRPr="00916B3A">
        <w:rPr>
          <w:rFonts w:ascii="Times New Roman" w:hAnsi="Times New Roman" w:cs="Times New Roman"/>
          <w:sz w:val="28"/>
          <w:szCs w:val="28"/>
        </w:rPr>
        <w:t>искриминантный функциональный анализ показал, что 40 из дифференциально экспрессируемых генов позволяют точно классифицировать образцы по</w:t>
      </w:r>
      <w:r w:rsidR="008E694E" w:rsidRPr="00916B3A">
        <w:rPr>
          <w:rFonts w:ascii="Times New Roman" w:hAnsi="Times New Roman" w:cs="Times New Roman"/>
          <w:sz w:val="28"/>
          <w:szCs w:val="28"/>
          <w:lang w:val="kk-KZ"/>
        </w:rPr>
        <w:t xml:space="preserve"> </w:t>
      </w:r>
      <w:r w:rsidR="008E694E" w:rsidRPr="00916B3A">
        <w:rPr>
          <w:rFonts w:ascii="Times New Roman" w:hAnsi="Times New Roman" w:cs="Times New Roman"/>
          <w:sz w:val="28"/>
          <w:szCs w:val="28"/>
        </w:rPr>
        <w:t>статус</w:t>
      </w:r>
      <w:r w:rsidR="008E694E" w:rsidRPr="00916B3A">
        <w:rPr>
          <w:rFonts w:ascii="Times New Roman" w:hAnsi="Times New Roman" w:cs="Times New Roman"/>
          <w:sz w:val="28"/>
          <w:szCs w:val="28"/>
          <w:lang w:val="kk-KZ"/>
        </w:rPr>
        <w:t>у</w:t>
      </w:r>
      <w:r w:rsidR="008E694E" w:rsidRPr="00916B3A">
        <w:rPr>
          <w:rFonts w:ascii="Times New Roman" w:hAnsi="Times New Roman" w:cs="Times New Roman"/>
          <w:sz w:val="28"/>
          <w:szCs w:val="28"/>
        </w:rPr>
        <w:t xml:space="preserve"> эндометрия (пролиферативный, пререцептивный, рецептивный и пострецептивный) как в фертильной, так и в бесплодн</w:t>
      </w:r>
      <w:r w:rsidR="008E694E" w:rsidRPr="00916B3A">
        <w:rPr>
          <w:rFonts w:ascii="Times New Roman" w:hAnsi="Times New Roman" w:cs="Times New Roman"/>
          <w:sz w:val="28"/>
          <w:szCs w:val="28"/>
          <w:lang w:val="kk-KZ"/>
        </w:rPr>
        <w:t>ых</w:t>
      </w:r>
      <w:r w:rsidR="008E694E" w:rsidRPr="00916B3A">
        <w:rPr>
          <w:rFonts w:ascii="Times New Roman" w:hAnsi="Times New Roman" w:cs="Times New Roman"/>
          <w:sz w:val="28"/>
          <w:szCs w:val="28"/>
        </w:rPr>
        <w:t xml:space="preserve"> группах</w:t>
      </w:r>
      <w:r w:rsidR="003C106E"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10.1186/s40738-019-0059-7","author":[{"dropping-particle":"","family":"Messaoudi","given":"Soumaya","non-dropping-particle":"","parse-names":false,"suffix":""},{"dropping-particle":"","family":"Kasmi","given":"Imane","non-dropping-particle":"EL","parse-names":false,"suffix":""},{"dropping-particle":"","family":"Bourdiec","given":"Amelie","non-dropping-particle":"","parse-names":false,"suffix":""},{"dropping-particle":"","family":"Crespo","given":"Kimberley","non-dropping-particle":"","parse-names":false,"suffix":""},{"dropping-particle":"","family":"Bissonnette","given":"Laurence","non-dropping-particle":"","parse-names":false,"suffix":""},{"dropping-particle":"","family":"Saint","given":"Cecile","non-dropping-particle":"Le","parse-names":false,"suffix":""},{"dropping-particle":"","family":"Bissonnette","given":"François","non-dropping-particle":"","parse-names":false,"suffix":""},{"dropping-particle":"","family":"Kadoch","given":"Isaac-Jacques","non-dropping-particle":"","parse-names":false,"suffix":""}],"container-title":"Fertility Research and Practice","id":"ITEM-1","issue":"1","issued":{"date-parts":[["2019"]]},"page":"1-9","publisher":"Fertility Research and Practice","title":"15 Years of Transcriptomic Analysis on Endometrial Receptivity: What Have We Learnt?","type":"article-journal","volume":"5"},"uris":["http://www.mendeley.com/documents/?uuid=5b68027d-ff44-44aa-853e-b003b94f23ec"]}],"mendeley":{"formattedCitation":"[89]","plainTextFormattedCitation":"[89]","previouslyFormattedCitation":"(89)"},"properties":{"noteIndex":0},"schema":"https://github.com/citation-style-language/schema/raw/master/csl-citation.json"}</w:instrText>
      </w:r>
      <w:r w:rsidR="003C106E"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[89</w:t>
      </w:r>
      <w:r w:rsidR="00006148">
        <w:rPr>
          <w:rFonts w:ascii="Times New Roman" w:hAnsi="Times New Roman" w:cs="Times New Roman"/>
          <w:noProof/>
          <w:sz w:val="28"/>
          <w:szCs w:val="28"/>
        </w:rPr>
        <w:t>-</w:t>
      </w:r>
      <w:r w:rsidR="00006148" w:rsidRPr="008C6800">
        <w:rPr>
          <w:rFonts w:ascii="Times New Roman" w:hAnsi="Times New Roman" w:cs="Times New Roman"/>
          <w:noProof/>
          <w:sz w:val="28"/>
          <w:szCs w:val="28"/>
        </w:rPr>
        <w:t>91</w:t>
      </w:r>
      <w:r w:rsidR="008C6800" w:rsidRPr="008C6800">
        <w:rPr>
          <w:rFonts w:ascii="Times New Roman" w:hAnsi="Times New Roman" w:cs="Times New Roman"/>
          <w:noProof/>
          <w:sz w:val="28"/>
          <w:szCs w:val="28"/>
        </w:rPr>
        <w:t>]</w:t>
      </w:r>
      <w:r w:rsidR="003C106E" w:rsidRPr="00916B3A">
        <w:rPr>
          <w:rFonts w:ascii="Times New Roman" w:hAnsi="Times New Roman" w:cs="Times New Roman"/>
          <w:sz w:val="28"/>
          <w:szCs w:val="28"/>
        </w:rPr>
        <w:fldChar w:fldCharType="end"/>
      </w:r>
      <w:r w:rsidR="00D71A15" w:rsidRPr="00916B3A">
        <w:rPr>
          <w:rFonts w:ascii="Times New Roman" w:hAnsi="Times New Roman" w:cs="Times New Roman"/>
          <w:sz w:val="28"/>
          <w:szCs w:val="28"/>
        </w:rPr>
        <w:t>. В некоторых исследованиях впервые продемонстрировано значительное снижение уровня нескольких транскриптов в эндометрии без явных отклонений и показано, что оно связано с неудачей имплантации</w:t>
      </w:r>
      <w:r w:rsidR="008E694E">
        <w:rPr>
          <w:rFonts w:ascii="Times New Roman" w:hAnsi="Times New Roman" w:cs="Times New Roman"/>
          <w:sz w:val="28"/>
          <w:szCs w:val="28"/>
        </w:rPr>
        <w:t>.</w:t>
      </w:r>
      <w:r w:rsidR="00D71A15" w:rsidRPr="00916B3A">
        <w:rPr>
          <w:rFonts w:ascii="Times New Roman" w:hAnsi="Times New Roman" w:cs="Times New Roman"/>
          <w:sz w:val="28"/>
          <w:szCs w:val="28"/>
        </w:rPr>
        <w:t xml:space="preserve"> А также повторные неудчи имплантации у пациенток связаны с внутренним дефектом в экспрессии множес</w:t>
      </w:r>
      <w:r w:rsidR="008F0C07" w:rsidRPr="00916B3A">
        <w:rPr>
          <w:rFonts w:ascii="Times New Roman" w:hAnsi="Times New Roman" w:cs="Times New Roman"/>
          <w:sz w:val="28"/>
          <w:szCs w:val="28"/>
        </w:rPr>
        <w:t xml:space="preserve">тва генов в эндометрии в начале </w:t>
      </w:r>
      <w:r w:rsidR="00D71A15" w:rsidRPr="00916B3A">
        <w:rPr>
          <w:rFonts w:ascii="Times New Roman" w:hAnsi="Times New Roman" w:cs="Times New Roman"/>
          <w:sz w:val="28"/>
          <w:szCs w:val="28"/>
        </w:rPr>
        <w:t>окна имплантации. Как  известно из исследовании, снижение уровня</w:t>
      </w:r>
      <w:r w:rsidR="009E3E21" w:rsidRPr="00916B3A">
        <w:rPr>
          <w:rFonts w:ascii="Times New Roman" w:hAnsi="Times New Roman" w:cs="Times New Roman"/>
          <w:sz w:val="28"/>
          <w:szCs w:val="28"/>
        </w:rPr>
        <w:t xml:space="preserve"> </w:t>
      </w:r>
      <w:r w:rsidR="00D71A15" w:rsidRPr="00916B3A">
        <w:rPr>
          <w:rFonts w:ascii="Times New Roman" w:hAnsi="Times New Roman" w:cs="Times New Roman"/>
          <w:sz w:val="28"/>
          <w:szCs w:val="28"/>
        </w:rPr>
        <w:t>нескольких транскриптов в рецептивный период в эндометрии в эндометрии, не имеющем других выраженных аномалий, впервые продемонстрировано в связи с неудачей имплантации</w:t>
      </w:r>
      <w:r w:rsidR="008E694E" w:rsidRPr="00916B3A">
        <w:rPr>
          <w:rFonts w:ascii="Times New Roman" w:hAnsi="Times New Roman" w:cs="Times New Roman"/>
          <w:sz w:val="28"/>
          <w:szCs w:val="28"/>
        </w:rPr>
        <w:fldChar w:fldCharType="begin" w:fldLock="1"/>
      </w:r>
      <w:r w:rsidR="008E694E">
        <w:rPr>
          <w:rFonts w:ascii="Times New Roman" w:hAnsi="Times New Roman" w:cs="Times New Roman"/>
          <w:sz w:val="28"/>
          <w:szCs w:val="28"/>
        </w:rPr>
        <w:instrText>ADDIN CSL_CITATION {"citationItems":[{"id":"ITEM-1","itemData":{"DOI":"10.1095/biolreprod.116.142547","ISSN":"15297268","PMID":"28395321","abstract":"Endometrial receptivity is crucial for implantation and establishment of a normal pregnancy. The shift from proliferative to receptive endometrium is still far from being understood. In this paper,we comprehensively present the transcriptome of the human endometrium by comparing endometrial biopsies from proliferative phase with consecutive biopsies 7-9 days after ovulation. The results show a clear difference in expression between the two time points using both total and small RNA sequencing. A total of 3,297 messenger RNAs (mRNAs), 516 long noncoding RNAs (lncRNAs), and 102 small noncoding RNAs were identified as statistically differentially expressed between the two time points. We show a thorough description of the change in mRNA between the two time points and display lncRNAs, small nucleolar RNAs, and small nuclear RNAs not previously reported in the healthy human endometrium. In conclusion, this paper reports in detail the shift in RNA expression from the proliferative to receptive endometrium.","author":[{"dropping-particle":"","family":"Sigurgeirsson","given":"Benjamin","non-dropping-particle":"","parse-names":false,"suffix":""},{"dropping-particle":"","family":"Åmark","given":"Hanna","non-dropping-particle":"","parse-names":false,"suffix":""},{"dropping-particle":"","family":"Jemt","given":"Anders","non-dropping-particle":"","parse-names":false,"suffix":""},{"dropping-particle":"","family":"Ujvari","given":"Dorina","non-dropping-particle":"","parse-names":false,"suffix":""},{"dropping-particle":"","family":"Westgren","given":"Magnus","non-dropping-particle":"","parse-names":false,"suffix":""},{"dropping-particle":"","family":"Lundeberg","given":"Joakim","non-dropping-particle":"","parse-names":false,"suffix":""},{"dropping-particle":"","family":"Gidlöf","given":"Sebastian","non-dropping-particle":"","parse-names":false,"suffix":""}],"container-title":"Biology of Reproduction","id":"ITEM-1","issue":"1","issued":{"date-parts":[["2017"]]},"page":"24-33","title":"Comprehensive RNA sequencing of healthy human endometrium at two time points of the menstrual cycle","type":"article-journal","volume":"96"},"uris":["http://www.mendeley.com/documents/?uuid=0ebe1a76-36df-409f-a220-41a7570cfe82"]}],"mendeley":{"formattedCitation":"[92]","plainTextFormattedCitation":"[92]","previouslyFormattedCitation":"(92)"},"properties":{"noteIndex":0},"schema":"https://github.com/citation-style-language/schema/raw/master/csl-citation.json"}</w:instrText>
      </w:r>
      <w:r w:rsidR="008E694E" w:rsidRPr="00916B3A">
        <w:rPr>
          <w:rFonts w:ascii="Times New Roman" w:hAnsi="Times New Roman" w:cs="Times New Roman"/>
          <w:sz w:val="28"/>
          <w:szCs w:val="28"/>
        </w:rPr>
        <w:fldChar w:fldCharType="separate"/>
      </w:r>
      <w:r w:rsidR="008E694E" w:rsidRPr="008C6800">
        <w:rPr>
          <w:rFonts w:ascii="Times New Roman" w:hAnsi="Times New Roman" w:cs="Times New Roman"/>
          <w:noProof/>
          <w:sz w:val="28"/>
          <w:szCs w:val="28"/>
        </w:rPr>
        <w:t>[92</w:t>
      </w:r>
      <w:r w:rsidR="008E694E">
        <w:rPr>
          <w:rFonts w:ascii="Times New Roman" w:hAnsi="Times New Roman" w:cs="Times New Roman"/>
          <w:noProof/>
          <w:sz w:val="28"/>
          <w:szCs w:val="28"/>
        </w:rPr>
        <w:t>,</w:t>
      </w:r>
      <w:r w:rsidR="008E694E" w:rsidRPr="008C6800">
        <w:rPr>
          <w:rFonts w:ascii="Times New Roman" w:hAnsi="Times New Roman" w:cs="Times New Roman"/>
          <w:noProof/>
          <w:sz w:val="28"/>
          <w:szCs w:val="28"/>
        </w:rPr>
        <w:t>93]</w:t>
      </w:r>
      <w:r w:rsidR="008E694E" w:rsidRPr="00916B3A">
        <w:rPr>
          <w:rFonts w:ascii="Times New Roman" w:hAnsi="Times New Roman" w:cs="Times New Roman"/>
          <w:sz w:val="28"/>
          <w:szCs w:val="28"/>
        </w:rPr>
        <w:fldChar w:fldCharType="end"/>
      </w:r>
      <w:r w:rsidR="008E694E" w:rsidRPr="00916B3A">
        <w:rPr>
          <w:rFonts w:ascii="Times New Roman" w:hAnsi="Times New Roman" w:cs="Times New Roman"/>
          <w:sz w:val="28"/>
          <w:szCs w:val="28"/>
        </w:rPr>
        <w:t>.</w:t>
      </w:r>
      <w:r w:rsidR="002B4F84" w:rsidRPr="00916B3A">
        <w:rPr>
          <w:rFonts w:ascii="Times New Roman" w:hAnsi="Times New Roman" w:cs="Times New Roman"/>
          <w:sz w:val="28"/>
          <w:szCs w:val="28"/>
        </w:rPr>
        <w:t xml:space="preserve"> </w:t>
      </w:r>
    </w:p>
    <w:p w14:paraId="04F5F484" w14:textId="4768A032" w:rsidR="00E17A7E" w:rsidRPr="00916B3A" w:rsidRDefault="002B2D52" w:rsidP="00997125">
      <w:pPr>
        <w:pBdr>
          <w:bottom w:val="single" w:sz="4" w:space="31" w:color="FFFFFF"/>
        </w:pBdr>
        <w:tabs>
          <w:tab w:val="left" w:pos="0"/>
        </w:tabs>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Из-за важной роли различных иммунных путей в патогенезе необъяснимой рецидивирующей неудачи имплантации сложно выделить определённые гены, которые могут предсказать рецептивность эндометрия</w:t>
      </w:r>
      <w:r w:rsidR="008E694E">
        <w:rPr>
          <w:rFonts w:ascii="Times New Roman" w:hAnsi="Times New Roman" w:cs="Times New Roman"/>
          <w:sz w:val="28"/>
          <w:szCs w:val="28"/>
        </w:rPr>
        <w:t>.</w:t>
      </w:r>
      <w:r w:rsidR="008E694E" w:rsidRPr="008E694E">
        <w:rPr>
          <w:rFonts w:ascii="Times New Roman" w:hAnsi="Times New Roman" w:cs="Times New Roman"/>
          <w:sz w:val="28"/>
          <w:szCs w:val="28"/>
        </w:rPr>
        <w:t xml:space="preserve"> </w:t>
      </w:r>
      <w:r w:rsidR="008E694E" w:rsidRPr="00916B3A">
        <w:rPr>
          <w:rFonts w:ascii="Times New Roman" w:hAnsi="Times New Roman" w:cs="Times New Roman"/>
          <w:sz w:val="28"/>
          <w:szCs w:val="28"/>
        </w:rPr>
        <w:t xml:space="preserve">Рецептивность эндометрия не ограничивается бинарным состоянием (все или ничего); вместо этого степень и характер аномальной рецептивности могут привести к различным репродуктивным проблемам, включая полную рецидивирующую неудачу имплантации (RIF) или бесплодие, а также </w:t>
      </w:r>
      <w:r w:rsidR="008E694E" w:rsidRPr="00916B3A">
        <w:rPr>
          <w:rFonts w:ascii="Times New Roman" w:hAnsi="Times New Roman" w:cs="Times New Roman"/>
          <w:sz w:val="28"/>
          <w:szCs w:val="28"/>
          <w:lang w:val="kk-KZ"/>
        </w:rPr>
        <w:t xml:space="preserve">рецидив </w:t>
      </w:r>
      <w:r w:rsidR="008E694E" w:rsidRPr="00916B3A">
        <w:rPr>
          <w:rFonts w:ascii="Times New Roman" w:hAnsi="Times New Roman" w:cs="Times New Roman"/>
          <w:sz w:val="28"/>
          <w:szCs w:val="28"/>
        </w:rPr>
        <w:t>потерю беременности (RPL) или выкидыш, а также более легкие формы неудачи имплантации и инвазии, такие как преэклампсия</w:t>
      </w:r>
      <w:r w:rsidRPr="00916B3A">
        <w:rPr>
          <w:rFonts w:ascii="Times New Roman" w:hAnsi="Times New Roman" w:cs="Times New Roman"/>
          <w:sz w:val="28"/>
          <w:szCs w:val="28"/>
          <w:lang w:val="kk-KZ"/>
        </w:rPr>
        <w:t xml:space="preserve"> </w:t>
      </w:r>
      <w:r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{"citationItems":[{"id":"ITEM-1","itemData":{"DOI":"10.3390/biom13030406","ISSN":"2218273X","PMID":"36979341","abstract":"The molecular mechanisms underlying unexplained recurrent implantation failure (RIF) remain unclear. This study aimed at identifying potential biomarkers, exploring relevant signaling pathways, and analyzing the contribution of immune cell infiltration in RIF. Microarray expression datasets were extracted from the Gene Expression Omnibus database to perform bioinformatic analyses. The results showed that ten hub genes may predict RIF with high specificity and sensitivity (area under the curve = 1.000). Protein–protein interaction analysis revealed close interactions between the hub genes and the endometrial receptivity array. The real-time quantitative polymerase chain reaction further validated three potential biomarkers (RAB32, TRIB2, and FAM155B). Functional enrichment analyses indicated that immune pathways were significantly downregulated and lipid metabolism pathways were significantly upregulated in RIF compared with the controls. Significant negative correlations were observed between fatty acid biosynthesis and the immune pathways. Immune cell infiltration, including those in CD56dim natural killer, dendritic, Th1, Th2, and regulatory T cells, as well as macrophages, was significantly reduced in RIF compared with the controls used herein. This study may provide a novel perspective on the diagnosis and treatment of RIF.","author":[{"dropping-particle":"","family":"Li","given":"Fangfang","non-dropping-particle":"","parse-names":false,"suffix":""},{"dropping-particle":"","family":"Gao","given":"Wenxin","non-dropping-particle":"","parse-names":false,"suffix":""},{"dropping-particle":"","family":"Li","given":"Yanmei","non-dropping-particle":"","parse-names":false,"suffix":""},{"dropping-particle":"","family":"Wang","given":"Yiqing","non-dropping-particle":"","parse-names":false,"suffix":""},{"dropping-particle":"","family":"Liu","given":"Lin","non-dropping-particle":"","parse-names":false,"suffix":""},{"dropping-particle":"","family":"Zhang","given":"Xuehong","non-dropping-particle":"","parse-names":false,"suffix":""}],"container-title":"Biomolecules","id":"ITEM-1","issue":"3","issued":{"date-parts":[["2023"]]},"title":"Potential Biomarkers and Endometrial Immune Microenvironment in Recurrent Implantation Failure","type":"article-journal","volume":"13"},"uris":["http://www.mendeley.com/documents/?uuid=8024ee36-d8af-4ef0-a063-339957b17a35"]}],"mendeley":{"formattedCitation":"[94]","plainTextFormattedCitation":"[94]","previouslyFormattedCitation":"(94)"},"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[94]</w:t>
      </w:r>
      <w:r w:rsidRPr="00916B3A">
        <w:rPr>
          <w:rFonts w:ascii="Times New Roman" w:hAnsi="Times New Roman" w:cs="Times New Roman"/>
          <w:sz w:val="28"/>
          <w:szCs w:val="28"/>
        </w:rPr>
        <w:fldChar w:fldCharType="end"/>
      </w:r>
      <w:r w:rsidR="00E17A7E" w:rsidRPr="00916B3A">
        <w:rPr>
          <w:rFonts w:ascii="Times New Roman" w:hAnsi="Times New Roman" w:cs="Times New Roman"/>
          <w:sz w:val="28"/>
          <w:szCs w:val="28"/>
        </w:rPr>
        <w:t xml:space="preserve">. </w:t>
      </w:r>
      <w:r w:rsidRPr="00916B3A">
        <w:rPr>
          <w:rFonts w:ascii="Times New Roman" w:hAnsi="Times New Roman" w:cs="Times New Roman"/>
          <w:sz w:val="28"/>
          <w:szCs w:val="28"/>
          <w:lang w:val="kk-KZ"/>
        </w:rPr>
        <w:t>В</w:t>
      </w:r>
      <w:r w:rsidRPr="00916B3A">
        <w:rPr>
          <w:rFonts w:ascii="Times New Roman" w:hAnsi="Times New Roman" w:cs="Times New Roman"/>
          <w:sz w:val="28"/>
          <w:szCs w:val="28"/>
        </w:rPr>
        <w:t>о время имплантации эмбриона иммунные клетки выполняют функции ремоделирования тканей и иммуномодулирования, в том числе способствуют прикреплению эпителия, модулируют инвазию трофобласта, регулируют децидуальную трансформацию, ремоделируют</w:t>
      </w:r>
      <w:r w:rsidRPr="00916B3A">
        <w:rPr>
          <w:rFonts w:ascii="Times New Roman" w:hAnsi="Times New Roman" w:cs="Times New Roman"/>
          <w:sz w:val="28"/>
          <w:szCs w:val="28"/>
          <w:lang w:val="kk-KZ"/>
        </w:rPr>
        <w:t xml:space="preserve"> </w:t>
      </w:r>
      <w:r w:rsidRPr="00916B3A">
        <w:rPr>
          <w:rFonts w:ascii="Times New Roman" w:hAnsi="Times New Roman" w:cs="Times New Roman"/>
          <w:sz w:val="28"/>
          <w:szCs w:val="28"/>
        </w:rPr>
        <w:t xml:space="preserve">маточной сосудистой сети и контроль воспалительной активации. </w:t>
      </w:r>
      <w:r w:rsidR="00E17A7E" w:rsidRPr="00916B3A">
        <w:rPr>
          <w:rFonts w:ascii="Times New Roman" w:hAnsi="Times New Roman" w:cs="Times New Roman"/>
          <w:sz w:val="28"/>
          <w:szCs w:val="28"/>
        </w:rPr>
        <w:t xml:space="preserve">Биоинформационные </w:t>
      </w:r>
      <w:r w:rsidR="00212240" w:rsidRPr="00916B3A">
        <w:rPr>
          <w:rFonts w:ascii="Times New Roman" w:hAnsi="Times New Roman" w:cs="Times New Roman"/>
          <w:color w:val="000000" w:themeColor="text1"/>
          <w:sz w:val="28"/>
          <w:szCs w:val="28"/>
        </w:rPr>
        <w:t xml:space="preserve">транскриптомные исследования человеческого эндометрия выявили сотни одновременно повышающих и понижающих регуляцию генов, которые участвуют в восприимчивости эндометрия, проводили метаанализ генов, связанных с восприимчивостью эндометрия, на 164 образцах эндометрия (76 из «пререцептивной» и 88 из эндометрия средней секреторной, «рецептивной» фазы), используя метод надежной ранговой агрегации (RRA), за которым следует анализ обогащения и прогноз регуляторной микроРНК. Идентифицировали метасигнатуру восприимчивости эндометрия, включающую 57 генов мРНК в качестве предполагаемых маркеров восприимчивости, где 39 из них подтверждили экспериментально с помощью метода РНК-секвенирования в двух отдельных наборах данных. Гены метасигнатуры подчеркивают важность иммунных ответов, каскадного пути комплемента и участия экзосом в средних секреторных функциях эндометрия. Биоинформатическое </w:t>
      </w:r>
      <w:r w:rsidR="00212240" w:rsidRPr="00916B3A">
        <w:rPr>
          <w:rFonts w:ascii="Times New Roman" w:hAnsi="Times New Roman" w:cs="Times New Roman"/>
          <w:sz w:val="28"/>
          <w:szCs w:val="28"/>
        </w:rPr>
        <w:t>исследования позволяет сузить поиск до 30 генов, при этом мета-сигнатуры генов подчеркивают важность иммунных реакций,</w:t>
      </w:r>
      <w:r w:rsidR="00212240" w:rsidRPr="00916B3A">
        <w:rPr>
          <w:rFonts w:ascii="Times New Roman" w:hAnsi="Times New Roman" w:cs="Times New Roman"/>
          <w:color w:val="000000" w:themeColor="text1"/>
          <w:sz w:val="28"/>
          <w:szCs w:val="28"/>
        </w:rPr>
        <w:t xml:space="preserve"> идентифицированных генов метасигнатуры и вовлеченных путей вместе с их регуляторными микроРНК могут служить перспективными и востребованными биомаркерами восприимчивости эндометрия, фертильности и бесплодия</w:t>
      </w:r>
      <w:r w:rsidR="00321A19"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{"citationItems":[{"id":"ITEM-1","itemData":{"DOI":"10.1038/s41598-017-10098-3","ISSN":"20452322","PMID":"28855728","abstract":"Previous transcriptome studies of the human endometrium have revealed hundreds of simultaneously up-and down-regulated genes that are involved in endometrial receptivity. However, the overlap between the studies is relatively small, and we are still searching for potential diagnostic biomarkers. Here we perform a meta-analysis of endometrial-receptivity associated genes on 164 endometrial samples (76 from 'pre-receptive' and 88 from mid-secretory, 'receptive' phase endometria) using a robust rank aggregation (RRA) method, followed by enrichment analysis, and regulatory microRNA prediction. We identify a meta-signature of endometrial receptivity involving 57 mRNA genes as putative receptivity markers, where 39 of these we confirm experimentally using RNA-sequencing method in two separate datasets. The meta-signature genes highlight the importance of immune responses, the complement cascade pathway and the involvement of exosomes in mid-secretory endometrial functions. Bioinformatic prediction identifies 348 microRNAs that could regulate 30 endometrial-receptivity associated genes, and we confirm experimentally the decreased expression of 19 microRNAs with 11 corresponding up-regulated meta-signature genes in our validation experiments. The 57 identified meta-signature genes and involved pathways, together with their regulatory microRNAs could serve as promising and sought-after biomarkers of endometrial receptivity, fertility and infertility.","author":[{"dropping-particle":"","family":"Altmäe","given":"Signe","non-dropping-particle":"","parse-names":false,"suffix":""},{"dropping-particle":"","family":"Koel","given":"Mariann","non-dropping-particle":"","parse-names":false,"suffix":""},{"dropping-particle":"","family":"Võsa","given":"Urmo","non-dropping-particle":"","parse-names":false,"suffix":""},{"dropping-particle":"","family":"Adler","given":"Priit","non-dropping-particle":"","parse-names":false,"suffix":""},{"dropping-particle":"","family":"Suhorutšenko","given":"Marina","non-dropping-particle":"","parse-names":false,"suffix":""},{"dropping-particle":"","family":"Laisk-Podar","given":"Triin","non-dropping-particle":"","parse-names":false,"suffix":""},{"dropping-particle":"","family":"Kukushkina","given":"Viktorija","non-dropping-particle":"","parse-names":false,"suffix":""},{"dropping-particle":"","family":"Saare","given":"Merli","non-dropping-particle":"","parse-names":false,"suffix":""},{"dropping-particle":"","family":"Velthut-Meikas","given":"Agne","non-dropping-particle":"","parse-names":false,"suffix":""},{"dropping-particle":"","family":"Krjutškov","given":"Kaarel","non-dropping-particle":"","parse-names":false,"suffix":""},{"dropping-particle":"","family":"Aghajanova","given":"Lusine","non-dropping-particle":"","parse-names":false,"suffix":""},{"dropping-particle":"","family":"Lalitkumar","given":"Parameswaran G.","non-dropping-particle":"","parse-names":false,"suffix":""},{"dropping-particle":"","family":"Gemzell-Danielsson","given":"Kristina","non-dropping-particle":"","parse-names":false,"suffix":""},{"dropping-particle":"","family":"Giudice","given":"Linda","non-dropping-particle":"","parse-names":false,"suffix":""},{"dropping-particle":"","family":"Simón","given":"Carlos","non-dropping-particle":"","parse-names":false,"suffix":""},{"dropping-particle":"","family":"Salumets","given":"Andres","non-dropping-particle":"","parse-names":false,"suffix":""}],"container-title":"Scientific Reports","id":"ITEM-1","issue":"1","issued":{"date-parts":[["2017"]]},"page":"1-15","title":"Meta-signature of human endometrial receptivity: A meta-analysis and validation study of transcriptomic biomarkers","type":"article-journal","volume":"7"},"uris":["http://www.mendeley.com/documents/?uuid=e7246d17-300f-4dfe-8673-688897815e94"]}],"mendeley":{"formattedCitation":"[95]","plainTextFormattedCitation":"[95]","previouslyFormattedCitation":"(95)"},"properties":{"noteIndex":0},"schema":"https://github.com/citation-style-language/schema/raw/master/csl-citation.json"}</w:instrText>
      </w:r>
      <w:r w:rsidR="00321A19"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[95]</w:t>
      </w:r>
      <w:r w:rsidR="00321A19" w:rsidRPr="00916B3A">
        <w:rPr>
          <w:rFonts w:ascii="Times New Roman" w:hAnsi="Times New Roman" w:cs="Times New Roman"/>
          <w:sz w:val="28"/>
          <w:szCs w:val="28"/>
        </w:rPr>
        <w:fldChar w:fldCharType="end"/>
      </w:r>
      <w:r w:rsidR="00E17A7E" w:rsidRPr="00916B3A">
        <w:rPr>
          <w:rFonts w:ascii="Times New Roman" w:hAnsi="Times New Roman" w:cs="Times New Roman"/>
          <w:sz w:val="28"/>
          <w:szCs w:val="28"/>
        </w:rPr>
        <w:t>, и в первую очередь, аномальной активац</w:t>
      </w:r>
      <w:r w:rsidR="00212240" w:rsidRPr="00916B3A">
        <w:rPr>
          <w:rFonts w:ascii="Times New Roman" w:hAnsi="Times New Roman" w:cs="Times New Roman"/>
          <w:sz w:val="28"/>
          <w:szCs w:val="28"/>
        </w:rPr>
        <w:t>ии врожденной иммунной системы</w:t>
      </w:r>
      <w:r w:rsidR="00FD344C" w:rsidRPr="00916B3A">
        <w:rPr>
          <w:rFonts w:ascii="Times New Roman" w:hAnsi="Times New Roman" w:cs="Times New Roman"/>
          <w:sz w:val="28"/>
          <w:szCs w:val="28"/>
        </w:rPr>
        <w:fldChar w:fldCharType="begin" w:fldLock="1"/>
      </w:r>
      <w:r w:rsidR="008E694E">
        <w:rPr>
          <w:rFonts w:ascii="Times New Roman" w:hAnsi="Times New Roman" w:cs="Times New Roman"/>
          <w:sz w:val="28"/>
          <w:szCs w:val="28"/>
        </w:rPr>
        <w:instrText>ADDIN CSL_CITATION {"citationItems":[{"id":"ITEM-1","itemData":{"DOI":"10.1007/s11033-021-06502-x","ISBN":"0123456789","ISSN":"15734978","PMID":"34216338","abstract":"Recurrent implantation failure (RIF) is diagnosed when good-quality embryos repeatedly fail to implant after transfer in several in vitro fertilization (IVF) treatment cycles. Different expression profiles in maternal mRNAs could be referring to many diseases including RIF. This study aimed to reveal significantly dysregulated selected genes expression between healthy fertile women and RIF patients in the implantation window days of the natural menstrual cycle. MME, WWC1, TNC, and FOXP3 genes were chosen as target genes regarding their possible relations with the implantation process. Pathways with these genes were identified and the relationship between these pathways and RIF was investigated. In this study, the endometrial biopsy samples were collected in the secretory phase (cycle day 20–24) of the menstrual cycle from RIF patients (n = 34) and healthy fertile controls (n = 34). After “Pathway and network-oriented GWAS analysis” (PANOGA) and “Kyoto Encyclopedia of Genes and Genomes” (KEGG) pathway analysis; “Membrane Metalloendopeptidase” (MME), “WW and C2 Domain Containing 1” (WWC1), “Tenascin C” (TNC) and “Forkhead Box P3” (FOXP3) genes were chosen as target genes by regarding their possible relation with implantation process. Detection of differences in mRNA expressions between the control group and RIF patients has been performed with the droplet digital PCR (ddPCR) method. Results of the study showed that MME and WWC1 genes expression levels are significantly (p &lt; 0,05) up-regulated 4.9 and 5.2 times respectively and TNC gene expression level is significantly (p &lt; 0,05) down-regulated 9 times in the RIF samples compared to the control group. However, no statistically significant difference was observed between the patient group and the control group in the expression of the FOXP3 gene (p &lt; 0.05). Changes are observed in the expression of the renin-angiotensin system pathway in which the MME gene is involved in the implantation process. The increase in MME gene expression can be speculated to cause implantation failure by restricting the invasion of trophoblast cells. Increasing WWC1 gene expression in the Hippo signaling pathway inhibits “Yes-associated protein 1” (YAP) expression, which is a transcriptional cofactor. Inhibition of YAP protein expression may impair the implantation process by causing the failure of endometrial decidualization. The TNC gene is located in the focal adhesion pathway and this pathway reduces cell adhesion on the end…","author":[{"dropping-particle":"","family":"Albayrak","given":"İrem Gülfem","non-dropping-particle":"","parse-names":false,"suffix":""},{"dropping-particle":"","family":"Azhari","given":"Fatemeh","non-dropping-particle":"","parse-names":false,"suffix":""},{"dropping-particle":"","family":"Çolak","given":"Ezgi Nur","non-dropping-particle":"","parse-names":false,"suffix":""},{"dropping-particle":"","family":"Balcı","given":"Burçin Karamustafaoğlu","non-dropping-particle":"","parse-names":false,"suffix":""},{"dropping-particle":"","family":"Ülgen","given":"Ege","non-dropping-particle":"","parse-names":false,"suffix":""},{"dropping-particle":"","family":"Sezerman","given":"Uğur","non-dropping-particle":"","parse-names":false,"suffix":""},{"dropping-particle":"","family":"Baştu","given":"Ercan","non-dropping-particle":"","parse-names":false,"suffix":""},{"dropping-particle":"","family":"Günel","given":"Tuba","non-dropping-particle":"","parse-names":false,"suffix":""}],"container-title":"Molecular Biology Reports","id":"ITEM-1","issue":"6","issued":{"date-parts":[["2021"]]},"page":"5075-5082","title":"Endometrial gene expression profiling of recurrent implantation failure after in vitro fertilization","type":"article-journal","volume":"48"},"uris":["http://www.mendeley.com/documents/?uuid=9b0bb8ac-64c0-47c8-80be-29327547cbc2"]}],"mendeley":{"formattedCitation":"[12]","manualFormatting":"[96]","plainTextFormattedCitation":"[12]","previouslyFormattedCitation":"(12)"},"properties":{"noteIndex":0},"schema":"https://github.com/citation-style-language/schema/raw/master/csl-citation.json"}</w:instrText>
      </w:r>
      <w:r w:rsidR="00FD344C"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w:t>
      </w:r>
      <w:r w:rsidR="00006148" w:rsidRPr="008C6800">
        <w:rPr>
          <w:rFonts w:ascii="Times New Roman" w:hAnsi="Times New Roman" w:cs="Times New Roman"/>
          <w:noProof/>
          <w:sz w:val="28"/>
          <w:szCs w:val="28"/>
        </w:rPr>
        <w:t>96</w:t>
      </w:r>
      <w:r w:rsidR="008C6800" w:rsidRPr="008C6800">
        <w:rPr>
          <w:rFonts w:ascii="Times New Roman" w:hAnsi="Times New Roman" w:cs="Times New Roman"/>
          <w:noProof/>
          <w:sz w:val="28"/>
          <w:szCs w:val="28"/>
        </w:rPr>
        <w:t>]</w:t>
      </w:r>
      <w:r w:rsidR="00FD344C" w:rsidRPr="00916B3A">
        <w:rPr>
          <w:rFonts w:ascii="Times New Roman" w:hAnsi="Times New Roman" w:cs="Times New Roman"/>
          <w:sz w:val="28"/>
          <w:szCs w:val="28"/>
        </w:rPr>
        <w:fldChar w:fldCharType="end"/>
      </w:r>
      <w:r w:rsidR="00E17A7E" w:rsidRPr="00916B3A">
        <w:rPr>
          <w:rFonts w:ascii="Times New Roman" w:hAnsi="Times New Roman" w:cs="Times New Roman"/>
          <w:sz w:val="28"/>
          <w:szCs w:val="28"/>
        </w:rPr>
        <w:t>.</w:t>
      </w:r>
      <w:r w:rsidR="00E17A7E" w:rsidRPr="00916B3A">
        <w:rPr>
          <w:rFonts w:ascii="Times New Roman" w:hAnsi="Times New Roman" w:cs="Times New Roman"/>
          <w:sz w:val="24"/>
          <w:szCs w:val="24"/>
        </w:rPr>
        <w:t xml:space="preserve"> </w:t>
      </w:r>
      <w:r w:rsidR="00BF5664" w:rsidRPr="00916B3A">
        <w:rPr>
          <w:rFonts w:ascii="Times New Roman" w:hAnsi="Times New Roman" w:cs="Times New Roman"/>
          <w:sz w:val="28"/>
          <w:szCs w:val="28"/>
          <w:lang w:val="kk-KZ"/>
        </w:rPr>
        <w:t>На мультиомиксных данных</w:t>
      </w:r>
      <w:r w:rsidR="00E17A7E" w:rsidRPr="00916B3A">
        <w:rPr>
          <w:rFonts w:ascii="Times New Roman" w:hAnsi="Times New Roman" w:cs="Times New Roman"/>
          <w:sz w:val="28"/>
          <w:szCs w:val="28"/>
        </w:rPr>
        <w:t xml:space="preserve"> показал, что наиболее широко представленными генами восприимчивости эндометрия была группа, ответст</w:t>
      </w:r>
      <w:r w:rsidR="006D4AB8" w:rsidRPr="00916B3A">
        <w:rPr>
          <w:rFonts w:ascii="Times New Roman" w:hAnsi="Times New Roman" w:cs="Times New Roman"/>
          <w:sz w:val="28"/>
          <w:szCs w:val="28"/>
        </w:rPr>
        <w:t xml:space="preserve">венная за пролиферацию сосудов </w:t>
      </w:r>
      <w:r w:rsidR="006D4AB8"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{"citationItems":[{"id":"ITEM-1","itemData":{"DOI":"10.1016/j.fertnstert.2008.01.029","ISSN":"00150282","PMID":"18328483","abstract":"Objective: To characterize pathophysiologic features of a \"thin\" endometrium. Design: A prospective observational study. Setting: University Hospital and City General Hospital. Patient(s): Patients with normal-thickness endometrium (Normal-Em group: endometrial thickness ≥8 mm; n = 57) and thin endometrium (Thin-Em group: endometrial thickness &lt;8 mm; n = 17). Main Outcome Measure(s): Blood flow impedance of the uterine radial artery (RA) was assessed as resistance index (RI) by transvaginal color-pulsed Doppler ultrasonography. The area of glandular epithelium, the number of blood vessels, and vascular endothelial growth factor (VEGF) expression were examined in the midluteal-phase endometrium. Result(s): The RA-RI in the Thin-Em group was significantly higher than in the Normal-Em group throughout the menstrual cycle. Endometrial thickness was significantly correlated with RA-RI. Growth of glandular epithelium, the number of blood vessels, and VEGF expression were significantly lower in the Thin-Em group than in the Normal-Em group. Conclusion(s): A \"thin\" endometrium was characterized by high blood flow impedance of RA, poor epithelial growth, decreased VEGF expression, and poor vascular development. © 2009 American Society for Reproductive Medicine.","author":[{"dropping-particle":"","family":"Miwa","given":"Ichiro","non-dropping-particle":"","parse-names":false,"suffix":""},{"dropping-particle":"","family":"Tamura","given":"Hiroshi","non-dropping-particle":"","parse-names":false,"suffix":""},{"dropping-particle":"","family":"Takasaki","given":"Akihisa","non-dropping-particle":"","parse-names":false,"suffix":""},{"dropping-particle":"","family":"Yamagata","given":"Yoshiaki","non-dropping-particle":"","parse-names":false,"suffix":""},{"dropping-particle":"","family":"Shimamura","given":"Katsunori","non-dropping-particle":"","parse-names":false,"suffix":""},{"dropping-particle":"","family":"Sugino","given":"Norihiro","non-dropping-particle":"","parse-names":false,"suffix":""}],"container-title":"Fertility and Sterility","id":"ITEM-1","issue":"4","issued":{"date-parts":[["2009"]]},"page":"998-1004","publisher":"Elsevier Ltd","title":"Pathophysiologic features of \"thin\" endometrium","type":"article-journal","volume":"91"},"uris":["http://www.mendeley.com/documents/?uuid=cc61638b-d4fd-425c-ac94-428388d2b182"]}],"mendeley":{"formattedCitation":"[42]","plainTextFormattedCitation":"[42]","previouslyFormattedCitation":"(42)"},"properties":{"noteIndex":0},"schema":"https://github.com/citation-style-language/schema/raw/master/csl-citation.json"}</w:instrText>
      </w:r>
      <w:r w:rsidR="006D4AB8"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[42</w:t>
      </w:r>
      <w:r w:rsidR="008E694E">
        <w:rPr>
          <w:rFonts w:ascii="Times New Roman" w:hAnsi="Times New Roman" w:cs="Times New Roman"/>
          <w:noProof/>
          <w:sz w:val="28"/>
          <w:szCs w:val="28"/>
        </w:rPr>
        <w:t>, с. 998</w:t>
      </w:r>
      <w:r w:rsidR="008C6800" w:rsidRPr="008C6800">
        <w:rPr>
          <w:rFonts w:ascii="Times New Roman" w:hAnsi="Times New Roman" w:cs="Times New Roman"/>
          <w:noProof/>
          <w:sz w:val="28"/>
          <w:szCs w:val="28"/>
        </w:rPr>
        <w:t>]</w:t>
      </w:r>
      <w:r w:rsidR="006D4AB8" w:rsidRPr="00916B3A">
        <w:rPr>
          <w:rFonts w:ascii="Times New Roman" w:hAnsi="Times New Roman" w:cs="Times New Roman"/>
          <w:sz w:val="28"/>
          <w:szCs w:val="28"/>
        </w:rPr>
        <w:fldChar w:fldCharType="end"/>
      </w:r>
      <w:r w:rsidR="006D4AB8" w:rsidRPr="00916B3A">
        <w:rPr>
          <w:rFonts w:ascii="Times New Roman" w:hAnsi="Times New Roman" w:cs="Times New Roman"/>
          <w:sz w:val="28"/>
          <w:szCs w:val="28"/>
        </w:rPr>
        <w:t>и иммунологическую активность</w:t>
      </w:r>
      <w:r w:rsidR="006D4AB8"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{"citationItems":[{"id":"ITEM-1","itemData":{"DOI":"10.1074/jbc.ra120.012753","ISSN":"1083351X","PMID":"32444497","abstract":"Cyclic changes of the human endometrium, such as proliferation, secretion, and decidualization, occur during regular menstrual cycles. Heart– and neural crest derivatives–expressed transcript 2 (HAND2) is a key transcription factor in progestin-induced decidualization of human endometrial stromal cells (ESCs). It has been suggested that HAND2 regulates interleukin 15 (IL15), a key immune factor required for the activation and survival of uterine natural killer (uNK) cells. Activated uNK cells can promote spiral artery remodeling and secrete cytokines to induce immunotolerance. To date, no studies have evaluated the transcription factors that regulate IL15 expression in human ESCs. In the present study, we examined whether HAND2 controls IL15 transcriptional regulation in human ESCs. Quantitative RT-PCR and histological analyses revealed that HAND2 and IL15 levels increase considerably in the secretory phase of human endometrium tissues. Results from ChIP-quantitative PCR suggested that HAND2 binds to a putative HAND2 motif, which we identified in the upstream region of the human IL15 gene through in silico analysis. Using a luciferase reporter assay, we found that the upstream region of the human IL15 gene up-regulates reporter gene activities in response to estradiol and a progestin representative (medroxyprogesterone) in ESCs. The upstream region of the human IL15 gene also exhibited increasing responsiveness to transfection with a HAND2 expression vector. Of note, deletion and substitution variants of the putative HAND2 motif in the upstream region of IL15 did not respond to HAND2 transfection. These findings confirm that HAND2 directly up-regulates human IL15 transcription in ESCs.","author":[{"dropping-particle":"","family":"Murata","given":"Hiromi","non-dropping-particle":"","parse-names":false,"suffix":""},{"dropping-particle":"","family":"Tanaka","given":"Susumu","non-dropping-particle":"","parse-names":false,"suffix":""},{"dropping-particle":"","family":"Tsuzuki-Nakao","given":"Tomoko","non-dropping-particle":"","parse-names":false,"suffix":""},{"dropping-particle":"","family":"Kido","given":"Takeharu","non-dropping-particle":"","parse-names":false,"suffix":""},{"dropping-particle":"","family":"Kakita-Kobayashi","given":"Maiko","non-dropping-particle":"","parse-names":false,"suffix":""},{"dropping-particle":"","family":"Kida","given":"Naoko","non-dropping-particle":"","parse-names":false,"suffix":""},{"dropping-particle":"","family":"Hisamatsu","given":"Yoji","non-dropping-particle":"","parse-names":false,"suffix":""},{"dropping-particle":"","family":"Tsubokura","given":"Hiroaki","non-dropping-particle":"","parse-names":false,"suffix":""},{"dropping-particle":"","family":"Hashimoto","given":"Yoshiko","non-dropping-particle":"","parse-names":false,"suffix":""},{"dropping-particle":"","family":"Kitada","given":"Masaaki","non-dropping-particle":"","parse-names":false,"suffix":""},{"dropping-particle":"","family":"Okada","given":"Hidetaka","non-dropping-particle":"","parse-names":false,"suffix":""}],"container-title":"Journal of Biological Chemistry","id":"ITEM-1","issue":"28","issued":{"date-parts":[["2020"]]},"page":"9596-9605","publisher":"Â© 2020 Murata et al.","title":"The transcription factor HAND2 up-regulates transcription of the IL15 gene in human endometrial stromal cells","type":"article-journal","volume":"295"},"uris":["http://www.mendeley.com/documents/?uuid=e206c388-cd1c-42fc-b4f3-14e733892d7c"]}],"mendeley":{"formattedCitation":"[97]","plainTextFormattedCitation":"[97]","previouslyFormattedCitation":"(97)"},"properties":{"noteIndex":0},"schema":"https://github.com/citation-style-language/schema/raw/master/csl-citation.json"}</w:instrText>
      </w:r>
      <w:r w:rsidR="006D4AB8"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[97]</w:t>
      </w:r>
      <w:r w:rsidR="006D4AB8" w:rsidRPr="00916B3A">
        <w:rPr>
          <w:rFonts w:ascii="Times New Roman" w:hAnsi="Times New Roman" w:cs="Times New Roman"/>
          <w:sz w:val="28"/>
          <w:szCs w:val="28"/>
        </w:rPr>
        <w:fldChar w:fldCharType="end"/>
      </w:r>
      <w:r w:rsidR="00E17A7E" w:rsidRPr="00916B3A">
        <w:rPr>
          <w:rFonts w:ascii="Times New Roman" w:hAnsi="Times New Roman" w:cs="Times New Roman"/>
          <w:sz w:val="28"/>
          <w:szCs w:val="28"/>
        </w:rPr>
        <w:t xml:space="preserve">. </w:t>
      </w:r>
      <w:r w:rsidR="00BB0074" w:rsidRPr="00916B3A">
        <w:rPr>
          <w:rFonts w:ascii="Times New Roman" w:hAnsi="Times New Roman" w:cs="Times New Roman"/>
          <w:sz w:val="28"/>
          <w:szCs w:val="28"/>
        </w:rPr>
        <w:t xml:space="preserve">Немаловажную роль в процессах пролиферации клеток эндометрия и инвазии бластоцисты играют такие факторы, как интерлейкин (IL)-1β, сосудистый эндотелиальный ростовой фактор (VEGF), эпидермальный ростовой фактор (EGF), фактор роста фибробластов (FGF1), фактор ингибирования лейкемии (LIF). </w:t>
      </w:r>
      <w:r w:rsidR="002B4F84" w:rsidRPr="00916B3A">
        <w:rPr>
          <w:rFonts w:ascii="Times New Roman" w:hAnsi="Times New Roman" w:cs="Times New Roman"/>
          <w:sz w:val="28"/>
          <w:szCs w:val="28"/>
        </w:rPr>
        <w:t>Патофизиологические особенности «тонкого эндометрия» включают недостаточный рост железистого эпителия, снижение экспрессии фактора роста эндотелия сосудов (VEGF) и истощение кровеносных сосудов</w:t>
      </w:r>
      <w:r w:rsidR="003D36FD"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molmed.2011.11.006","ISSN":"1471-4914","author":[{"dropping-particle":"","family":"Li","given":"Xuri","non-dropping-particle":"","parse-names":false,"suffix":""},{"dropping-particle":"","family":"Kumar","given":"Anil","non-dropping-particle":"","parse-names":false,"suffix":""},{"dropping-particle":"","family":"Zhang","given":"Fan","non-dropping-particle":"","parse-names":false,"suffix":""},{"dropping-particle":"","family":"Lee","given":"Chunsik","non-dropping-particle":"","parse-names":false,"suffix":""},{"dropping-particle":"","family":"Tang","given":"Zhongshu","non-dropping-particle":"","parse-names":false,"suffix":""}],"container-title":"Trends in Molecular Medicine","id":"ITEM-1","issue":"2","issued":{"date-parts":[["2012","2","1"]]},"note":"doi: 10.1016/j.molmed.2011.11.006","page":"119-127","publisher":"Elsevier","title":"Complicated life, complicated VEGF-B","type":"article-journal","volume":"18"},"uris":["http://www.mendeley.com/documents/?uuid=209489d0-ec1a-48a3-85ae-ff5c8163f465"]}],"mendeley":{"formattedCitation":"[98]","plainTextFormattedCitation":"[98]","previouslyFormattedCitation":"(98)"},"properties":{"noteIndex":0},"schema":"https://github.com/citation-style-language/schema/raw/master/csl-citation.json"}</w:instrText>
      </w:r>
      <w:r w:rsidR="003D36FD"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[98]</w:t>
      </w:r>
      <w:r w:rsidR="003D36FD" w:rsidRPr="00916B3A">
        <w:rPr>
          <w:rFonts w:ascii="Times New Roman" w:hAnsi="Times New Roman" w:cs="Times New Roman"/>
          <w:sz w:val="28"/>
          <w:szCs w:val="28"/>
        </w:rPr>
        <w:fldChar w:fldCharType="end"/>
      </w:r>
      <w:r w:rsidR="002B4F84" w:rsidRPr="00916B3A">
        <w:rPr>
          <w:rFonts w:ascii="Times New Roman" w:hAnsi="Times New Roman" w:cs="Times New Roman"/>
          <w:sz w:val="28"/>
          <w:szCs w:val="28"/>
        </w:rPr>
        <w:t>. Это особенно актуально для патологических состояний, связанных с тонким эндометрием. В тонком эндометрии, в отличие от нормального, локальное микроокружение в фазе пролиферации характеризуется уменьшением количества стромальных, эпителиальных, естественных киллеров, Т-клеток и увеличением клеточного старения в периваскулярных клетках</w:t>
      </w:r>
      <w:r w:rsidR="002B4F84"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{"citationItems":[{"id":"ITEM-1","itemData":{"DOI":"10.1073/pnas.2115912119","ISSN":"10916490","PMID":"35169075","abstract":"Thin endometrium has been widely recognized as a critical cause of infertility, recurrent pregnancy loss, and placental abnormalities; however, access to effective treatment is a formidable challenge due to the rudimentary understanding of the pathogenesis of thin endometrium. Here, we profiled the transcriptomes of human endometrial cells at single-cell resolution to characterize cell types, their communications, and the underlying mechanism of endometrial growth in normal and thin endometrium during the proliferative phase. Stromal cells were the most abundant cell type in the endometrium, with a subpopulation of proliferating stromal cells whose cell cycle signaling pathways were compromised in thin endometrium. Both single-cell RNA sequencing and experimental verification revealed cellular senescence in the stroma and epithelium accompanied by collagen overdeposition around blood vessels. Moreover, decreased numbers of macrophages and natural killer cells further exacerbated endometrial thinness. In addition, our results uncovered aberrant SEMA3, EGF, PTN, and TWEAK signaling pathways as causes for the insufficient proliferation of the endometrium. Together, these data provide insight into therapeutic strategies for endometrial regeneration and growth to treat thin endometrium.","author":[{"dropping-particle":"","family":"Lv","given":"Haining","non-dropping-particle":"","parse-names":false,"suffix":""},{"dropping-particle":"","family":"Zhao","given":"Guangfeng","non-dropping-particle":"","parse-names":false,"suffix":""},{"dropping-particle":"","family":"Jiang","given":"Peipei","non-dropping-particle":"","parse-names":false,"suffix":""},{"dropping-particle":"","family":"Wang","given":"Huiyan","non-dropping-particle":"","parse-names":false,"suffix":""},{"dropping-particle":"","family":"Wang","given":"Zhiyin","non-dropping-particle":"","parse-names":false,"suffix":""},{"dropping-particle":"","family":"Yao","given":"Simin","non-dropping-particle":"","parse-names":false,"suffix":""},{"dropping-particle":"","family":"Zhou","given":"Zhenhua","non-dropping-particle":"","parse-names":false,"suffix":""},{"dropping-particle":"","family":"Wang","given":"Limin","non-dropping-particle":"","parse-names":false,"suffix":""},{"dropping-particle":"","family":"Liu","given":"Dan","non-dropping-particle":"","parse-names":false,"suffix":""},{"dropping-particle":"","family":"Deng","given":"Wenbo","non-dropping-particle":"","parse-names":false,"suffix":""},{"dropping-particle":"","family":"Dai","given":"Jianwu","non-dropping-particle":"","parse-names":false,"suffix":""},{"dropping-particle":"","family":"Hu","given":"Yali","non-dropping-particle":"","parse-names":false,"suffix":""}],"container-title":"Proceedings of the National Academy of Sciences of the United States of America","id":"ITEM-1","issue":"8","issued":{"date-parts":[["2022"]]},"page":"1-11","title":"Deciphering the endometrial niche of human thin endometrium at single-cell resolution","type":"article-journal","volume":"119"},"uris":["http://www.mendeley.com/documents/?uuid=9fe4668c-3e08-4178-9940-24a54e377f47"]}],"mendeley":{"formattedCitation":"[99]","plainTextFormattedCitation":"[99]","previouslyFormattedCitation":"(99)"},"properties":{"noteIndex":0},"schema":"https://github.com/citation-style-language/schema/raw/master/csl-citation.json"}</w:instrText>
      </w:r>
      <w:r w:rsidR="002B4F84"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[99]</w:t>
      </w:r>
      <w:r w:rsidR="002B4F84" w:rsidRPr="00916B3A">
        <w:rPr>
          <w:rFonts w:ascii="Times New Roman" w:hAnsi="Times New Roman" w:cs="Times New Roman"/>
          <w:sz w:val="28"/>
          <w:szCs w:val="28"/>
        </w:rPr>
        <w:fldChar w:fldCharType="end"/>
      </w:r>
      <w:r w:rsidR="002B4F84" w:rsidRPr="00916B3A">
        <w:rPr>
          <w:rFonts w:ascii="Times New Roman" w:hAnsi="Times New Roman" w:cs="Times New Roman"/>
        </w:rPr>
        <w:t>.</w:t>
      </w:r>
    </w:p>
    <w:p w14:paraId="6788C48D" w14:textId="7B4B5DA1" w:rsidR="00224767" w:rsidRPr="00916B3A" w:rsidRDefault="002B4F84" w:rsidP="00997125">
      <w:pPr>
        <w:pBdr>
          <w:bottom w:val="single" w:sz="4" w:space="31" w:color="FFFFFF"/>
        </w:pBdr>
        <w:tabs>
          <w:tab w:val="left" w:pos="0"/>
        </w:tabs>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Одним из критических факторов неудачи имплантации считается тонкий эндометрий, при котором толщина эндометрия в период «окна имплантации» составляет менее 7 мм.</w:t>
      </w:r>
      <w:r w:rsidRPr="00916B3A">
        <w:rPr>
          <w:rFonts w:ascii="Times New Roman" w:hAnsi="Times New Roman" w:cs="Times New Roman"/>
        </w:rPr>
        <w:t xml:space="preserve">  </w:t>
      </w:r>
      <w:r w:rsidR="006D4AB8" w:rsidRPr="00916B3A">
        <w:rPr>
          <w:rFonts w:ascii="Times New Roman" w:hAnsi="Times New Roman" w:cs="Times New Roman"/>
          <w:sz w:val="28"/>
          <w:szCs w:val="28"/>
        </w:rPr>
        <w:t>Для успешной имплантации требуется эмбрион высокого качества, эндометрий, готовый к восприятию, и их синхронность. Несмотря на достижения в области вспомогательных репродуктивных технологий, включая предимплантационный генетический скрининг, причины неудачных репродуктивных исходов многообразны. Эндометриальный фактор остается одним из основных факторов низкой успешности ЭКО, поскольку нарушение восприимчивости эндометрия является причиной двух третей неудачных имплантаций</w:t>
      </w:r>
      <w:r w:rsidR="006D4AB8"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{"citationItems":[{"id":"ITEM-1","itemData":{"DOI":"10.1186/s40738-018-0052-6","ISBN":"4073801800526","abstract":"Background: The origins of adverse reproductive outcome can be multifactorial, but the contribution of the maternal immune system is considered debatable. Elevated intracellular cytokine ratios have been proposed, although not universally supported, as a marker for immunological dysfunction in implantation and early pregnancy. Poor patient selection or inadequate treatment or testing may be confounding factors. Specific immunomodulation, in carefully selected sub-populations of ART patients with poor reproductive history, despite transfer of good quality blastocysts, may potentially improve clinical outcomes. Methods: Intracellular cytokine ratios (CKR) were prospectively assessed in 337 patients presenting with a history of implantation failure and/or pregnancy loss, prior to further treatment, and were found to be elevated in 150 (44.5%). Of this group, 134 agreed to initiate a standardised immunotherapy regime (nutraceuticals, prednisolone &amp; intralipids) to evaluate the efficacy of this proposed therapy. Of the intervention population, a small cohort (n = 70) delayed commencing ART for ~ 10 weeks to assess if extended pre-treatment nutraceutical supplementation could normalise CKRs prior to starting ART, and if this conferred additional benefit. Results: Baseline assessment in the intervention population (n = 134) identified 160 miscarriages from 180 total pregnancies (89% miscarriage rate, MR), conceived both spontaneously and by assisted reproduction. Post-treatment analysis of subsequent ART cycles revealed a significant improvement in both implantation (OR 3.0, 2.0-4.5) and miscarriage rates (41/97, 42.2% MR, P &lt; 0.001). Interestingly, pre-treatment normalisation of CKRs appeared to impart marginal extra benefit prior to subsequent fertility treatment with immunotherapy. Conclusions: Following immunomodulation, significant improvements in both implantation rate and miscarriage rate were seen in this poor prognosis population. This suggests a possible role for both detailed immuno-evaluation of patients with poor reproductive history with good embryo quality, and application of personalised immunotherapy regimes alongside ART in selected cases. Future randomised controlled trials are needed to definitively evaluate this potentially promising therapeutic approach.","author":[{"dropping-particle":"","family":"Harrity","given":"Conor","non-dropping-particle":"","parse-names":false,"suffix":""},{"dropping-particle":"","family":"Shkrobot","given":"Lyuda","non-dropping-particle":"","parse-names":false,"suffix":""},{"dropping-particle":"","family":"Walsh","given":"David","non-dropping-particle":"","parse-names":false,"suffix":""},{"dropping-particle":"","family":"Marron","given":"Kevin","non-dropping-particle":"","parse-names":false,"suffix":""}],"container-title":"Fertility Research and Practice","id":"ITEM-1","issue":"1","issued":{"date-parts":[["2018"]]},"page":"1-9","publisher":"Fertility Research and Practice","title":"ART implantation failure and miscarriage in patients with elevated intracellular cytokine ratios: response to immune support therapy","type":"article-journal","volume":"4"},"uris":["http://www.mendeley.com/documents/?uuid=bccd054d-2745-4cfd-b599-f05c6befe099"]}],"mendeley":{"formattedCitation":"[100]","plainTextFormattedCitation":"[100]","previouslyFormattedCitation":"(100)"},"properties":{"noteIndex":0},"schema":"https://github.com/citation-style-language/schema/raw/master/csl-citation.json"}</w:instrText>
      </w:r>
      <w:r w:rsidR="006D4AB8"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[100]</w:t>
      </w:r>
      <w:r w:rsidR="006D4AB8" w:rsidRPr="00916B3A">
        <w:rPr>
          <w:rFonts w:ascii="Times New Roman" w:hAnsi="Times New Roman" w:cs="Times New Roman"/>
          <w:sz w:val="28"/>
          <w:szCs w:val="28"/>
        </w:rPr>
        <w:fldChar w:fldCharType="end"/>
      </w:r>
      <w:r w:rsidR="00BF5664" w:rsidRPr="00916B3A">
        <w:rPr>
          <w:rFonts w:ascii="Times New Roman" w:hAnsi="Times New Roman" w:cs="Times New Roman"/>
          <w:sz w:val="28"/>
          <w:szCs w:val="28"/>
        </w:rPr>
        <w:t>.</w:t>
      </w:r>
    </w:p>
    <w:p w14:paraId="57DE00B1" w14:textId="6055DA8A" w:rsidR="00224767" w:rsidRPr="00916B3A" w:rsidRDefault="00E17A7E" w:rsidP="002B5C33">
      <w:pPr>
        <w:pBdr>
          <w:bottom w:val="single" w:sz="4" w:space="31" w:color="FFFFFF"/>
        </w:pBdr>
        <w:tabs>
          <w:tab w:val="left" w:pos="0"/>
        </w:tabs>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Существующие методы лечения не способны достичь удовлетворительных клинических эффектов у многих п</w:t>
      </w:r>
      <w:r w:rsidR="00ED2CEC" w:rsidRPr="00916B3A">
        <w:rPr>
          <w:rFonts w:ascii="Times New Roman" w:hAnsi="Times New Roman" w:cs="Times New Roman"/>
          <w:sz w:val="28"/>
          <w:szCs w:val="28"/>
        </w:rPr>
        <w:t>ациенток с тонким эндометрием</w:t>
      </w:r>
      <w:r w:rsidR="00ED2CEC"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{"citationItems":[{"id":"ITEM-1","itemData":{"DOI":"10.1016/j.biopha.2018.03.091","ISSN":"19506007","PMID":"29571018","abstract":"The endometrium is one of the essential components of the uterus. The endometrium of human is a complex and dynamic tissue, which undergoes periods of growth and turn over during any menstrual cycle. Stem cells are initially undifferentiated cells that display a wide range of differentiation potential with no distinct morphological features. Stem cell therapy method recently has become a novel procedure for treatment of tissue injury and fibrosis in response to damage. Currently, there is massive interest in stem cells as a novel treatment method for regenerative medicine and more specifically for the regeneration of human endometrium disorder like Asherman syndrome (AS) and thin endometrium. AS also known as intrauterine adhesion (IUA) is a uterine disorder with the aberrant creation of adhesions within the uterus and/or cervix. Patients with IUA are significantly associated with menstrual abnormalities and suffer from pelvic pain. In addition, IUA might prevent implantation of the blastocyst, impair the blood supply to the uterus and early fetus, and finally result in the recurrent miscarriage or infertility in the AS patients. It has been evidenced that the transplantation of different stem cells with a diverse source in the endometrial zone had effects on endometrium such as declined the fibrotic area, an elevated number of glands, stimulated angiogenesis, the enhanced thickness of the endometrium, better formed tissue construction, protected gestation, and improved pregnancy rate. This study presents a summary of the investigations that indicate the key role of stem cell therapy in regeneration and renovation of defective parts.","author":[{"dropping-particle":"","family":"Azizi","given":"Ramyar","non-dropping-particle":"","parse-names":false,"suffix":""},{"dropping-particle":"","family":"Aghebati-Maleki","given":"Leili","non-dropping-particle":"","parse-names":false,"suffix":""},{"dropping-particle":"","family":"Nouri","given":"Mohammad","non-dropping-particle":"","parse-names":false,"suffix":""},{"dropping-particle":"","family":"Marofi","given":"Faroogh","non-dropping-particle":"","parse-names":false,"suffix":""},{"dropping-particle":"","family":"Negargar","given":"Sohrab","non-dropping-particle":"","parse-names":false,"suffix":""},{"dropping-particle":"","family":"Yousefi","given":"Mehdi","non-dropping-particle":"","parse-names":false,"suffix":""}],"container-title":"Biomedicine and Pharmacotherapy","id":"ITEM-1","issue":"March","issued":{"date-parts":[["2018"]]},"page":"333-343","title":"Stem cell therapy in Asherman syndrome and thin endometrium: Stem cell- based therapy","type":"article-journal","volume":"102"},"uris":["http://www.mendeley.com/documents/?uuid=7f39ef49-a10e-4d2e-b8d0-56aa727f400e"]}],"mendeley":{"formattedCitation":"[101]","plainTextFormattedCitation":"[101]","previouslyFormattedCitation":"(101)"},"properties":{"noteIndex":0},"schema":"https://github.com/citation-style-language/schema/raw/master/csl-citation.json"}</w:instrText>
      </w:r>
      <w:r w:rsidR="00ED2CEC"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[101]</w:t>
      </w:r>
      <w:r w:rsidR="00ED2CEC" w:rsidRPr="00916B3A">
        <w:rPr>
          <w:rFonts w:ascii="Times New Roman" w:hAnsi="Times New Roman" w:cs="Times New Roman"/>
          <w:sz w:val="28"/>
          <w:szCs w:val="28"/>
        </w:rPr>
        <w:fldChar w:fldCharType="end"/>
      </w:r>
      <w:r w:rsidRPr="00916B3A">
        <w:rPr>
          <w:rFonts w:ascii="Times New Roman" w:hAnsi="Times New Roman" w:cs="Times New Roman"/>
          <w:sz w:val="28"/>
          <w:szCs w:val="28"/>
        </w:rPr>
        <w:t>. В рецептивной фазе эндометрия у здоровой женщины большое количество генов, представляющих различные сигнальные пути и мета-сигнатуры, д</w:t>
      </w:r>
      <w:r w:rsidR="00ED2CEC" w:rsidRPr="00916B3A">
        <w:rPr>
          <w:rFonts w:ascii="Times New Roman" w:hAnsi="Times New Roman" w:cs="Times New Roman"/>
          <w:sz w:val="28"/>
          <w:szCs w:val="28"/>
        </w:rPr>
        <w:t>ифференциально экспрессируются</w:t>
      </w:r>
      <w:r w:rsidR="00ED2CEC"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10.1186/s40738-019-0059-7","author":[{"dropping-particle":"","family":"Messaoudi","given":"Soumaya","non-dropping-particle":"","parse-names":false,"suffix":""},{"dropping-particle":"","family":"Kasmi","given":"Imane","non-dropping-particle":"EL","parse-names":false,"suffix":""},{"dropping-particle":"","family":"Bourdiec","given":"Amelie","non-dropping-particle":"","parse-names":false,"suffix":""},{"dropping-particle":"","family":"Crespo","given":"Kimberley","non-dropping-particle":"","parse-names":false,"suffix":""},{"dropping-particle":"","family":"Bissonnette","given":"Laurence","non-dropping-particle":"","parse-names":false,"suffix":""},{"dropping-particle":"","family":"Saint","given":"Cecile","non-dropping-particle":"Le","parse-names":false,"suffix":""},{"dropping-particle":"","family":"Bissonnette","given":"François","non-dropping-particle":"","parse-names":false,"suffix":""},{"dropping-particle":"","family":"Kadoch","given":"Isaac-Jacques","non-dropping-particle":"","parse-names":false,"suffix":""}],"container-title":"Fertility Research and Practice","id":"ITEM-1","issue":"1","issued":{"date-parts":[["2019"]]},"page":"1-9","publisher":"Fertility Research and Practice","title":"15 Years of Transcriptomic Analysis on Endometrial Receptivity: What Have We Learnt?","type":"article-journal","volume":"5"},"uris":["http://www.mendeley.com/documents/?uuid=5b68027d-ff44-44aa-853e-b003b94f23ec"]}],"mendeley":{"formattedCitation":"[89]","plainTextFormattedCitation":"[89]","previouslyFormattedCitation":"(89)"},"properties":{"noteIndex":0},"schema":"https://github.com/citation-style-language/schema/raw/master/csl-citation.json"}</w:instrText>
      </w:r>
      <w:r w:rsidR="00ED2CEC" w:rsidRPr="00916B3A">
        <w:rPr>
          <w:rFonts w:ascii="Times New Roman" w:hAnsi="Times New Roman" w:cs="Times New Roman"/>
          <w:sz w:val="28"/>
          <w:szCs w:val="28"/>
        </w:rPr>
        <w:fldChar w:fldCharType="separate"/>
      </w:r>
      <w:r w:rsidR="008E694E">
        <w:rPr>
          <w:rFonts w:ascii="Times New Roman" w:hAnsi="Times New Roman" w:cs="Times New Roman"/>
          <w:noProof/>
          <w:sz w:val="28"/>
          <w:szCs w:val="28"/>
        </w:rPr>
        <w:t>[</w:t>
      </w:r>
      <w:r w:rsidR="00006148" w:rsidRPr="008C6800">
        <w:rPr>
          <w:rFonts w:ascii="Times New Roman" w:hAnsi="Times New Roman" w:cs="Times New Roman"/>
          <w:noProof/>
          <w:sz w:val="28"/>
          <w:szCs w:val="28"/>
        </w:rPr>
        <w:t>90</w:t>
      </w:r>
      <w:r w:rsidR="008E694E">
        <w:rPr>
          <w:rFonts w:ascii="Times New Roman" w:hAnsi="Times New Roman" w:cs="Times New Roman"/>
          <w:noProof/>
          <w:sz w:val="28"/>
          <w:szCs w:val="28"/>
        </w:rPr>
        <w:t>, с. 220</w:t>
      </w:r>
      <w:r w:rsidR="008C6800" w:rsidRPr="008C6800">
        <w:rPr>
          <w:rFonts w:ascii="Times New Roman" w:hAnsi="Times New Roman" w:cs="Times New Roman"/>
          <w:noProof/>
          <w:sz w:val="28"/>
          <w:szCs w:val="28"/>
        </w:rPr>
        <w:t>]</w:t>
      </w:r>
      <w:r w:rsidR="00ED2CEC" w:rsidRPr="00916B3A">
        <w:rPr>
          <w:rFonts w:ascii="Times New Roman" w:hAnsi="Times New Roman" w:cs="Times New Roman"/>
          <w:sz w:val="28"/>
          <w:szCs w:val="28"/>
        </w:rPr>
        <w:fldChar w:fldCharType="end"/>
      </w:r>
      <w:r w:rsidRPr="00916B3A">
        <w:rPr>
          <w:rFonts w:ascii="Times New Roman" w:hAnsi="Times New Roman" w:cs="Times New Roman"/>
          <w:sz w:val="28"/>
          <w:szCs w:val="28"/>
        </w:rPr>
        <w:t>. Однако многие исследователи предложили использовать наиболее часто встречающиес</w:t>
      </w:r>
      <w:r w:rsidR="00ED2CEC" w:rsidRPr="00916B3A">
        <w:rPr>
          <w:rFonts w:ascii="Times New Roman" w:hAnsi="Times New Roman" w:cs="Times New Roman"/>
          <w:sz w:val="28"/>
          <w:szCs w:val="28"/>
        </w:rPr>
        <w:t>я гены для дальнейшего анализа</w:t>
      </w:r>
      <w:r w:rsidR="00ED2CEC" w:rsidRPr="00916B3A">
        <w:rPr>
          <w:rFonts w:ascii="Times New Roman" w:hAnsi="Times New Roman" w:cs="Times New Roman"/>
          <w:sz w:val="28"/>
          <w:szCs w:val="28"/>
        </w:rPr>
        <w:fldChar w:fldCharType="begin" w:fldLock="1"/>
      </w:r>
      <w:r w:rsidR="008E694E">
        <w:rPr>
          <w:rFonts w:ascii="Times New Roman" w:hAnsi="Times New Roman" w:cs="Times New Roman"/>
          <w:sz w:val="28"/>
          <w:szCs w:val="28"/>
        </w:rPr>
        <w:instrText>ADDIN CSL_CITATION {"citationItems":[{"id":"ITEM-1","itemData":{"DOI":"10.1038/s41598-017-10098-3","ISSN":"20452322","PMID":"28855728","abstract":"Previous transcriptome studies of the human endometrium have revealed hundreds of simultaneously up-and down-regulated genes that are involved in endometrial receptivity. However, the overlap between the studies is relatively small, and we are still searching for potential diagnostic biomarkers. Here we perform a meta-analysis of endometrial-receptivity associated genes on 164 endometrial samples (76 from 'pre-receptive' and 88 from mid-secretory, 'receptive' phase endometria) using a robust rank aggregation (RRA) method, followed by enrichment analysis, and regulatory microRNA prediction. We identify a meta-signature of endometrial receptivity involving 57 mRNA genes as putative receptivity markers, where 39 of these we confirm experimentally using RNA-sequencing method in two separate datasets. The meta-signature genes highlight the importance of immune responses, the complement cascade pathway and the involvement of exosomes in mid-secretory endometrial functions. Bioinformatic prediction identifies 348 microRNAs that could regulate 30 endometrial-receptivity associated genes, and we confirm experimentally the decreased expression of 19 microRNAs with 11 corresponding up-regulated meta-signature genes in our validation experiments. The 57 identified meta-signature genes and involved pathways, together with their regulatory microRNAs could serve as promising and sought-after biomarkers of endometrial receptivity, fertility and infertility.","author":[{"dropping-particle":"","family":"Altmäe","given":"Signe","non-dropping-particle":"","parse-names":false,"suffix":""},{"dropping-particle":"","family":"Koel","given":"Mariann","non-dropping-particle":"","parse-names":false,"suffix":""},{"dropping-particle":"","family":"Võsa","given":"Urmo","non-dropping-particle":"","parse-names":false,"suffix":""},{"dropping-particle":"","family":"Adler","given":"Priit","non-dropping-particle":"","parse-names":false,"suffix":""},{"dropping-particle":"","family":"Suhorutšenko","given":"Marina","non-dropping-particle":"","parse-names":false,"suffix":""},{"dropping-particle":"","family":"Laisk-Podar","given":"Triin","non-dropping-particle":"","parse-names":false,"suffix":""},{"dropping-particle":"","family":"Kukushkina","given":"Viktorija","non-dropping-particle":"","parse-names":false,"suffix":""},{"dropping-particle":"","family":"Saare","given":"Merli","non-dropping-particle":"","parse-names":false,"suffix":""},{"dropping-particle":"","family":"Velthut-Meikas","given":"Agne","non-dropping-particle":"","parse-names":false,"suffix":""},{"dropping-particle":"","family":"Krjutškov","given":"Kaarel","non-dropping-particle":"","parse-names":false,"suffix":""},{"dropping-particle":"","family":"Aghajanova","given":"Lusine","non-dropping-particle":"","parse-names":false,"suffix":""},{"dropping-particle":"","family":"Lalitkumar","given":"Parameswaran G.","non-dropping-particle":"","parse-names":false,"suffix":""},{"dropping-particle":"","family":"Gemzell-Danielsson","given":"Kristina","non-dropping-particle":"","parse-names":false,"suffix":""},{"dropping-particle":"","family":"Giudice","given":"Linda","non-dropping-particle":"","parse-names":false,"suffix":""},{"dropping-particle":"","family":"Simón","given":"Carlos","non-dropping-particle":"","parse-names":false,"suffix":""},{"dropping-particle":"","family":"Salumets","given":"Andres","non-dropping-particle":"","parse-names":false,"suffix":""}],"container-title":"Scientific Reports","id":"ITEM-1","issue":"1","issued":{"date-parts":[["2017"]]},"page":"1-15","title":"Meta-signature of human endometrial receptivity: A meta-analysis and validation study of transcriptomic biomarkers","type":"article-journal","volume":"7"},"uris":["http://www.mendeley.com/documents/?uuid=e7246d17-300f-4dfe-8673-688897815e94"]}],"mendeley":{"formattedCitation":"[95]","manualFormatting":"[102]","plainTextFormattedCitation":"[95]","previouslyFormattedCitation":"(95)"},"properties":{"noteIndex":0},"schema":"https://github.com/citation-style-language/schema/raw/master/csl-citation.json"}</w:instrText>
      </w:r>
      <w:r w:rsidR="00ED2CEC"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w:t>
      </w:r>
      <w:r w:rsidR="00006148" w:rsidRPr="008C6800">
        <w:rPr>
          <w:rFonts w:ascii="Times New Roman" w:hAnsi="Times New Roman" w:cs="Times New Roman"/>
          <w:noProof/>
          <w:sz w:val="28"/>
          <w:szCs w:val="28"/>
        </w:rPr>
        <w:t>102</w:t>
      </w:r>
      <w:r w:rsidR="008C6800" w:rsidRPr="008C6800">
        <w:rPr>
          <w:rFonts w:ascii="Times New Roman" w:hAnsi="Times New Roman" w:cs="Times New Roman"/>
          <w:noProof/>
          <w:sz w:val="28"/>
          <w:szCs w:val="28"/>
        </w:rPr>
        <w:t>]</w:t>
      </w:r>
      <w:r w:rsidR="00ED2CEC" w:rsidRPr="00916B3A">
        <w:rPr>
          <w:rFonts w:ascii="Times New Roman" w:hAnsi="Times New Roman" w:cs="Times New Roman"/>
          <w:sz w:val="28"/>
          <w:szCs w:val="28"/>
        </w:rPr>
        <w:fldChar w:fldCharType="end"/>
      </w:r>
      <w:r w:rsidR="00ED2CEC"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{"citationItems":[{"id":"ITEM-1","itemData":{"DOI":"10.3389/fphys.2022.1050690","ISSN":"1664042X","abstract":"Background: The endometrial thickness is a key factor for successful implantation. Thin endometrium is associated with lower implantation rate and pregnancy rate. Lacking of a better understanding for the cellular and molecular mechanisms of thin endometrium, managing patients with thin endometrium still represents a major challenge for clinicians. Methods: In this study, we combined four single-cell RNA sequencing (scRNA-seq) and one bulk sequencing (bulk-seq) data for thin endometrium to perform an integrated analysis for endometrial cells in proliferating phase. Cell proportion and differentially expressed genes (DEGs) were analyzed to determine the disease-specific cell type and signaling pathways. The cell-cell communication among cell types were inferred by “CellChat” to illustrate the differential intercellular communication under normal and thin endometrium conditions. GSEA and GSVA were applied to identify dysfunctional signals and metabolic pathways before and after thin endometrium. Results: Integration of scRNA-seq identified eight cell types. The proportion of stromal cells showed a significant difference between normal and thin endometrial tissue. The DEGs in diverse cell types revealed enriched pathways in a cell-specific manner. Aberrant cell-cell signaling transduction was found in almost all cell types, especially in immune cells and epithelial cells. Furthermore, dysfunctional metabolic signaling pathways were induced in a cell-type dependent way. The down-regulation of carbohydrate metabolism and nucleotide metabolism was observed and the energy metabolism switch was indicated. Conclusion: Conclusively, we discover dysfunctional signals and metabolic pathways in thin endometrium, providing insight into mechanisms and therapeutic strategies for the atrophic endometrium.","author":[{"dropping-particle":"","family":"Xu","given":"Liang","non-dropping-particle":"","parse-names":false,"suffix":""},{"dropping-particle":"","family":"Fan","given":"Yingying","non-dropping-particle":"","parse-names":false,"suffix":""},{"dropping-particle":"","family":"Wang","given":"Jianjun","non-dropping-particle":"","parse-names":false,"suffix":""},{"dropping-particle":"","family":"Shi","given":"Rui","non-dropping-particle":"","parse-names":false,"suffix":""}],"container-title":"Frontiers in Physiology","id":"ITEM-1","issue":"November","issued":{"date-parts":[["2022"]]},"page":"1-12","title":"Dysfunctional intercellular communication and metabolic signaling pathways in thin endometrium","type":"article-journal","volume":"13"},"uris":["http://www.mendeley.com/documents/?uuid=8e643977-d7a1-408f-8e97-33c71b816f4d"]}],"mendeley":{"formattedCitation":"[102]","plainTextFormattedCitation":"[102]","previouslyFormattedCitation":"(102)"},"properties":{"noteIndex":0},"schema":"https://github.com/citation-style-language/schema/raw/master/csl-citation.json"}</w:instrText>
      </w:r>
      <w:r w:rsidR="00ED2CEC" w:rsidRPr="00916B3A">
        <w:rPr>
          <w:rFonts w:ascii="Times New Roman" w:hAnsi="Times New Roman" w:cs="Times New Roman"/>
          <w:sz w:val="28"/>
          <w:szCs w:val="28"/>
        </w:rPr>
        <w:fldChar w:fldCharType="end"/>
      </w:r>
      <w:r w:rsidRPr="00916B3A">
        <w:rPr>
          <w:rFonts w:ascii="Times New Roman" w:hAnsi="Times New Roman" w:cs="Times New Roman"/>
          <w:sz w:val="28"/>
          <w:szCs w:val="28"/>
        </w:rPr>
        <w:t xml:space="preserve">. </w:t>
      </w:r>
    </w:p>
    <w:p w14:paraId="0A1D341D" w14:textId="3C6F7614" w:rsidR="00224767" w:rsidRPr="00916B3A" w:rsidRDefault="00224767" w:rsidP="00997125">
      <w:pPr>
        <w:pBdr>
          <w:bottom w:val="single" w:sz="4" w:space="31" w:color="FFFFFF"/>
        </w:pBdr>
        <w:tabs>
          <w:tab w:val="left" w:pos="0"/>
        </w:tabs>
        <w:autoSpaceDE w:val="0"/>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Анализ онтологии генов показал, что широко распространенные метасигнатуры представлены генами иммунного ответа, включая каскад провоспалительных сигналов (</w:t>
      </w:r>
      <w:r w:rsidRPr="00916B3A">
        <w:rPr>
          <w:rFonts w:ascii="Times New Roman" w:hAnsi="Times New Roman" w:cs="Times New Roman"/>
          <w:iCs/>
          <w:sz w:val="28"/>
          <w:szCs w:val="28"/>
        </w:rPr>
        <w:t xml:space="preserve">CXC мотив хемокиновый лиганд 8 (CXCL8) </w:t>
      </w:r>
      <w:r w:rsidRPr="00916B3A">
        <w:rPr>
          <w:rFonts w:ascii="Times New Roman" w:hAnsi="Times New Roman" w:cs="Times New Roman"/>
          <w:sz w:val="28"/>
          <w:szCs w:val="28"/>
        </w:rPr>
        <w:t xml:space="preserve">и </w:t>
      </w:r>
      <w:r w:rsidRPr="00916B3A">
        <w:rPr>
          <w:rFonts w:ascii="Times New Roman" w:hAnsi="Times New Roman" w:cs="Times New Roman"/>
          <w:iCs/>
          <w:sz w:val="28"/>
          <w:szCs w:val="28"/>
        </w:rPr>
        <w:t>CXC мотив хемокиновый лиганд 1 (CXCL1</w:t>
      </w:r>
      <w:r w:rsidRPr="00916B3A">
        <w:rPr>
          <w:rFonts w:ascii="Times New Roman" w:hAnsi="Times New Roman" w:cs="Times New Roman"/>
          <w:sz w:val="28"/>
          <w:szCs w:val="28"/>
        </w:rPr>
        <w:t>)), каскад комплемента (</w:t>
      </w:r>
      <w:r w:rsidRPr="00916B3A">
        <w:rPr>
          <w:rFonts w:ascii="Times New Roman" w:hAnsi="Times New Roman" w:cs="Times New Roman"/>
          <w:iCs/>
          <w:sz w:val="28"/>
          <w:szCs w:val="28"/>
        </w:rPr>
        <w:t>альфа белок,  связывающий 4 компонент комплемента (C4BPA))</w:t>
      </w:r>
      <w:r w:rsidRPr="00916B3A">
        <w:rPr>
          <w:rFonts w:ascii="Times New Roman" w:hAnsi="Times New Roman" w:cs="Times New Roman"/>
          <w:sz w:val="28"/>
          <w:szCs w:val="28"/>
        </w:rPr>
        <w:t>, аномальную активацию врожденной и адаптивной иммунной системы (</w:t>
      </w:r>
      <w:r w:rsidRPr="00916B3A">
        <w:rPr>
          <w:rFonts w:ascii="Times New Roman" w:hAnsi="Times New Roman" w:cs="Times New Roman"/>
          <w:iCs/>
          <w:sz w:val="28"/>
          <w:szCs w:val="28"/>
        </w:rPr>
        <w:t>интерлейкин 15 (IL-15)</w:t>
      </w:r>
      <w:r w:rsidRPr="00916B3A">
        <w:rPr>
          <w:rFonts w:ascii="Times New Roman" w:hAnsi="Times New Roman" w:cs="Times New Roman"/>
          <w:sz w:val="28"/>
          <w:szCs w:val="28"/>
        </w:rPr>
        <w:t xml:space="preserve">, </w:t>
      </w:r>
      <w:r w:rsidRPr="00916B3A">
        <w:rPr>
          <w:rFonts w:ascii="Times New Roman" w:hAnsi="Times New Roman" w:cs="Times New Roman"/>
          <w:iCs/>
          <w:sz w:val="28"/>
          <w:szCs w:val="28"/>
        </w:rPr>
        <w:t xml:space="preserve">транскрипт 2, экспрессируемый в сердце и производных нервного гребня (HAND2) </w:t>
      </w:r>
      <w:r w:rsidRPr="00916B3A">
        <w:rPr>
          <w:rFonts w:ascii="Times New Roman" w:hAnsi="Times New Roman" w:cs="Times New Roman"/>
          <w:sz w:val="28"/>
          <w:szCs w:val="28"/>
        </w:rPr>
        <w:t xml:space="preserve">и </w:t>
      </w:r>
      <w:r w:rsidRPr="00916B3A">
        <w:rPr>
          <w:rFonts w:ascii="Times New Roman" w:hAnsi="Times New Roman" w:cs="Times New Roman"/>
          <w:iCs/>
          <w:sz w:val="28"/>
          <w:szCs w:val="28"/>
        </w:rPr>
        <w:t>интерферон гамма (INFG))</w:t>
      </w:r>
      <w:r w:rsidRPr="00916B3A">
        <w:rPr>
          <w:rFonts w:ascii="Times New Roman" w:hAnsi="Times New Roman" w:cs="Times New Roman"/>
          <w:sz w:val="28"/>
          <w:szCs w:val="28"/>
        </w:rPr>
        <w:t>, сосудистую пролиферацию (</w:t>
      </w:r>
      <w:r w:rsidRPr="00916B3A">
        <w:rPr>
          <w:rFonts w:ascii="Times New Roman" w:hAnsi="Times New Roman" w:cs="Times New Roman"/>
          <w:iCs/>
          <w:sz w:val="28"/>
          <w:szCs w:val="28"/>
        </w:rPr>
        <w:t>сосудистый эндотелиальный фактор роста B (VEGF-B))</w:t>
      </w:r>
      <w:r w:rsidRPr="00916B3A">
        <w:rPr>
          <w:rFonts w:ascii="Times New Roman" w:hAnsi="Times New Roman" w:cs="Times New Roman"/>
          <w:sz w:val="28"/>
          <w:szCs w:val="28"/>
        </w:rPr>
        <w:t>, разрушение внеклеточного матрикса и ремоделирование тканей (</w:t>
      </w:r>
      <w:r w:rsidRPr="00916B3A">
        <w:rPr>
          <w:rFonts w:ascii="Times New Roman" w:hAnsi="Times New Roman" w:cs="Times New Roman"/>
          <w:iCs/>
          <w:sz w:val="28"/>
          <w:szCs w:val="28"/>
        </w:rPr>
        <w:t>матриксная металлопептидаза 10 (MMP10</w:t>
      </w:r>
      <w:r w:rsidRPr="00916B3A">
        <w:rPr>
          <w:rFonts w:ascii="Times New Roman" w:hAnsi="Times New Roman" w:cs="Times New Roman"/>
          <w:sz w:val="28"/>
          <w:szCs w:val="28"/>
        </w:rPr>
        <w:t>), генерацию пуриновых нуклеотидов (</w:t>
      </w:r>
      <w:r w:rsidRPr="00916B3A">
        <w:rPr>
          <w:rFonts w:ascii="Times New Roman" w:hAnsi="Times New Roman" w:cs="Times New Roman"/>
          <w:iCs/>
          <w:sz w:val="28"/>
          <w:szCs w:val="28"/>
        </w:rPr>
        <w:t>гипоксантинфосфорибозил</w:t>
      </w:r>
      <w:r w:rsidR="0039093F" w:rsidRPr="00916B3A">
        <w:rPr>
          <w:rFonts w:ascii="Times New Roman" w:hAnsi="Times New Roman" w:cs="Times New Roman"/>
          <w:iCs/>
          <w:sz w:val="28"/>
          <w:szCs w:val="28"/>
        </w:rPr>
        <w:t>-</w:t>
      </w:r>
      <w:r w:rsidRPr="00916B3A">
        <w:rPr>
          <w:rFonts w:ascii="Times New Roman" w:hAnsi="Times New Roman" w:cs="Times New Roman"/>
          <w:iCs/>
          <w:sz w:val="28"/>
          <w:szCs w:val="28"/>
        </w:rPr>
        <w:t xml:space="preserve">трансфераза 1 (HPRT1 </w:t>
      </w:r>
      <w:r w:rsidRPr="00916B3A">
        <w:rPr>
          <w:rFonts w:ascii="Times New Roman" w:hAnsi="Times New Roman" w:cs="Times New Roman"/>
          <w:sz w:val="28"/>
          <w:szCs w:val="28"/>
        </w:rPr>
        <w:t>)) и клеточной адгезии (</w:t>
      </w:r>
      <w:r w:rsidRPr="00916B3A">
        <w:rPr>
          <w:rFonts w:ascii="Times New Roman" w:hAnsi="Times New Roman" w:cs="Times New Roman"/>
          <w:iCs/>
          <w:sz w:val="28"/>
          <w:szCs w:val="28"/>
        </w:rPr>
        <w:t>тенасцин С (TNC)</w:t>
      </w:r>
      <w:r w:rsidR="00E17A7E" w:rsidRPr="00916B3A">
        <w:rPr>
          <w:rFonts w:ascii="Times New Roman" w:hAnsi="Times New Roman" w:cs="Times New Roman"/>
          <w:iCs/>
          <w:sz w:val="28"/>
          <w:szCs w:val="28"/>
        </w:rPr>
        <w:t>)</w:t>
      </w:r>
      <w:r w:rsidR="00234A06" w:rsidRPr="00916B3A">
        <w:rPr>
          <w:rFonts w:ascii="Times New Roman" w:hAnsi="Times New Roman" w:cs="Times New Roman"/>
          <w:iCs/>
          <w:sz w:val="28"/>
          <w:szCs w:val="28"/>
        </w:rPr>
        <w:fldChar w:fldCharType="begin" w:fldLock="1"/>
      </w:r>
      <w:r w:rsidR="008C6800">
        <w:rPr>
          <w:rFonts w:ascii="Times New Roman" w:hAnsi="Times New Roman" w:cs="Times New Roman"/>
          <w:iCs/>
          <w:sz w:val="28"/>
          <w:szCs w:val="28"/>
        </w:rPr>
        <w:instrText>ADDIN CSL_CITATION {"citationItems":[{"id":"ITEM-1","itemData":{"DOI":"10.1074/jbc.ra120.012753","ISSN":"1083351X","PMID":"32444497","abstract":"Cyclic changes of the human endometrium, such as proliferation, secretion, and decidualization, occur during regular menstrual cycles. Heart– and neural crest derivatives–expressed transcript 2 (HAND2) is a key transcription factor in progestin-induced decidualization of human endometrial stromal cells (ESCs). It has been suggested that HAND2 regulates interleukin 15 (IL15), a key immune factor required for the activation and survival of uterine natural killer (uNK) cells. Activated uNK cells can promote spiral artery remodeling and secrete cytokines to induce immunotolerance. To date, no studies have evaluated the transcription factors that regulate IL15 expression in human ESCs. In the present study, we examined whether HAND2 controls IL15 transcriptional regulation in human ESCs. Quantitative RT-PCR and histological analyses revealed that HAND2 and IL15 levels increase considerably in the secretory phase of human endometrium tissues. Results from ChIP-quantitative PCR suggested that HAND2 binds to a putative HAND2 motif, which we identified in the upstream region of the human IL15 gene through in silico analysis. Using a luciferase reporter assay, we found that the upstream region of the human IL15 gene up-regulates reporter gene activities in response to estradiol and a progestin representative (medroxyprogesterone) in ESCs. The upstream region of the human IL15 gene also exhibited increasing responsiveness to transfection with a HAND2 expression vector. Of note, deletion and substitution variants of the putative HAND2 motif in the upstream region of IL15 did not respond to HAND2 transfection. These findings confirm that HAND2 directly up-regulates human IL15 transcription in ESCs.","author":[{"dropping-particle":"","family":"Murata","given":"Hiromi","non-dropping-particle":"","parse-names":false,"suffix":""},{"dropping-particle":"","family":"Tanaka","given":"Susumu","non-dropping-particle":"","parse-names":false,"suffix":""},{"dropping-particle":"","family":"Tsuzuki-Nakao","given":"Tomoko","non-dropping-particle":"","parse-names":false,"suffix":""},{"dropping-particle":"","family":"Kido","given":"Takeharu","non-dropping-particle":"","parse-names":false,"suffix":""},{"dropping-particle":"","family":"Kakita-Kobayashi","given":"Maiko","non-dropping-particle":"","parse-names":false,"suffix":""},{"dropping-particle":"","family":"Kida","given":"Naoko","non-dropping-particle":"","parse-names":false,"suffix":""},{"dropping-particle":"","family":"Hisamatsu","given":"Yoji","non-dropping-particle":"","parse-names":false,"suffix":""},{"dropping-particle":"","family":"Tsubokura","given":"Hiroaki","non-dropping-particle":"","parse-names":false,"suffix":""},{"dropping-particle":"","family":"Hashimoto","given":"Yoshiko","non-dropping-particle":"","parse-names":false,"suffix":""},{"dropping-particle":"","family":"Kitada","given":"Masaaki","non-dropping-particle":"","parse-names":false,"suffix":""},{"dropping-particle":"","family":"Okada","given":"Hidetaka","non-dropping-particle":"","parse-names":false,"suffix":""}],"container-title":"Journal of Biological Chemistry","id":"ITEM-1","issue":"28","issued":{"date-parts":[["2020"]]},"page":"9596-9605","publisher":"Â© 2020 Murata et al.","title":"The transcription factor HAND2 up-regulates transcription of the IL15 gene in human endometrial stromal cells","type":"article-journal","volume":"295"},"uris":["http://www.mendeley.com/documents/?uuid=e206c388-cd1c-42fc-b4f3-14e733892d7c"]},{"id":"ITEM-2","itemData":{"DOI":"10.1016/j.jri.2011.01.007","ISSN":"01650378","PMID":"21334074","abstract":"Identification of biomarkers of optimal uterine receptivity to the implanting embryo as well as biomarkers of oocyte competence would undoubtedly improve the efficiency of assisted reproductive technology (ART). Expression of IL-15 and IL-18 has been shown to be different in patients with failed implantation after IVF/ICSI compared with fertile controls and both correlate with local uNK (CD56+) recruitment and angiogenesis. Tumor necrosis factor weak inducer of apoptosis (TWEAK) has been described in mice as a potent early immune regulator able to protect the conceptus. The results of our studies in human suggest that TWEAK modulates the IL-18 related cytotoxicity of uNK cells. Quantification of IL-18, TWEAK and IL-15 mRNA expression by real-time PCR in endometrial tissue collected in mid-luteal phase of non-conception cycles allowed documentation of physiological events that occur at the time of uterine receptivity. Such information may be useful for the physician especially in patients where embryos fail to implant. Cytokine quantification may assist in understanding the mechanisms leading to repeated IVF/ICSI failure: either depletion of cytokines necessary for the apposition-adhesion, or an excess of cytokines leading to local cytotoxicity, may impair the implantation of the embryo. Other new data suggest that a pre-conception dialogue mediated by the oocyte and the follicular fluid and the oocyte may contribute to later implantation success. Follicular concentration of G-CSF appears as a useful biomarker of oocyte competence before fertilization. Moreover both in human and animal models, evidence of a role of the endometrium as a biosensor of the embryo is emerging. © 2011 Elsevier Ireland Ltd.","author":[{"dropping-particle":"","family":"Lédée","given":"N.","non-dropping-particle":"","parse-names":false,"suffix":""},{"dropping-particle":"","family":"Petitbarat","given":"M.","non-dropping-particle":"","parse-names":false,"suffix":""},{"dropping-particle":"","family":"Rahmati","given":"M.","non-dropping-particle":"","parse-names":false,"suffix":""},{"dropping-particle":"","family":"Dubanchet","given":"S.","non-dropping-particle":"","parse-names":false,"suffix":""},{"dropping-particle":"","family":"Chaouat","given":"G.","non-dropping-particle":"","parse-names":false,"suffix":""},{"dropping-particle":"","family":"Sandra","given":"O.","non-dropping-particle":"","parse-names":false,"suffix":""},{"dropping-particle":"","family":"Perrier-d'Hauterive","given":"S.","non-dropping-particle":"","parse-names":false,"suffix":""},{"dropping-particle":"","family":"Munaut","given":"C.","non-dropping-particle":"","parse-names":false,"suffix":""},{"dropping-particle":"","family":"Foidart","given":"J. M.","non-dropping-particle":"","parse-names":false,"suffix":""}],"container-title":"Journal of Reproductive Immunology","id":"ITEM-2","issue":"2","issued":{"date-parts":[["2011"]]},"page":"118-123","title":"New pre-conception immune biomarkers for clinical practice: Interleukin-18, interleukin-15 and TWEAK on the endometrial side, G-CSF on the follicular side","type":"article-journal","volume":"88"},"uris":["http://www.mendeley.com/documents/?uuid=0699a31c-ad1f-4ab9-b3ee-9883a2af3b07"]},{"id":"ITEM-3","itemData":{"DOI":"10.1186/s40738-018-0052-6","ISBN":"4073801800526","abstract":"Background: The origins of adverse reproductive outcome can be multifactorial, but the contribution of the maternal immune system is considered debatable. Elevated intracellular cytokine ratios have been proposed, although not universally supported, as a marker for immunological dysfunction in implantation and early pregnancy. Poor patient selection or inadequate treatment or testing may be confounding factors. Specific immunomodulation, in carefully selected sub-populations of ART patients with poor reproductive history, despite transfer of good quality blastocysts, may potentially improve clinical outcomes. Methods: Intracellular cytokine ratios (CKR) were prospectively assessed in 337 patients presenting with a history of implantation failure and/or pregnancy loss, prior to further treatment, and were found to be elevated in 150 (44.5%). Of this group, 134 agreed to initiate a standardised immunotherapy regime (nutraceuticals, prednisolone &amp; intralipids) to evaluate the efficacy of this proposed therapy. Of the intervention population, a small cohort (n = 70) delayed commencing ART for ~ 10 weeks to assess if extended pre-treatment nutraceutical supplementation could normalise CKRs prior to starting ART, and if this conferred additional benefit. Results: Baseline assessment in the intervention population (n = 134) identified 160 miscarriages from 180 total pregnancies (89% miscarriage rate, MR), conceived both spontaneously and by assisted reproduction. Post-treatment analysis of subsequent ART cycles revealed a significant improvement in both implantation (OR 3.0, 2.0-4.5) and miscarriage rates (41/97, 42.2% MR, P &lt; 0.001). Interestingly, pre-treatment normalisation of CKRs appeared to impart marginal extra benefit prior to subsequent fertility treatment with immunotherapy. Conclusions: Following immunomodulation, significant improvements in both implantation rate and miscarriage rate were seen in this poor prognosis population. This suggests a possible role for both detailed immuno-evaluation of patients with poor reproductive history with good embryo quality, and application of personalised immunotherapy regimes alongside ART in selected cases. Future randomised controlled trials are needed to definitively evaluate this potentially promising therapeutic approach.","author":[{"dropping-particle":"","family":"Harrity","given":"Conor","non-dropping-particle":"","parse-names":false,"suffix":""},{"dropping-particle":"","family":"Shkrobot","given":"Lyuda","non-dropping-particle":"","parse-names":false,"suffix":""},{"dropping-particle":"","family":"Walsh","given":"David","non-dropping-particle":"","parse-names":false,"suffix":""},{"dropping-particle":"","family":"Marron","given":"Kevin","non-dropping-particle":"","parse-names":false,"suffix":""}],"container-title":"Fertility Research and Practice","id":"ITEM-3","issue":"1","issued":{"date-parts":[["2018"]]},"page":"1-9","publisher":"Fertility Research and Practice","title":"ART implantation failure and miscarriage in patients with elevated intracellular cytokine ratios: response to immune support therapy","type":"article-journal","volume":"4"},"uris":["http://www.mendeley.com/documents/?uuid=bccd054d-2745-4cfd-b599-f05c6befe099"]},{"id":"ITEM-4","itemData":{"DOI":"10.1016/j.molmed.2011.11.006","ISSN":"1471-4914","author":[{"dropping-particle":"","family":"Li","given":"Xuri","non-dropping-particle":"","parse-names":false,"suffix":""},{"dropping-particle":"","family":"Kumar","given":"Anil","non-dropping-particle":"","parse-names":false,"suffix":""},{"dropping-particle":"","family":"Zhang","given":"Fan","non-dropping-particle":"","parse-names":false,"suffix":""},{"dropping-particle":"","family":"Lee","given":"Chunsik","non-dropping-particle":"","parse-names":false,"suffix":""},{"dropping-particle":"","family":"Tang","given":"Zhongshu","non-dropping-particle":"","parse-names":false,"suffix":""}],"container-title":"Trends in Molecular Medicine","id":"ITEM-4","issue":"2","issued":{"date-parts":[["2012","2","1"]]},"note":"doi: 10.1016/j.molmed.2011.11.006","page":"119-127","publisher":"Elsevier","title":"Complicated life, complicated VEGF-B","type":"article-journal","volume":"18"},"uris":["http://www.mendeley.com/documents/?uuid=209489d0-ec1a-48a3-85ae-ff5c8163f465"]},{"id":"ITEM-5","itemData":{"DOI":"10.1073/pnas.2115912119","ISSN":"10916490","PMID":"35169075","abstract":"Thin endometrium has been widely recognized as a critical cause of infertility, recurrent pregnancy loss, and placental abnormalities; however, access to effective treatment is a formidable challenge due to the rudimentary understanding of the pathogenesis of thin endometrium. Here, we profiled the transcriptomes of human endometrial cells at single-cell resolution to characterize cell types, their communications, and the underlying mechanism of endometrial growth in normal and thin endometrium during the proliferative phase. Stromal cells were the most abundant cell type in the endometrium, with a subpopulation of proliferating stromal cells whose cell cycle signaling pathways were compromised in thin endometrium. Both single-cell RNA sequencing and experimental verification revealed cellular senescence in the stroma and epithelium accompanied by collagen overdeposition around blood vessels. Moreover, decreased numbers of macrophages and natural killer cells further exacerbated endometrial thinness. In addition, our results uncovered aberrant SEMA3, EGF, PTN, and TWEAK signaling pathways as causes for the insufficient proliferation of the endometrium. Together, these data provide insight into therapeutic strategies for endometrial regeneration and growth to treat thin endometrium.","author":[{"dropping-particle":"","family":"Lv","given":"Haining","non-dropping-particle":"","parse-names":false,"suffix":""},{"dropping-particle":"","family":"Zhao","given":"Guangfeng","non-dropping-particle":"","parse-names":false,"suffix":""},{"dropping-particle":"","family":"Jiang","given":"Peipei","non-dropping-particle":"","parse-names":false,"suffix":""},{"dropping-particle":"","family":"Wang","given":"Huiyan","non-dropping-particle":"","parse-names":false,"suffix":""},{"dropping-particle":"","family":"Wang","given":"Zhiyin","non-dropping-particle":"","parse-names":false,"suffix":""},{"dropping-particle":"","family":"Yao","given":"Simin","non-dropping-particle":"","parse-names":false,"suffix":""},{"dropping-particle":"","family":"Zhou","given":"Zhenhua","non-dropping-particle":"","parse-names":false,"suffix":""},{"dropping-particle":"","family":"Wang","given":"Limin","non-dropping-particle":"","parse-names":false,"suffix":""},{"dropping-particle":"","family":"Liu","given":"Dan","non-dropping-particle":"","parse-names":false,"suffix":""},{"dropping-particle":"","family":"Deng","given":"Wenbo","non-dropping-particle":"","parse-names":false,"suffix":""},{"dropping-particle":"","family":"Dai","given":"Jianwu","non-dropping-particle":"","parse-names":false,"suffix":""},{"dropping-particle":"","family":"Hu","given":"Yali","non-dropping-particle":"","parse-names":false,"suffix":""}],"container-title":"Proceedings of the National Academy of Sciences of the United States of America","id":"ITEM-5","issue":"8","issued":{"date-parts":[["2022"]]},"page":"1-11","title":"Deciphering the endometrial niche of human thin endometrium at single-cell resolution","type":"article-journal","volume":"119"},"uris":["http://www.mendeley.com/documents/?uuid=9fe4668c-3e08-4178-9940-24a54e377f47"]},{"id":"ITEM-6","itemData":{"DOI":"10.3389/fphys.2022.1050690","ISSN":"1664042X","abstract":"Background: The endometrial thickness is a key factor for successful implantation. Thin endometrium is associated with lower implantation rate and pregnancy rate. Lacking of a better understanding for the cellular and molecular mechanisms of thin endometrium, managing patients with thin endometrium still represents a major challenge for clinicians. Methods: In this study, we combined four single-cell RNA sequencing (scRNA-seq) and one bulk sequencing (bulk-seq) data for thin endometrium to perform an integrated analysis for endometrial cells in proliferating phase. Cell proportion and differentially expressed genes (DEGs) were analyzed to determine the disease-specific cell type and signaling pathways. The cell-cell communication among cell types were inferred by “CellChat” to illustrate the differential intercellular communication under normal and thin endometrium conditions. GSEA and GSVA were applied to identify dysfunctional signals and metabolic pathways before and after thin endometrium. Results: Integration of scRNA-seq identified eight cell types. The proportion of stromal cells showed a significant difference between normal and thin endometrial tissue. The DEGs in diverse cell types revealed enriched pathways in a cell-specific manner. Aberrant cell-cell signaling transduction was found in almost all cell types, especially in immune cells and epithelial cells. Furthermore, dysfunctional metabolic signaling pathways were induced in a cell-type dependent way. The down-regulation of carbohydrate metabolism and nucleotide metabolism was observed and the energy metabolism switch was indicated. Conclusion: Conclusively, we discover dysfunctional signals and metabolic pathways in thin endometrium, providing insight into mechanisms and therapeutic strategies for the atrophic endometrium.","author":[{"dropping-particle":"","family":"Xu","given":"Liang","non-dropping-particle":"","parse-names":false,"suffix":""},{"dropping-particle":"","family":"Fan","given":"Yingying","non-dropping-particle":"","parse-names":false,"suffix":""},{"dropping-particle":"","family":"Wang","given":"Jianjun","non-dropping-particle":"","parse-names":false,"suffix":""},{"dropping-particle":"","family":"Shi","given":"Rui","non-dropping-particle":"","parse-names":false,"suffix":""}],"container-title":"Frontiers in Physiology","id":"ITEM-6","issue":"November","issued":{"date-parts":[["2022"]]},"page":"1-12","title":"Dysfunctional intercellular communication and metabolic signaling pathways in thin endometrium","type":"article-journal","volume":"13"},"uris":["http://www.mendeley.com/documents/?uuid=8e643977-d7a1-408f-8e97-33c71b816f4d"]},{"id":"ITEM-7","itemData":{"DOI":"10.1016/j.biopha.2018.03.091","ISSN":"19506007","PMID":"29571018","abstract":"The endometrium is one of the essential components of the uterus. The endometrium of human is a complex and dynamic tissue, which undergoes periods of growth and turn over during any menstrual cycle. Stem cells are initially undifferentiated cells that display a wide range of differentiation potential with no distinct morphological features. Stem cell therapy method recently has become a novel procedure for treatment of tissue injury and fibrosis in response to damage. Currently, there is massive interest in stem cells as a novel treatment method for regenerative medicine and more specifically for the regeneration of human endometrium disorder like Asherman syndrome (AS) and thin endometrium. AS also known as intrauterine adhesion (IUA) is a uterine disorder with the aberrant creation of adhesions within the uterus and/or cervix. Patients with IUA are significantly associated with menstrual abnormalities and suffer from pelvic pain. In addition, IUA might prevent implantation of the blastocyst, impair the blood supply to the uterus and early fetus, and finally result in the recurrent miscarriage or infertility in the AS patients. It has been evidenced that the transplantation of different stem cells with a diverse source in the endometrial zone had effects on endometrium such as declined the fibrotic area, an elevated number of glands, stimulated angiogenesis, the enhanced thickness of the endometrium, better formed tissue construction, protected gestation, and improved pregnancy rate. This study presents a summary of the investigations that indicate the key role of stem cell therapy in regeneration and renovation of defective parts.","author":[{"dropping-particle":"","family":"Azizi","given":"Ramyar","non-dropping-particle":"","parse-names":false,"suffix":""},{"dropping-particle":"","family":"Aghebati-Maleki","given":"Leili","non-dropping-particle":"","parse-names":false,"suffix":""},{"dropping-particle":"","family":"Nouri","given":"Mohammad","non-dropping-particle":"","parse-names":false,"suffix":""},{"dropping-particle":"","family":"Marofi","given":"Faroogh","non-dropping-particle":"","parse-names":false,"suffix":""},{"dropping-particle":"","family":"Negargar","given":"Sohrab","non-dropping-particle":"","parse-names":false,"suffix":""},{"dropping-particle":"","family":"Yousefi","given":"Mehdi","non-dropping-particle":"","parse-names":false,"suffix":""}],"container-title":"Biomedicine and Pharmacotherapy","id":"ITEM-7","issue":"March","issued":{"date-parts":[["2018"]]},"page":"333-343","title":"Stem cell therapy in Asherman syndrome and thin endometrium: Stem cell- based therapy","type":"article-journal","volume":"102"},"uris":["http://www.mendeley.com/documents/?uuid=7f39ef49-a10e-4d2e-b8d0-56aa727f400e"]}],"mendeley":{"formattedCitation":"[97]–[103]","plainTextFormattedCitation":"[97]–[103]","previouslyFormattedCitation":"(97–103)"},"properties":{"noteIndex":0},"schema":"https://github.com/citation-style-language/schema/raw/master/csl-citation.json"}</w:instrText>
      </w:r>
      <w:r w:rsidR="00234A06" w:rsidRPr="00916B3A">
        <w:rPr>
          <w:rFonts w:ascii="Times New Roman" w:hAnsi="Times New Roman" w:cs="Times New Roman"/>
          <w:iCs/>
          <w:sz w:val="28"/>
          <w:szCs w:val="28"/>
        </w:rPr>
        <w:fldChar w:fldCharType="separate"/>
      </w:r>
      <w:r w:rsidR="008C6800" w:rsidRPr="008C6800">
        <w:rPr>
          <w:rFonts w:ascii="Times New Roman" w:hAnsi="Times New Roman" w:cs="Times New Roman"/>
          <w:iCs/>
          <w:noProof/>
          <w:sz w:val="28"/>
          <w:szCs w:val="28"/>
        </w:rPr>
        <w:t>[103]</w:t>
      </w:r>
      <w:r w:rsidR="00234A06" w:rsidRPr="00916B3A">
        <w:rPr>
          <w:rFonts w:ascii="Times New Roman" w:hAnsi="Times New Roman" w:cs="Times New Roman"/>
          <w:iCs/>
          <w:sz w:val="28"/>
          <w:szCs w:val="28"/>
        </w:rPr>
        <w:fldChar w:fldCharType="end"/>
      </w:r>
      <w:r w:rsidR="00E17A7E" w:rsidRPr="00916B3A">
        <w:rPr>
          <w:rFonts w:ascii="Times New Roman" w:hAnsi="Times New Roman" w:cs="Times New Roman"/>
          <w:sz w:val="28"/>
          <w:szCs w:val="28"/>
        </w:rPr>
        <w:t>.</w:t>
      </w:r>
      <w:r w:rsidRPr="00916B3A">
        <w:rPr>
          <w:rFonts w:ascii="Times New Roman" w:hAnsi="Times New Roman" w:cs="Times New Roman"/>
          <w:sz w:val="28"/>
          <w:szCs w:val="28"/>
        </w:rPr>
        <w:t xml:space="preserve"> В нашем исследовании</w:t>
      </w:r>
      <w:r w:rsidR="005D7773" w:rsidRPr="00916B3A">
        <w:rPr>
          <w:rFonts w:ascii="Times New Roman" w:hAnsi="Times New Roman" w:cs="Times New Roman"/>
          <w:sz w:val="28"/>
          <w:szCs w:val="28"/>
        </w:rPr>
        <w:t xml:space="preserve"> были выбраны 5</w:t>
      </w:r>
      <w:r w:rsidRPr="00916B3A">
        <w:rPr>
          <w:rFonts w:ascii="Times New Roman" w:hAnsi="Times New Roman" w:cs="Times New Roman"/>
          <w:sz w:val="28"/>
          <w:szCs w:val="28"/>
        </w:rPr>
        <w:t xml:space="preserve"> генов иммунного ответа (CXCL1, INFG, C4BPA, VEGFB, HAND2 и IL15), активность которых была повышена в рецептивную фазу эндометрия у здоровых женщин. Кроме того, два  из них C4BPA и </w:t>
      </w:r>
      <w:r w:rsidRPr="00916B3A">
        <w:rPr>
          <w:rFonts w:ascii="Times New Roman" w:eastAsia="Times New Roman" w:hAnsi="Times New Roman" w:cs="Times New Roman"/>
          <w:bCs/>
          <w:snapToGrid w:val="0"/>
          <w:sz w:val="28"/>
          <w:szCs w:val="28"/>
          <w:lang w:eastAsia="de-DE" w:bidi="en-US"/>
        </w:rPr>
        <w:t>CXCL1</w:t>
      </w:r>
      <w:r w:rsidRPr="00916B3A">
        <w:rPr>
          <w:rFonts w:ascii="Times New Roman" w:eastAsia="Times New Roman" w:hAnsi="Times New Roman" w:cs="Times New Roman"/>
          <w:b/>
          <w:bCs/>
          <w:snapToGrid w:val="0"/>
          <w:sz w:val="36"/>
          <w:lang w:eastAsia="de-DE" w:bidi="en-US"/>
        </w:rPr>
        <w:t xml:space="preserve"> </w:t>
      </w:r>
      <w:r w:rsidRPr="00916B3A">
        <w:rPr>
          <w:rFonts w:ascii="Times New Roman" w:hAnsi="Times New Roman" w:cs="Times New Roman"/>
          <w:sz w:val="28"/>
          <w:szCs w:val="28"/>
        </w:rPr>
        <w:t>показали снижение регуляции при неудачной имплантации у женщин</w:t>
      </w:r>
      <w:r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{"citationItems":[{"id":"ITEM-1","itemData":{"DOI":"10.3390/diagnostics14171967","ISSN":"20754418","abstract":"Currently, recurrent implantation failure (RIF) after in vitro fertilization is a problem that is commonly faced by reproductive specialists. The phenomenon of a thin endometrium in RIF patients is not yet completely understood or sufficiently treated. This study aimed to reveal the dysregulated expression of selected genes between RIF patients with a thin endometrium and fertile women. Endometrial samples were collected in the implantation window (21–24 days of the natural menstrual cycle) from RIF patients (n = 20) and fertile women (n = 14). Ten genes were chosen as target genes regarding their possible relations with the implantation process. The endometrial gene expression levels showed differences in RIF samples compared to fertile samples. Significant downregulation was observed for the CXCL1 (p = 0.005) and C4BPA (p = 0.03) genes. There was no statistically significant difference between the RIF group and the fertile group in the expression of eight genes: CXCL8, HPRT1, MMP10, INFG, VEGFB, HAND2, IL-15, and TNC (p &gt; 0.05). The use of a combination of two markers (C4BPA + CXCL1) allows for the good discrimination of RIF patients from fertile women (AUC 0.806).","author":[{"dropping-particle":"","family":"Kurmanova","given":"Gaukhar","non-dropping-particle":"","parse-names":false,"suffix":""},{"dropping-particle":"","family":"Ashirbekov","given":"Yeldar","non-dropping-particle":"","parse-names":false,"suffix":""},{"dropping-particle":"","family":"Kurmanova","given":"Almagul","non-dropping-particle":"","parse-names":false,"suffix":""},{"dropping-particle":"","family":"Mamedaliyeva","given":"Nagima","non-dropping-particle":"","parse-names":false,"suffix":""},{"dropping-particle":"","family":"Moshkalova","given":"Gaukhar","non-dropping-particle":"","parse-names":false,"suffix":""},{"dropping-particle":"","family":"Anartayeva","given":"Gaini","non-dropping-particle":"","parse-names":false,"suffix":""},{"dropping-particle":"","family":"Salimbayeva","given":"Damilya","non-dropping-particle":"","parse-names":false,"suffix":""},{"dropping-particle":"","family":"Tulesheva","given":"Aidana","non-dropping-particle":"","parse-names":false,"suffix":""}],"container-title":"Diagnostics","id":"ITEM-1","issue":"17","issued":{"date-parts":[["2024"]]},"page":"1967","title":"Altered Expression of C4BPA and CXCL1 Genes in the Endometrium of Patients with Recurrent Implantation Failure after In Vitro Fertilization and Thin Endometrium","type":"article-journal","volume":"14"},"uris":["http://www.mendeley.com/documents/?uuid=5b86dbcb-fbec-420a-bd45-9a4a476805de"]}],"mendeley":{"formattedCitation":"[104]","plainTextFormattedCitation":"[104]","previouslyFormattedCitation":"(104)"},"properties":{"noteIndex":0},"schema":"https://github.com/citation-style-language/schema/raw/master/csl-citation.json"}</w:instrText>
      </w:r>
      <w:r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[104]</w:t>
      </w:r>
      <w:r w:rsidRPr="00916B3A">
        <w:rPr>
          <w:rFonts w:ascii="Times New Roman" w:hAnsi="Times New Roman" w:cs="Times New Roman"/>
          <w:sz w:val="28"/>
          <w:szCs w:val="28"/>
        </w:rPr>
        <w:fldChar w:fldCharType="end"/>
      </w:r>
      <w:r w:rsidRPr="00916B3A">
        <w:rPr>
          <w:rFonts w:ascii="Times New Roman" w:hAnsi="Times New Roman" w:cs="Times New Roman"/>
          <w:sz w:val="28"/>
          <w:szCs w:val="28"/>
        </w:rPr>
        <w:t>. Предполагается, что снижение экспрессии этих транскриптомов будет свидетельствовать о неудаче имплантации при</w:t>
      </w:r>
      <w:r w:rsidR="00BF5664" w:rsidRPr="00916B3A">
        <w:rPr>
          <w:rFonts w:ascii="Times New Roman" w:hAnsi="Times New Roman" w:cs="Times New Roman"/>
          <w:sz w:val="28"/>
          <w:szCs w:val="28"/>
          <w:lang w:val="kk-KZ"/>
        </w:rPr>
        <w:t xml:space="preserve"> естественных</w:t>
      </w:r>
      <w:r w:rsidR="0039093F" w:rsidRPr="00916B3A">
        <w:rPr>
          <w:rFonts w:ascii="Times New Roman" w:hAnsi="Times New Roman" w:cs="Times New Roman"/>
          <w:sz w:val="28"/>
          <w:szCs w:val="28"/>
          <w:lang w:val="kk-KZ"/>
        </w:rPr>
        <w:t>,</w:t>
      </w:r>
      <w:r w:rsidR="00BF5664" w:rsidRPr="00916B3A">
        <w:rPr>
          <w:rFonts w:ascii="Times New Roman" w:hAnsi="Times New Roman" w:cs="Times New Roman"/>
          <w:sz w:val="28"/>
          <w:szCs w:val="28"/>
          <w:lang w:val="kk-KZ"/>
        </w:rPr>
        <w:t xml:space="preserve"> также</w:t>
      </w:r>
      <w:r w:rsidR="00BF5664" w:rsidRPr="00916B3A">
        <w:rPr>
          <w:rFonts w:ascii="Times New Roman" w:hAnsi="Times New Roman" w:cs="Times New Roman"/>
          <w:sz w:val="28"/>
          <w:szCs w:val="28"/>
        </w:rPr>
        <w:t xml:space="preserve"> искусственн</w:t>
      </w:r>
      <w:r w:rsidR="00BF5664" w:rsidRPr="00916B3A">
        <w:rPr>
          <w:rFonts w:ascii="Times New Roman" w:hAnsi="Times New Roman" w:cs="Times New Roman"/>
          <w:sz w:val="28"/>
          <w:szCs w:val="28"/>
          <w:lang w:val="kk-KZ"/>
        </w:rPr>
        <w:t>ых циклах</w:t>
      </w:r>
      <w:r w:rsidRPr="00916B3A">
        <w:rPr>
          <w:rFonts w:ascii="Times New Roman" w:hAnsi="Times New Roman" w:cs="Times New Roman"/>
          <w:sz w:val="28"/>
          <w:szCs w:val="28"/>
        </w:rPr>
        <w:t xml:space="preserve"> беременности с тонким эндометрием. В настоящем исследовании был поставлен вопрос о том, будет ли наблюдаться пониженная регуляция выбранных генов в случае тонкого эндометрия у пациенток с повторными неудачами имплантации.</w:t>
      </w:r>
    </w:p>
    <w:p w14:paraId="3228A6AB" w14:textId="0A667A29" w:rsidR="00FA6FB4" w:rsidRPr="00916B3A" w:rsidRDefault="00E17A7E" w:rsidP="00997125">
      <w:pPr>
        <w:pBdr>
          <w:bottom w:val="single" w:sz="4" w:space="31" w:color="FFFFFF"/>
        </w:pBdr>
        <w:tabs>
          <w:tab w:val="left" w:pos="0"/>
        </w:tabs>
        <w:autoSpaceDE w:val="0"/>
        <w:spacing w:after="0" w:line="240" w:lineRule="auto"/>
        <w:ind w:firstLine="567"/>
        <w:jc w:val="both"/>
        <w:rPr>
          <w:rFonts w:ascii="Times New Roman" w:hAnsi="Times New Roman" w:cs="Times New Roman"/>
          <w:color w:val="000000" w:themeColor="text1"/>
          <w:sz w:val="28"/>
          <w:szCs w:val="28"/>
        </w:rPr>
      </w:pPr>
      <w:r w:rsidRPr="00916B3A">
        <w:rPr>
          <w:rFonts w:ascii="Times New Roman" w:eastAsia="Calibri" w:hAnsi="Times New Roman" w:cs="Times New Roman"/>
          <w:sz w:val="28"/>
          <w:szCs w:val="28"/>
          <w:lang w:eastAsia="ko-KR"/>
        </w:rPr>
        <w:t xml:space="preserve">Таким образом, изучение генов иммунного ответа, </w:t>
      </w:r>
      <w:bookmarkStart w:id="14" w:name="_Hlk99499556"/>
      <w:r w:rsidRPr="00916B3A">
        <w:rPr>
          <w:rFonts w:ascii="Times New Roman" w:eastAsia="Calibri" w:hAnsi="Times New Roman" w:cs="Times New Roman"/>
          <w:sz w:val="28"/>
          <w:szCs w:val="28"/>
          <w:lang w:eastAsia="ko-KR"/>
        </w:rPr>
        <w:t>участвующих в образовании цитокинов и хемокинов, секреции, передачи сигналов интерлейкина и факторов транскрипции при дифференцировке и созревании клеток,</w:t>
      </w:r>
      <w:bookmarkEnd w:id="14"/>
      <w:r w:rsidRPr="00916B3A">
        <w:rPr>
          <w:rFonts w:ascii="Times New Roman" w:eastAsia="Calibri" w:hAnsi="Times New Roman" w:cs="Times New Roman"/>
          <w:sz w:val="28"/>
          <w:szCs w:val="28"/>
          <w:lang w:eastAsia="ko-KR"/>
        </w:rPr>
        <w:t xml:space="preserve"> а также белков клеточной поверхности будет иметь основополагающее значение для понимания диагностики патологических состояний при хроническом эндометрите. </w:t>
      </w:r>
      <w:bookmarkStart w:id="15" w:name="_Hlk99495469"/>
      <w:r w:rsidRPr="00916B3A">
        <w:rPr>
          <w:rFonts w:ascii="Times New Roman" w:eastAsia="Calibri" w:hAnsi="Times New Roman" w:cs="Times New Roman"/>
          <w:sz w:val="28"/>
          <w:szCs w:val="28"/>
          <w:lang w:eastAsia="ko-KR"/>
        </w:rPr>
        <w:t>Эти результаты будут способствовать выявлению биологических маркеров дисфункции эндометрия у пациенток с неудачами имплантации и привычным невынашиванием, что позволит персонализировать подходы к реабилитационной терапии до этапа ЭКО и улучшить результативность вспомогательных репродуктивных технологий.</w:t>
      </w:r>
      <w:bookmarkEnd w:id="15"/>
      <w:r w:rsidR="0048173A" w:rsidRPr="00916B3A">
        <w:rPr>
          <w:rFonts w:ascii="Times New Roman" w:hAnsi="Times New Roman" w:cs="Times New Roman"/>
          <w:sz w:val="28"/>
          <w:szCs w:val="28"/>
        </w:rPr>
        <w:t xml:space="preserve"> </w:t>
      </w:r>
    </w:p>
    <w:p w14:paraId="7DDB889A" w14:textId="1244B35B" w:rsidR="000439D0" w:rsidRPr="002635DA" w:rsidRDefault="00C33D22" w:rsidP="00997125">
      <w:pPr>
        <w:pBdr>
          <w:bottom w:val="single" w:sz="4" w:space="31" w:color="FFFFFF"/>
        </w:pBdr>
        <w:tabs>
          <w:tab w:val="left" w:pos="0"/>
        </w:tabs>
        <w:autoSpaceDE w:val="0"/>
        <w:spacing w:after="0" w:line="240" w:lineRule="auto"/>
        <w:ind w:firstLine="567"/>
        <w:jc w:val="both"/>
        <w:rPr>
          <w:rFonts w:ascii="Times New Roman" w:hAnsi="Times New Roman" w:cs="Times New Roman"/>
          <w:bCs/>
          <w:color w:val="000000" w:themeColor="text1"/>
          <w:sz w:val="28"/>
          <w:szCs w:val="28"/>
        </w:rPr>
      </w:pPr>
      <w:r w:rsidRPr="002635DA">
        <w:rPr>
          <w:rFonts w:ascii="Times New Roman" w:hAnsi="Times New Roman" w:cs="Times New Roman"/>
          <w:bCs/>
          <w:color w:val="000000" w:themeColor="text1"/>
          <w:sz w:val="28"/>
          <w:szCs w:val="28"/>
        </w:rPr>
        <w:t xml:space="preserve">Выводы  </w:t>
      </w:r>
    </w:p>
    <w:p w14:paraId="07F3D460" w14:textId="7144E7EA" w:rsidR="00B20B12" w:rsidRPr="00916B3A" w:rsidRDefault="00BF5664" w:rsidP="00997125">
      <w:pPr>
        <w:pBdr>
          <w:bottom w:val="single" w:sz="4" w:space="31" w:color="FFFFFF"/>
        </w:pBdr>
        <w:tabs>
          <w:tab w:val="left" w:pos="0"/>
        </w:tabs>
        <w:autoSpaceDE w:val="0"/>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Недостаточная восприимчивость эндометрия является основным фактором, приводящим к неудаче имплантации и традиционный способ морфологического наблюдения эндометрия не может в достаточной степени определить состояние восприимчивости. Жизнеспособность эмбриона, рецептивность эндометрия и перекрестные помехи между эмбрионом и матерью являются тремя определяющими факторами успешной имплантации эмбриона. Преимплантационный генетический скрининг (ПГС) используется для исключения эмбрионы, несущие анеуплоидию, способствуют наступлению беременности, но клиническая частота наступления беременности не так удовлетворительна, как предполагалось. Хотя тонкий эндометрий широко признан критическим фактором неудачи имплантации, вклад регуляторной сети микроРНК-мРНК в развитие этиологии заболевания еще предстоит выяснить. В данном исследовании был проведен интегративный анализ профилей экспрессии микроРНК-мРНК в тонком и прилежащем нормальном эндометрии пациенток с внутриматочной спайкой с целью построения транскриптомных регуляторных сетей.</w:t>
      </w:r>
      <w:r w:rsidR="003D36FD" w:rsidRPr="00916B3A">
        <w:rPr>
          <w:rFonts w:ascii="Times New Roman" w:hAnsi="Times New Roman" w:cs="Times New Roman"/>
          <w:sz w:val="28"/>
          <w:szCs w:val="28"/>
          <w:lang w:val="kk-KZ"/>
        </w:rPr>
        <w:t>П</w:t>
      </w:r>
      <w:r w:rsidR="003D36FD" w:rsidRPr="00916B3A">
        <w:rPr>
          <w:rFonts w:ascii="Times New Roman" w:hAnsi="Times New Roman" w:cs="Times New Roman"/>
          <w:sz w:val="28"/>
          <w:szCs w:val="28"/>
        </w:rPr>
        <w:t xml:space="preserve">ри синдроме «тонкого» эндометрия используются различные подходы к оценке рецептивности эндометрия в зависимости от причины возникновения </w:t>
      </w:r>
      <w:r w:rsidR="00C972AB" w:rsidRPr="00916B3A">
        <w:rPr>
          <w:rFonts w:ascii="Times New Roman" w:hAnsi="Times New Roman" w:cs="Times New Roman"/>
          <w:color w:val="000000" w:themeColor="text1"/>
          <w:sz w:val="28"/>
          <w:szCs w:val="28"/>
        </w:rPr>
        <w:t>Одним из основных направлений преодоления репродуктивных потерь является диагностика эндометриальной дисфункции, ассоциированной с нарушением рецептивности и репаративного потенциала эндометрия. Настоящий обзор посвящен анализу состояния проблемы нарушении рецептивности эндометрия как причина репродуктивных потерь и современным методам диагностики. Для определения рецептивности эндометрия разработаны и используются различные методы. Наиболее перспективными методами диагностики периода «имплантационного окна» представляются подходы, основанные на объединенном изучении (мультиомика)генотипа (транскрипционный анализ) и фе</w:t>
      </w:r>
      <w:r w:rsidR="003D36FD" w:rsidRPr="00916B3A">
        <w:rPr>
          <w:rFonts w:ascii="Times New Roman" w:hAnsi="Times New Roman" w:cs="Times New Roman"/>
          <w:color w:val="000000" w:themeColor="text1"/>
          <w:sz w:val="28"/>
          <w:szCs w:val="28"/>
        </w:rPr>
        <w:t>нотипа маркеров иммунного ответ</w:t>
      </w:r>
      <w:r w:rsidR="003D36FD" w:rsidRPr="00916B3A">
        <w:rPr>
          <w:rFonts w:ascii="Times New Roman" w:hAnsi="Times New Roman" w:cs="Times New Roman"/>
          <w:color w:val="000000" w:themeColor="text1"/>
          <w:sz w:val="28"/>
          <w:szCs w:val="28"/>
          <w:lang w:val="kk-KZ"/>
        </w:rPr>
        <w:t>а</w:t>
      </w:r>
      <w:r w:rsidR="00C972AB" w:rsidRPr="00916B3A">
        <w:rPr>
          <w:rFonts w:ascii="Times New Roman" w:hAnsi="Times New Roman" w:cs="Times New Roman"/>
          <w:color w:val="000000" w:themeColor="text1"/>
          <w:sz w:val="28"/>
          <w:szCs w:val="28"/>
        </w:rPr>
        <w:t>.</w:t>
      </w:r>
    </w:p>
    <w:p w14:paraId="454577A5" w14:textId="77777777" w:rsidR="00951C76" w:rsidRPr="00916B3A" w:rsidRDefault="00CE0497" w:rsidP="0039093F">
      <w:pPr>
        <w:spacing w:after="0" w:line="240" w:lineRule="auto"/>
        <w:rPr>
          <w:rFonts w:ascii="Times New Roman" w:hAnsi="Times New Roman" w:cs="Times New Roman"/>
          <w:b/>
          <w:sz w:val="28"/>
          <w:szCs w:val="28"/>
        </w:rPr>
      </w:pPr>
      <w:r w:rsidRPr="00916B3A">
        <w:rPr>
          <w:rFonts w:ascii="Times New Roman" w:hAnsi="Times New Roman" w:cs="Times New Roman"/>
          <w:b/>
          <w:sz w:val="28"/>
          <w:szCs w:val="28"/>
        </w:rPr>
        <w:t xml:space="preserve">  </w:t>
      </w:r>
    </w:p>
    <w:p w14:paraId="78A4E761" w14:textId="77777777" w:rsidR="00951C76" w:rsidRPr="00916B3A" w:rsidRDefault="00951C76" w:rsidP="0039093F">
      <w:pPr>
        <w:spacing w:after="0" w:line="240" w:lineRule="auto"/>
        <w:rPr>
          <w:rFonts w:ascii="Times New Roman" w:hAnsi="Times New Roman" w:cs="Times New Roman"/>
          <w:b/>
          <w:sz w:val="28"/>
          <w:szCs w:val="28"/>
        </w:rPr>
      </w:pPr>
    </w:p>
    <w:p w14:paraId="447B327E" w14:textId="77777777" w:rsidR="00951C76" w:rsidRPr="00916B3A" w:rsidRDefault="00951C76" w:rsidP="0039093F">
      <w:pPr>
        <w:spacing w:after="0" w:line="240" w:lineRule="auto"/>
        <w:rPr>
          <w:rFonts w:ascii="Times New Roman" w:hAnsi="Times New Roman" w:cs="Times New Roman"/>
          <w:b/>
          <w:sz w:val="28"/>
          <w:szCs w:val="28"/>
        </w:rPr>
      </w:pPr>
    </w:p>
    <w:p w14:paraId="6DD82853" w14:textId="77777777" w:rsidR="00951C76" w:rsidRPr="00916B3A" w:rsidRDefault="00951C76" w:rsidP="00997125">
      <w:pPr>
        <w:tabs>
          <w:tab w:val="left" w:pos="1276"/>
        </w:tabs>
        <w:spacing w:after="0" w:line="240" w:lineRule="auto"/>
        <w:rPr>
          <w:rFonts w:ascii="Times New Roman" w:hAnsi="Times New Roman" w:cs="Times New Roman"/>
          <w:b/>
          <w:sz w:val="28"/>
          <w:szCs w:val="28"/>
        </w:rPr>
      </w:pPr>
    </w:p>
    <w:p w14:paraId="3EF2BE19" w14:textId="77777777" w:rsidR="00951C76" w:rsidRPr="00916B3A" w:rsidRDefault="00951C76" w:rsidP="0039093F">
      <w:pPr>
        <w:spacing w:after="0" w:line="240" w:lineRule="auto"/>
        <w:rPr>
          <w:rFonts w:ascii="Times New Roman" w:hAnsi="Times New Roman" w:cs="Times New Roman"/>
          <w:b/>
          <w:sz w:val="28"/>
          <w:szCs w:val="28"/>
        </w:rPr>
      </w:pPr>
    </w:p>
    <w:p w14:paraId="3AFBA5BD" w14:textId="77777777" w:rsidR="00951C76" w:rsidRPr="00916B3A" w:rsidRDefault="00951C76" w:rsidP="0039093F">
      <w:pPr>
        <w:spacing w:after="0" w:line="240" w:lineRule="auto"/>
        <w:rPr>
          <w:rFonts w:ascii="Times New Roman" w:hAnsi="Times New Roman" w:cs="Times New Roman"/>
          <w:b/>
          <w:sz w:val="28"/>
          <w:szCs w:val="28"/>
        </w:rPr>
      </w:pPr>
    </w:p>
    <w:p w14:paraId="5531AFD7" w14:textId="77777777" w:rsidR="00951C76" w:rsidRPr="00916B3A" w:rsidRDefault="00951C76" w:rsidP="0039093F">
      <w:pPr>
        <w:spacing w:after="0" w:line="240" w:lineRule="auto"/>
        <w:rPr>
          <w:rFonts w:ascii="Times New Roman" w:hAnsi="Times New Roman" w:cs="Times New Roman"/>
          <w:b/>
          <w:sz w:val="28"/>
          <w:szCs w:val="28"/>
        </w:rPr>
      </w:pPr>
    </w:p>
    <w:p w14:paraId="7A6353DE" w14:textId="77777777" w:rsidR="00951C76" w:rsidRPr="00916B3A" w:rsidRDefault="00951C76" w:rsidP="0039093F">
      <w:pPr>
        <w:spacing w:after="0" w:line="240" w:lineRule="auto"/>
        <w:rPr>
          <w:rFonts w:ascii="Times New Roman" w:hAnsi="Times New Roman" w:cs="Times New Roman"/>
          <w:b/>
          <w:sz w:val="28"/>
          <w:szCs w:val="28"/>
        </w:rPr>
      </w:pPr>
    </w:p>
    <w:p w14:paraId="34783AF3" w14:textId="77777777" w:rsidR="00951C76" w:rsidRPr="00916B3A" w:rsidRDefault="00951C76" w:rsidP="0039093F">
      <w:pPr>
        <w:spacing w:after="0" w:line="240" w:lineRule="auto"/>
        <w:rPr>
          <w:rFonts w:ascii="Times New Roman" w:hAnsi="Times New Roman" w:cs="Times New Roman"/>
          <w:b/>
          <w:sz w:val="28"/>
          <w:szCs w:val="28"/>
        </w:rPr>
      </w:pPr>
    </w:p>
    <w:p w14:paraId="54E79BD7" w14:textId="2CB15A0C" w:rsidR="007B3B39" w:rsidRDefault="007B3B39" w:rsidP="0039093F">
      <w:pPr>
        <w:spacing w:after="0" w:line="240" w:lineRule="auto"/>
        <w:rPr>
          <w:rFonts w:ascii="Times New Roman" w:hAnsi="Times New Roman" w:cs="Times New Roman"/>
          <w:b/>
          <w:sz w:val="28"/>
          <w:szCs w:val="28"/>
        </w:rPr>
      </w:pPr>
    </w:p>
    <w:p w14:paraId="2AD859A0" w14:textId="6F8E5F03" w:rsidR="001D37D3" w:rsidRDefault="001D37D3" w:rsidP="0039093F">
      <w:pPr>
        <w:spacing w:after="0" w:line="240" w:lineRule="auto"/>
        <w:rPr>
          <w:rFonts w:ascii="Times New Roman" w:hAnsi="Times New Roman" w:cs="Times New Roman"/>
          <w:b/>
          <w:sz w:val="28"/>
          <w:szCs w:val="28"/>
        </w:rPr>
      </w:pPr>
    </w:p>
    <w:p w14:paraId="43DFE5A8" w14:textId="5A443644" w:rsidR="001D37D3" w:rsidRDefault="001D37D3" w:rsidP="0039093F">
      <w:pPr>
        <w:spacing w:after="0" w:line="240" w:lineRule="auto"/>
        <w:rPr>
          <w:rFonts w:ascii="Times New Roman" w:hAnsi="Times New Roman" w:cs="Times New Roman"/>
          <w:b/>
          <w:sz w:val="28"/>
          <w:szCs w:val="28"/>
        </w:rPr>
      </w:pPr>
    </w:p>
    <w:p w14:paraId="05E2B1B0" w14:textId="78F637C8" w:rsidR="001D37D3" w:rsidRDefault="001D37D3" w:rsidP="0039093F">
      <w:pPr>
        <w:spacing w:after="0" w:line="240" w:lineRule="auto"/>
        <w:rPr>
          <w:rFonts w:ascii="Times New Roman" w:hAnsi="Times New Roman" w:cs="Times New Roman"/>
          <w:b/>
          <w:sz w:val="28"/>
          <w:szCs w:val="28"/>
        </w:rPr>
      </w:pPr>
    </w:p>
    <w:p w14:paraId="18C6DF55" w14:textId="3A12157B" w:rsidR="001D37D3" w:rsidRDefault="001D37D3" w:rsidP="0039093F">
      <w:pPr>
        <w:spacing w:after="0" w:line="240" w:lineRule="auto"/>
        <w:rPr>
          <w:rFonts w:ascii="Times New Roman" w:hAnsi="Times New Roman" w:cs="Times New Roman"/>
          <w:b/>
          <w:sz w:val="28"/>
          <w:szCs w:val="28"/>
        </w:rPr>
      </w:pPr>
    </w:p>
    <w:p w14:paraId="62CEEBD8" w14:textId="55A854E0" w:rsidR="001D37D3" w:rsidRDefault="001D37D3" w:rsidP="0039093F">
      <w:pPr>
        <w:spacing w:after="0" w:line="240" w:lineRule="auto"/>
        <w:rPr>
          <w:rFonts w:ascii="Times New Roman" w:hAnsi="Times New Roman" w:cs="Times New Roman"/>
          <w:b/>
          <w:sz w:val="28"/>
          <w:szCs w:val="28"/>
        </w:rPr>
      </w:pPr>
    </w:p>
    <w:p w14:paraId="35CCE998" w14:textId="112A4C5B" w:rsidR="00BC1756" w:rsidRDefault="00BC1756" w:rsidP="0039093F">
      <w:pPr>
        <w:spacing w:after="0" w:line="240" w:lineRule="auto"/>
        <w:rPr>
          <w:rFonts w:ascii="Times New Roman" w:hAnsi="Times New Roman" w:cs="Times New Roman"/>
          <w:b/>
          <w:sz w:val="28"/>
          <w:szCs w:val="28"/>
        </w:rPr>
      </w:pPr>
    </w:p>
    <w:p w14:paraId="2C77F6BE" w14:textId="77777777" w:rsidR="00BC1756" w:rsidRPr="00916B3A" w:rsidRDefault="00BC1756" w:rsidP="0039093F">
      <w:pPr>
        <w:spacing w:after="0" w:line="240" w:lineRule="auto"/>
        <w:rPr>
          <w:rFonts w:ascii="Times New Roman" w:hAnsi="Times New Roman" w:cs="Times New Roman"/>
          <w:b/>
          <w:sz w:val="28"/>
          <w:szCs w:val="28"/>
        </w:rPr>
      </w:pPr>
    </w:p>
    <w:p w14:paraId="606ADA45" w14:textId="77777777" w:rsidR="003C17B8" w:rsidRDefault="003C17B8">
      <w:pPr>
        <w:rPr>
          <w:rFonts w:ascii="Times New Roman" w:hAnsi="Times New Roman" w:cs="Times New Roman"/>
          <w:b/>
          <w:sz w:val="28"/>
          <w:szCs w:val="28"/>
        </w:rPr>
      </w:pPr>
      <w:r>
        <w:rPr>
          <w:rFonts w:ascii="Times New Roman" w:hAnsi="Times New Roman" w:cs="Times New Roman"/>
          <w:b/>
          <w:sz w:val="28"/>
          <w:szCs w:val="28"/>
        </w:rPr>
        <w:br w:type="page"/>
      </w:r>
    </w:p>
    <w:p w14:paraId="13295372" w14:textId="5CDE8A41" w:rsidR="00E8587D" w:rsidRPr="00916B3A" w:rsidRDefault="00AC6EDE" w:rsidP="00807117">
      <w:pPr>
        <w:spacing w:after="0" w:line="240" w:lineRule="auto"/>
        <w:ind w:firstLine="567"/>
        <w:rPr>
          <w:rFonts w:ascii="Times New Roman" w:hAnsi="Times New Roman" w:cs="Times New Roman"/>
          <w:b/>
          <w:sz w:val="28"/>
          <w:szCs w:val="28"/>
        </w:rPr>
      </w:pPr>
      <w:r w:rsidRPr="00916B3A">
        <w:rPr>
          <w:rFonts w:ascii="Times New Roman" w:hAnsi="Times New Roman" w:cs="Times New Roman"/>
          <w:b/>
          <w:sz w:val="28"/>
          <w:szCs w:val="28"/>
        </w:rPr>
        <w:t xml:space="preserve">2 </w:t>
      </w:r>
      <w:r w:rsidR="00E8587D" w:rsidRPr="00916B3A">
        <w:rPr>
          <w:rFonts w:ascii="Times New Roman" w:hAnsi="Times New Roman" w:cs="Times New Roman"/>
          <w:b/>
          <w:sz w:val="28"/>
          <w:szCs w:val="28"/>
        </w:rPr>
        <w:t>МАТЕРИАЛЫ И МЕТОДЫ ИССЛЕДОВАНИЯ</w:t>
      </w:r>
    </w:p>
    <w:p w14:paraId="3E700862" w14:textId="77777777" w:rsidR="00AC6EDE" w:rsidRPr="00916B3A" w:rsidRDefault="00AC6EDE" w:rsidP="00AC6EDE">
      <w:pPr>
        <w:spacing w:after="0" w:line="240" w:lineRule="auto"/>
        <w:ind w:firstLine="567"/>
        <w:jc w:val="both"/>
        <w:rPr>
          <w:rFonts w:ascii="Times New Roman" w:hAnsi="Times New Roman" w:cs="Times New Roman"/>
          <w:sz w:val="28"/>
          <w:szCs w:val="28"/>
        </w:rPr>
      </w:pPr>
    </w:p>
    <w:p w14:paraId="7DE83D95" w14:textId="302DD2F4" w:rsidR="00C9698D" w:rsidRDefault="00C9698D" w:rsidP="00420238">
      <w:pPr>
        <w:pStyle w:val="a6"/>
        <w:pBdr>
          <w:bottom w:val="single" w:sz="4" w:space="31" w:color="FFFFFF"/>
        </w:pBdr>
        <w:tabs>
          <w:tab w:val="left" w:pos="0"/>
        </w:tabs>
        <w:autoSpaceDE w:val="0"/>
        <w:spacing w:after="0" w:line="240" w:lineRule="auto"/>
        <w:ind w:left="0"/>
        <w:jc w:val="both"/>
        <w:rPr>
          <w:rFonts w:ascii="Times New Roman" w:hAnsi="Times New Roman" w:cs="Times New Roman"/>
          <w:sz w:val="28"/>
          <w:szCs w:val="28"/>
        </w:rPr>
      </w:pPr>
      <w:r w:rsidRPr="00916B3A">
        <w:rPr>
          <w:rFonts w:ascii="Times New Roman" w:hAnsi="Times New Roman" w:cs="Times New Roman"/>
          <w:sz w:val="28"/>
          <w:szCs w:val="28"/>
        </w:rPr>
        <w:t>Дизайн диссертационного исследования представлен</w:t>
      </w:r>
      <w:r w:rsidR="00420238">
        <w:rPr>
          <w:rFonts w:ascii="Times New Roman" w:hAnsi="Times New Roman" w:cs="Times New Roman"/>
          <w:sz w:val="28"/>
          <w:szCs w:val="28"/>
        </w:rPr>
        <w:t>ы</w:t>
      </w:r>
      <w:r w:rsidRPr="00916B3A">
        <w:rPr>
          <w:rFonts w:ascii="Times New Roman" w:hAnsi="Times New Roman" w:cs="Times New Roman"/>
          <w:sz w:val="28"/>
          <w:szCs w:val="28"/>
        </w:rPr>
        <w:t xml:space="preserve"> на </w:t>
      </w:r>
      <w:r w:rsidR="00FE7F79">
        <w:rPr>
          <w:rFonts w:ascii="Times New Roman" w:hAnsi="Times New Roman" w:cs="Times New Roman"/>
          <w:sz w:val="28"/>
          <w:szCs w:val="28"/>
        </w:rPr>
        <w:t>р</w:t>
      </w:r>
      <w:r w:rsidRPr="00916B3A">
        <w:rPr>
          <w:rFonts w:ascii="Times New Roman" w:hAnsi="Times New Roman" w:cs="Times New Roman"/>
          <w:sz w:val="28"/>
          <w:szCs w:val="28"/>
        </w:rPr>
        <w:t>исунках 1, 2.</w:t>
      </w:r>
    </w:p>
    <w:p w14:paraId="7B902405" w14:textId="52B23F86" w:rsidR="00FE7F79" w:rsidRDefault="00FE7F79" w:rsidP="00420238">
      <w:pPr>
        <w:pStyle w:val="a6"/>
        <w:pBdr>
          <w:bottom w:val="single" w:sz="4" w:space="31" w:color="FFFFFF"/>
        </w:pBdr>
        <w:tabs>
          <w:tab w:val="left" w:pos="0"/>
        </w:tabs>
        <w:autoSpaceDE w:val="0"/>
        <w:spacing w:after="0" w:line="240" w:lineRule="auto"/>
        <w:ind w:left="0"/>
        <w:jc w:val="both"/>
        <w:rPr>
          <w:rFonts w:ascii="Times New Roman" w:hAnsi="Times New Roman" w:cs="Times New Roman"/>
          <w:sz w:val="28"/>
          <w:szCs w:val="28"/>
        </w:rPr>
      </w:pPr>
    </w:p>
    <w:p w14:paraId="366F7CD0" w14:textId="1B3BC6BB" w:rsidR="005A7B0F" w:rsidRDefault="00FE7F79" w:rsidP="005A7B0F">
      <w:pPr>
        <w:pBdr>
          <w:bottom w:val="single" w:sz="4" w:space="31" w:color="FFFFFF"/>
        </w:pBdr>
        <w:tabs>
          <w:tab w:val="left" w:pos="0"/>
        </w:tabs>
        <w:autoSpaceDE w:val="0"/>
        <w:spacing w:after="0" w:line="240" w:lineRule="auto"/>
        <w:jc w:val="both"/>
        <w:rPr>
          <w:rFonts w:ascii="Times New Roman" w:hAnsi="Times New Roman" w:cs="Times New Roman"/>
          <w:sz w:val="24"/>
          <w:szCs w:val="24"/>
        </w:rPr>
      </w:pPr>
      <w:r w:rsidRPr="00487233">
        <w:rPr>
          <w:noProof/>
          <w:lang w:eastAsia="ru-RU"/>
        </w:rPr>
        <mc:AlternateContent>
          <mc:Choice Requires="wpg">
            <w:drawing>
              <wp:anchor distT="0" distB="0" distL="114300" distR="114300" simplePos="0" relativeHeight="251659264" behindDoc="0" locked="0" layoutInCell="1" allowOverlap="1" wp14:anchorId="76A9D3DE" wp14:editId="0BB85A82">
                <wp:simplePos x="0" y="0"/>
                <wp:positionH relativeFrom="column">
                  <wp:posOffset>214274</wp:posOffset>
                </wp:positionH>
                <wp:positionV relativeFrom="paragraph">
                  <wp:posOffset>53324</wp:posOffset>
                </wp:positionV>
                <wp:extent cx="5626331" cy="3310890"/>
                <wp:effectExtent l="0" t="0" r="12700" b="22860"/>
                <wp:wrapNone/>
                <wp:docPr id="399654397" name="Google Shape;345;p45"/>
                <wp:cNvGraphicFramePr/>
                <a:graphic xmlns:a="http://schemas.openxmlformats.org/drawingml/2006/main">
                  <a:graphicData uri="http://schemas.microsoft.com/office/word/2010/wordprocessingGroup">
                    <wpg:wgp>
                      <wpg:cNvGrpSpPr/>
                      <wpg:grpSpPr>
                        <a:xfrm>
                          <a:off x="0" y="0"/>
                          <a:ext cx="5626331" cy="3310890"/>
                          <a:chOff x="107561" y="0"/>
                          <a:chExt cx="7950719" cy="4656367"/>
                        </a:xfrm>
                        <a:solidFill>
                          <a:schemeClr val="bg1"/>
                        </a:solidFill>
                      </wpg:grpSpPr>
                      <wpg:grpSp>
                        <wpg:cNvPr id="399654398" name="Google Shape;346;p45"/>
                        <wpg:cNvGrpSpPr/>
                        <wpg:grpSpPr>
                          <a:xfrm>
                            <a:off x="107561" y="0"/>
                            <a:ext cx="7950719" cy="1827127"/>
                            <a:chOff x="107561" y="0"/>
                            <a:chExt cx="7950719" cy="1827127"/>
                          </a:xfrm>
                          <a:grpFill/>
                        </wpg:grpSpPr>
                        <wps:wsp>
                          <wps:cNvPr id="399654399" name="Google Shape;347;p45"/>
                          <wps:cNvSpPr/>
                          <wps:spPr>
                            <a:xfrm>
                              <a:off x="2992529" y="0"/>
                              <a:ext cx="2632786" cy="484464"/>
                            </a:xfrm>
                            <a:prstGeom prst="roundRect">
                              <a:avLst>
                                <a:gd name="adj" fmla="val 15096"/>
                              </a:avLst>
                            </a:prstGeom>
                            <a:grpFill/>
                            <a:ln>
                              <a:solidFill>
                                <a:schemeClr val="tx1"/>
                              </a:solidFill>
                            </a:ln>
                          </wps:spPr>
                          <wps:txbx>
                            <w:txbxContent>
                              <w:p w14:paraId="1F1ED3B3" w14:textId="77777777" w:rsidR="00F26644" w:rsidRPr="00D17CB7" w:rsidRDefault="00F26644" w:rsidP="005A7B0F">
                                <w:pPr>
                                  <w:pStyle w:val="a9"/>
                                  <w:spacing w:before="0" w:beforeAutospacing="0" w:after="0" w:afterAutospacing="0"/>
                                  <w:jc w:val="center"/>
                                </w:pPr>
                                <w:r w:rsidRPr="00D17CB7">
                                  <w:rPr>
                                    <w:rFonts w:eastAsia="Arial"/>
                                    <w:color w:val="000000"/>
                                  </w:rPr>
                                  <w:t>Период 2021-2023гг.</w:t>
                                </w:r>
                              </w:p>
                            </w:txbxContent>
                          </wps:txbx>
                          <wps:bodyPr spcFirstLastPara="1" wrap="square" lIns="91425" tIns="45700" rIns="91425" bIns="45700" anchor="ctr" anchorCtr="0">
                            <a:noAutofit/>
                          </wps:bodyPr>
                        </wps:wsp>
                        <wps:wsp>
                          <wps:cNvPr id="1872405792" name="Google Shape;348;p45"/>
                          <wps:cNvSpPr/>
                          <wps:spPr>
                            <a:xfrm>
                              <a:off x="107561" y="484463"/>
                              <a:ext cx="7708100" cy="568832"/>
                            </a:xfrm>
                            <a:prstGeom prst="roundRect">
                              <a:avLst>
                                <a:gd name="adj" fmla="val 20579"/>
                              </a:avLst>
                            </a:prstGeom>
                            <a:grpFill/>
                            <a:ln>
                              <a:solidFill>
                                <a:schemeClr val="tx1"/>
                              </a:solidFill>
                            </a:ln>
                          </wps:spPr>
                          <wps:txbx>
                            <w:txbxContent>
                              <w:p w14:paraId="75D5EE76" w14:textId="77777777" w:rsidR="00F26644" w:rsidRDefault="00F26644" w:rsidP="005A7B0F">
                                <w:pPr>
                                  <w:pStyle w:val="a9"/>
                                  <w:spacing w:before="0" w:beforeAutospacing="0" w:after="0" w:afterAutospacing="0" w:line="256" w:lineRule="auto"/>
                                  <w:jc w:val="center"/>
                                </w:pPr>
                                <w:r>
                                  <w:rPr>
                                    <w:rFonts w:eastAsia="Arial"/>
                                    <w:color w:val="000000"/>
                                  </w:rPr>
                                  <w:t>Ретроспективный этап исследования</w:t>
                                </w:r>
                              </w:p>
                            </w:txbxContent>
                          </wps:txbx>
                          <wps:bodyPr spcFirstLastPara="1" wrap="square" lIns="91425" tIns="45700" rIns="91425" bIns="45700" anchor="ctr" anchorCtr="0">
                            <a:noAutofit/>
                          </wps:bodyPr>
                        </wps:wsp>
                        <wps:wsp>
                          <wps:cNvPr id="1872405793" name="Google Shape;349;p45"/>
                          <wps:cNvSpPr/>
                          <wps:spPr>
                            <a:xfrm>
                              <a:off x="107564" y="1140105"/>
                              <a:ext cx="2564771" cy="686435"/>
                            </a:xfrm>
                            <a:prstGeom prst="roundRect">
                              <a:avLst>
                                <a:gd name="adj" fmla="val 14598"/>
                              </a:avLst>
                            </a:prstGeom>
                            <a:grpFill/>
                            <a:ln>
                              <a:solidFill>
                                <a:schemeClr val="tx1"/>
                              </a:solidFill>
                            </a:ln>
                          </wps:spPr>
                          <wps:txbx>
                            <w:txbxContent>
                              <w:p w14:paraId="09C901B4" w14:textId="77777777" w:rsidR="00F26644" w:rsidRPr="00C95482" w:rsidRDefault="00F26644" w:rsidP="005A7B0F">
                                <w:pPr>
                                  <w:pStyle w:val="a9"/>
                                  <w:spacing w:before="0" w:beforeAutospacing="0" w:after="0" w:afterAutospacing="0" w:line="256" w:lineRule="auto"/>
                                  <w:jc w:val="center"/>
                                  <w:rPr>
                                    <w:sz w:val="16"/>
                                    <w:szCs w:val="16"/>
                                  </w:rPr>
                                </w:pPr>
                                <w:r w:rsidRPr="00C95482">
                                  <w:rPr>
                                    <w:rFonts w:eastAsia="Arial"/>
                                    <w:color w:val="000000"/>
                                    <w:sz w:val="16"/>
                                    <w:szCs w:val="16"/>
                                    <w:lang w:val="kk-KZ"/>
                                  </w:rPr>
                                  <w:t>Систематический обзор: толщина эндометрия и исходы беременности, PRISMA (</w:t>
                                </w:r>
                                <w:r w:rsidRPr="00C95482">
                                  <w:rPr>
                                    <w:rFonts w:eastAsia="Arial"/>
                                    <w:color w:val="000000"/>
                                    <w:sz w:val="16"/>
                                    <w:szCs w:val="16"/>
                                  </w:rPr>
                                  <w:t xml:space="preserve">20 статей </w:t>
                                </w:r>
                                <w:r w:rsidRPr="00C95482">
                                  <w:rPr>
                                    <w:rFonts w:eastAsia="Arial"/>
                                    <w:color w:val="000000"/>
                                    <w:sz w:val="16"/>
                                    <w:szCs w:val="16"/>
                                    <w:lang w:val="kk-KZ"/>
                                  </w:rPr>
                                  <w:t>)</w:t>
                                </w:r>
                              </w:p>
                            </w:txbxContent>
                          </wps:txbx>
                          <wps:bodyPr spcFirstLastPara="1" wrap="square" lIns="91425" tIns="45700" rIns="91425" bIns="45700" anchor="ctr" anchorCtr="0">
                            <a:noAutofit/>
                          </wps:bodyPr>
                        </wps:wsp>
                        <wps:wsp>
                          <wps:cNvPr id="1872405794" name="Google Shape;350;p45"/>
                          <wps:cNvSpPr/>
                          <wps:spPr>
                            <a:xfrm>
                              <a:off x="2787698" y="1140105"/>
                              <a:ext cx="2627630" cy="687022"/>
                            </a:xfrm>
                            <a:prstGeom prst="roundRect">
                              <a:avLst>
                                <a:gd name="adj" fmla="val 12529"/>
                              </a:avLst>
                            </a:prstGeom>
                            <a:grpFill/>
                            <a:ln>
                              <a:solidFill>
                                <a:schemeClr val="tx1"/>
                              </a:solidFill>
                            </a:ln>
                          </wps:spPr>
                          <wps:txbx>
                            <w:txbxContent>
                              <w:p w14:paraId="32745B61" w14:textId="77777777" w:rsidR="00F26644" w:rsidRPr="00C95482" w:rsidRDefault="00F26644" w:rsidP="005A7B0F">
                                <w:pPr>
                                  <w:pStyle w:val="a9"/>
                                  <w:spacing w:before="0" w:beforeAutospacing="0" w:after="0" w:afterAutospacing="0" w:line="256" w:lineRule="auto"/>
                                  <w:jc w:val="center"/>
                                  <w:rPr>
                                    <w:sz w:val="18"/>
                                    <w:szCs w:val="18"/>
                                  </w:rPr>
                                </w:pPr>
                                <w:r w:rsidRPr="00C95482">
                                  <w:rPr>
                                    <w:rFonts w:eastAsia="Arial"/>
                                    <w:color w:val="000000"/>
                                    <w:sz w:val="18"/>
                                    <w:szCs w:val="18"/>
                                  </w:rPr>
                                  <w:t>Мониторинг результативности программы ЭКО-ПЭ</w:t>
                                </w:r>
                              </w:p>
                            </w:txbxContent>
                          </wps:txbx>
                          <wps:bodyPr spcFirstLastPara="1" wrap="square" lIns="91425" tIns="45700" rIns="91425" bIns="45700" anchor="ctr" anchorCtr="0">
                            <a:noAutofit/>
                          </wps:bodyPr>
                        </wps:wsp>
                        <wps:wsp>
                          <wps:cNvPr id="1872405795" name="Google Shape;351;p45"/>
                          <wps:cNvSpPr/>
                          <wps:spPr>
                            <a:xfrm>
                              <a:off x="5530475" y="1140105"/>
                              <a:ext cx="2527805" cy="687022"/>
                            </a:xfrm>
                            <a:prstGeom prst="roundRect">
                              <a:avLst>
                                <a:gd name="adj" fmla="val 11795"/>
                              </a:avLst>
                            </a:prstGeom>
                            <a:grpFill/>
                            <a:ln>
                              <a:solidFill>
                                <a:schemeClr val="tx1"/>
                              </a:solidFill>
                            </a:ln>
                          </wps:spPr>
                          <wps:txbx>
                            <w:txbxContent>
                              <w:p w14:paraId="6B201EE3" w14:textId="77777777" w:rsidR="00F26644" w:rsidRPr="00C95482" w:rsidRDefault="00F26644" w:rsidP="005A7B0F">
                                <w:pPr>
                                  <w:pStyle w:val="a9"/>
                                  <w:spacing w:before="0" w:beforeAutospacing="0" w:after="0" w:afterAutospacing="0" w:line="256" w:lineRule="auto"/>
                                  <w:jc w:val="center"/>
                                  <w:rPr>
                                    <w:sz w:val="18"/>
                                    <w:szCs w:val="18"/>
                                  </w:rPr>
                                </w:pPr>
                                <w:r w:rsidRPr="00C95482">
                                  <w:rPr>
                                    <w:rFonts w:eastAsia="Arial"/>
                                    <w:color w:val="000000"/>
                                    <w:sz w:val="18"/>
                                    <w:szCs w:val="18"/>
                                  </w:rPr>
                                  <w:t>Проведение логистического регрессионного анализа(n=279)</w:t>
                                </w:r>
                              </w:p>
                            </w:txbxContent>
                          </wps:txbx>
                          <wps:bodyPr spcFirstLastPara="1" wrap="square" lIns="91425" tIns="45700" rIns="91425" bIns="45700" anchor="ctr" anchorCtr="0">
                            <a:noAutofit/>
                          </wps:bodyPr>
                        </wps:wsp>
                        <wps:wsp>
                          <wps:cNvPr id="1872405796" name="Google Shape;352;p45"/>
                          <wps:cNvSpPr/>
                          <wps:spPr>
                            <a:xfrm>
                              <a:off x="4037763" y="1053295"/>
                              <a:ext cx="108000" cy="72000"/>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797" name="Google Shape;353;p45"/>
                          <wps:cNvSpPr/>
                          <wps:spPr>
                            <a:xfrm>
                              <a:off x="1410310" y="1053295"/>
                              <a:ext cx="108000" cy="72000"/>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798" name="Google Shape;354;p45"/>
                          <wps:cNvSpPr/>
                          <wps:spPr>
                            <a:xfrm>
                              <a:off x="6595769" y="1053295"/>
                              <a:ext cx="108000" cy="72000"/>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g:grpSp>
                      <wpg:grpSp>
                        <wpg:cNvPr id="1872405799" name="Google Shape;355;p45"/>
                        <wpg:cNvGrpSpPr/>
                        <wpg:grpSpPr>
                          <a:xfrm>
                            <a:off x="107563" y="1826541"/>
                            <a:ext cx="7946559" cy="2829826"/>
                            <a:chOff x="107563" y="1826541"/>
                            <a:chExt cx="7946559" cy="2829826"/>
                          </a:xfrm>
                          <a:grpFill/>
                        </wpg:grpSpPr>
                        <wps:wsp>
                          <wps:cNvPr id="1872405800" name="Google Shape;356;p45"/>
                          <wps:cNvSpPr/>
                          <wps:spPr>
                            <a:xfrm>
                              <a:off x="107563" y="1954064"/>
                              <a:ext cx="2929057" cy="1701884"/>
                            </a:xfrm>
                            <a:prstGeom prst="roundRect">
                              <a:avLst>
                                <a:gd name="adj" fmla="val 50000"/>
                              </a:avLst>
                            </a:prstGeom>
                            <a:grpFill/>
                            <a:ln>
                              <a:solidFill>
                                <a:schemeClr val="tx1"/>
                              </a:solidFill>
                            </a:ln>
                          </wps:spPr>
                          <wps:txbx>
                            <w:txbxContent>
                              <w:p w14:paraId="2955FDB3" w14:textId="77777777" w:rsidR="00F26644" w:rsidRPr="00C95482" w:rsidRDefault="00F26644" w:rsidP="005A7B0F">
                                <w:pPr>
                                  <w:pStyle w:val="a9"/>
                                  <w:spacing w:before="0" w:beforeAutospacing="0" w:after="0" w:afterAutospacing="0" w:line="256" w:lineRule="auto"/>
                                  <w:jc w:val="center"/>
                                  <w:rPr>
                                    <w:sz w:val="20"/>
                                    <w:szCs w:val="20"/>
                                  </w:rPr>
                                </w:pPr>
                                <w:r w:rsidRPr="00C95482">
                                  <w:rPr>
                                    <w:rFonts w:eastAsia="Arial"/>
                                    <w:color w:val="000000"/>
                                    <w:sz w:val="20"/>
                                    <w:szCs w:val="20"/>
                                  </w:rPr>
                                  <w:t>Анализ факторов риска неудач имплантации, наступление беременности и перинатальных исходов</w:t>
                                </w:r>
                              </w:p>
                            </w:txbxContent>
                          </wps:txbx>
                          <wps:bodyPr spcFirstLastPara="1" wrap="square" lIns="91425" tIns="45700" rIns="91425" bIns="45700" anchor="ctr" anchorCtr="0">
                            <a:noAutofit/>
                          </wps:bodyPr>
                        </wps:wsp>
                        <wps:wsp>
                          <wps:cNvPr id="1872405801" name="Google Shape;357;p45"/>
                          <wps:cNvSpPr/>
                          <wps:spPr>
                            <a:xfrm>
                              <a:off x="3117632" y="1909460"/>
                              <a:ext cx="4936490" cy="669390"/>
                            </a:xfrm>
                            <a:prstGeom prst="roundRect">
                              <a:avLst>
                                <a:gd name="adj" fmla="val 20738"/>
                              </a:avLst>
                            </a:prstGeom>
                            <a:grpFill/>
                            <a:ln>
                              <a:solidFill>
                                <a:schemeClr val="tx1"/>
                              </a:solidFill>
                            </a:ln>
                          </wps:spPr>
                          <wps:txbx>
                            <w:txbxContent>
                              <w:p w14:paraId="0B98036D" w14:textId="77777777" w:rsidR="00F26644" w:rsidRPr="00E7433D" w:rsidRDefault="00F26644" w:rsidP="005A7B0F">
                                <w:pPr>
                                  <w:pStyle w:val="a9"/>
                                  <w:spacing w:before="0" w:beforeAutospacing="0" w:after="0" w:afterAutospacing="0" w:line="256" w:lineRule="auto"/>
                                  <w:jc w:val="center"/>
                                  <w:rPr>
                                    <w:sz w:val="20"/>
                                    <w:szCs w:val="20"/>
                                  </w:rPr>
                                </w:pPr>
                                <w:r w:rsidRPr="00E7433D">
                                  <w:rPr>
                                    <w:rFonts w:eastAsia="Arial"/>
                                    <w:color w:val="000000"/>
                                    <w:sz w:val="20"/>
                                    <w:szCs w:val="20"/>
                                  </w:rPr>
                                  <w:t>Клинико-статистический анализ, оценка результатов лабораторных и инструментальных методов</w:t>
                                </w:r>
                              </w:p>
                            </w:txbxContent>
                          </wps:txbx>
                          <wps:bodyPr spcFirstLastPara="1" wrap="square" lIns="91425" tIns="45700" rIns="91425" bIns="45700" anchor="ctr" anchorCtr="0">
                            <a:noAutofit/>
                          </wps:bodyPr>
                        </wps:wsp>
                        <wps:wsp>
                          <wps:cNvPr id="1872405802" name="Google Shape;360;p45"/>
                          <wps:cNvSpPr/>
                          <wps:spPr>
                            <a:xfrm>
                              <a:off x="3752322" y="2630441"/>
                              <a:ext cx="3196098" cy="350039"/>
                            </a:xfrm>
                            <a:prstGeom prst="roundRect">
                              <a:avLst>
                                <a:gd name="adj" fmla="val 0"/>
                              </a:avLst>
                            </a:prstGeom>
                            <a:grpFill/>
                            <a:ln>
                              <a:solidFill>
                                <a:schemeClr val="tx1"/>
                              </a:solidFill>
                            </a:ln>
                          </wps:spPr>
                          <wps:txbx>
                            <w:txbxContent>
                              <w:p w14:paraId="5352C3CB" w14:textId="77777777" w:rsidR="00F26644" w:rsidRPr="00B40395" w:rsidRDefault="00F26644" w:rsidP="005A7B0F">
                                <w:pPr>
                                  <w:pStyle w:val="a9"/>
                                  <w:spacing w:before="0" w:beforeAutospacing="0" w:after="0" w:afterAutospacing="0" w:line="256" w:lineRule="auto"/>
                                  <w:rPr>
                                    <w:sz w:val="20"/>
                                    <w:szCs w:val="20"/>
                                  </w:rPr>
                                </w:pPr>
                                <w:r w:rsidRPr="00B40395">
                                  <w:rPr>
                                    <w:rFonts w:eastAsia="Arial"/>
                                    <w:color w:val="000000"/>
                                    <w:sz w:val="20"/>
                                    <w:szCs w:val="20"/>
                                  </w:rPr>
                                  <w:t>Основные факторы неудач имплантации</w:t>
                                </w:r>
                              </w:p>
                            </w:txbxContent>
                          </wps:txbx>
                          <wps:bodyPr spcFirstLastPara="1" wrap="square" lIns="91425" tIns="45700" rIns="91425" bIns="45700" anchor="ctr" anchorCtr="0">
                            <a:noAutofit/>
                          </wps:bodyPr>
                        </wps:wsp>
                        <wps:wsp>
                          <wps:cNvPr id="1872405803" name="Google Shape;361;p45"/>
                          <wps:cNvSpPr/>
                          <wps:spPr>
                            <a:xfrm>
                              <a:off x="3565933" y="3084652"/>
                              <a:ext cx="3628435" cy="571500"/>
                            </a:xfrm>
                            <a:prstGeom prst="roundRect">
                              <a:avLst>
                                <a:gd name="adj" fmla="val 23894"/>
                              </a:avLst>
                            </a:prstGeom>
                            <a:grpFill/>
                            <a:ln>
                              <a:solidFill>
                                <a:schemeClr val="tx1"/>
                              </a:solidFill>
                            </a:ln>
                          </wps:spPr>
                          <wps:txbx>
                            <w:txbxContent>
                              <w:p w14:paraId="68AC9C6E" w14:textId="77777777" w:rsidR="00F26644" w:rsidRPr="00B40395" w:rsidRDefault="00F26644" w:rsidP="005A7B0F">
                                <w:pPr>
                                  <w:pStyle w:val="a9"/>
                                  <w:spacing w:before="0" w:beforeAutospacing="0" w:after="0" w:afterAutospacing="0" w:line="256" w:lineRule="auto"/>
                                  <w:jc w:val="center"/>
                                  <w:rPr>
                                    <w:sz w:val="22"/>
                                    <w:szCs w:val="22"/>
                                  </w:rPr>
                                </w:pPr>
                                <w:r w:rsidRPr="00B40395">
                                  <w:rPr>
                                    <w:rFonts w:eastAsia="Arial"/>
                                    <w:color w:val="000000"/>
                                    <w:sz w:val="22"/>
                                    <w:szCs w:val="22"/>
                                  </w:rPr>
                                  <w:t>Статистический анализ</w:t>
                                </w:r>
                              </w:p>
                            </w:txbxContent>
                          </wps:txbx>
                          <wps:bodyPr spcFirstLastPara="1" wrap="square" lIns="91425" tIns="45700" rIns="91425" bIns="45700" anchor="ctr" anchorCtr="0">
                            <a:noAutofit/>
                          </wps:bodyPr>
                        </wps:wsp>
                        <wps:wsp>
                          <wps:cNvPr id="1872405804" name="Google Shape;362;p45"/>
                          <wps:cNvSpPr/>
                          <wps:spPr>
                            <a:xfrm>
                              <a:off x="276994" y="3738485"/>
                              <a:ext cx="7538132" cy="465674"/>
                            </a:xfrm>
                            <a:prstGeom prst="roundRect">
                              <a:avLst>
                                <a:gd name="adj" fmla="val 25359"/>
                              </a:avLst>
                            </a:prstGeom>
                            <a:grpFill/>
                            <a:ln>
                              <a:solidFill>
                                <a:schemeClr val="tx1"/>
                              </a:solidFill>
                            </a:ln>
                          </wps:spPr>
                          <wps:txbx>
                            <w:txbxContent>
                              <w:p w14:paraId="5534A3D6" w14:textId="77777777" w:rsidR="00F26644" w:rsidRPr="00B40395" w:rsidRDefault="00F26644" w:rsidP="005A7B0F">
                                <w:pPr>
                                  <w:pStyle w:val="a9"/>
                                  <w:spacing w:before="0" w:beforeAutospacing="0" w:after="0" w:afterAutospacing="0" w:line="256" w:lineRule="auto"/>
                                  <w:jc w:val="center"/>
                                  <w:rPr>
                                    <w:sz w:val="22"/>
                                    <w:szCs w:val="22"/>
                                  </w:rPr>
                                </w:pPr>
                                <w:r w:rsidRPr="00B40395">
                                  <w:rPr>
                                    <w:rFonts w:eastAsia="Arial"/>
                                    <w:color w:val="000000"/>
                                    <w:sz w:val="22"/>
                                    <w:szCs w:val="22"/>
                                  </w:rPr>
                                  <w:t>Оценка эффективности внедренной программы «Аңсаған сәби»</w:t>
                                </w:r>
                              </w:p>
                            </w:txbxContent>
                          </wps:txbx>
                          <wps:bodyPr spcFirstLastPara="1" wrap="square" lIns="91425" tIns="45700" rIns="91425" bIns="45700" anchor="ctr" anchorCtr="0">
                            <a:noAutofit/>
                          </wps:bodyPr>
                        </wps:wsp>
                        <wps:wsp>
                          <wps:cNvPr id="1872405805" name="Google Shape;363;p45"/>
                          <wps:cNvSpPr/>
                          <wps:spPr>
                            <a:xfrm>
                              <a:off x="268711" y="4231565"/>
                              <a:ext cx="7538085" cy="424802"/>
                            </a:xfrm>
                            <a:prstGeom prst="roundRect">
                              <a:avLst>
                                <a:gd name="adj" fmla="val 24511"/>
                              </a:avLst>
                            </a:prstGeom>
                            <a:grpFill/>
                            <a:ln>
                              <a:solidFill>
                                <a:schemeClr val="tx1"/>
                              </a:solidFill>
                            </a:ln>
                          </wps:spPr>
                          <wps:txbx>
                            <w:txbxContent>
                              <w:p w14:paraId="08CFF3F7" w14:textId="77777777" w:rsidR="00F26644" w:rsidRPr="00B40395" w:rsidRDefault="00F26644" w:rsidP="005A7B0F">
                                <w:pPr>
                                  <w:pStyle w:val="a9"/>
                                  <w:spacing w:before="0" w:beforeAutospacing="0" w:after="0" w:afterAutospacing="0" w:line="256" w:lineRule="auto"/>
                                  <w:jc w:val="center"/>
                                  <w:rPr>
                                    <w:sz w:val="22"/>
                                    <w:szCs w:val="22"/>
                                  </w:rPr>
                                </w:pPr>
                                <w:r w:rsidRPr="00B40395">
                                  <w:rPr>
                                    <w:rFonts w:eastAsia="Arial"/>
                                    <w:color w:val="000000"/>
                                    <w:sz w:val="22"/>
                                    <w:szCs w:val="22"/>
                                    <w:lang w:val="kk-KZ"/>
                                  </w:rPr>
                                  <w:t>Оценка влиянии  толщины эндометрия на наступления беременности</w:t>
                                </w:r>
                              </w:p>
                            </w:txbxContent>
                          </wps:txbx>
                          <wps:bodyPr spcFirstLastPara="1" wrap="square" lIns="91425" tIns="45700" rIns="91425" bIns="45700" anchor="ctr" anchorCtr="0">
                            <a:noAutofit/>
                          </wps:bodyPr>
                        </wps:wsp>
                        <wps:wsp>
                          <wps:cNvPr id="1872405806" name="Google Shape;364;p45"/>
                          <wps:cNvSpPr/>
                          <wps:spPr>
                            <a:xfrm>
                              <a:off x="1410310" y="1846161"/>
                              <a:ext cx="108000" cy="72000"/>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07" name="Google Shape;368;p45"/>
                          <wps:cNvSpPr/>
                          <wps:spPr>
                            <a:xfrm>
                              <a:off x="4043551" y="4132161"/>
                              <a:ext cx="108000" cy="72000"/>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08" name="Google Shape;369;p45"/>
                          <wps:cNvSpPr/>
                          <wps:spPr>
                            <a:xfrm>
                              <a:off x="4043243" y="1826541"/>
                              <a:ext cx="102203" cy="127728"/>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09" name="Google Shape;370;p45"/>
                          <wps:cNvSpPr/>
                          <wps:spPr>
                            <a:xfrm flipH="1">
                              <a:off x="5971112" y="3656152"/>
                              <a:ext cx="88031" cy="71254"/>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10" name="Google Shape;371;p45"/>
                          <wps:cNvSpPr/>
                          <wps:spPr>
                            <a:xfrm flipH="1">
                              <a:off x="5862957" y="2980480"/>
                              <a:ext cx="136859" cy="104172"/>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11" name="Google Shape;372;p45"/>
                          <wps:cNvSpPr/>
                          <wps:spPr>
                            <a:xfrm>
                              <a:off x="5863121" y="2450248"/>
                              <a:ext cx="107534" cy="128604"/>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12" name="Google Shape;373;p45"/>
                          <wps:cNvSpPr/>
                          <wps:spPr>
                            <a:xfrm>
                              <a:off x="6601556" y="1846161"/>
                              <a:ext cx="108000" cy="72000"/>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6A9D3DE" id="Google Shape;345;p45" o:spid="_x0000_s1026" style="position:absolute;left:0;text-align:left;margin-left:16.85pt;margin-top:4.2pt;width:443pt;height:260.7pt;z-index:251659264;mso-width-relative:margin;mso-height-relative:margin" coordorigin="1075" coordsize="79507,4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">
                <v:group id="Google Shape;346;p45" o:spid="_x0000_s1027" style="position:absolute;left:1075;width:79507;height:18271" coordorigin="1075" coordsize="79507,1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">
                  <v:roundrect id="Google Shape;347;p45" o:spid="_x0000_s1028" style="position:absolute;left:29925;width:26328;height:4844;visibility:visible;mso-wrap-style:square;v-text-anchor:middle" arcsize="98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" filled="f" strokecolor="black [3213]">
                    <v:textbox inset="2.53958mm,1.2694mm,2.53958mm,1.2694mm">
                      <w:txbxContent>
                        <w:p w14:paraId="1F1ED3B3" w14:textId="77777777" w:rsidR="00F26644" w:rsidRPr="00D17CB7" w:rsidRDefault="00F26644" w:rsidP="005A7B0F">
                          <w:pPr>
                            <w:pStyle w:val="a9"/>
                            <w:spacing w:before="0" w:beforeAutospacing="0" w:after="0" w:afterAutospacing="0"/>
                            <w:jc w:val="center"/>
                          </w:pPr>
                          <w:r w:rsidRPr="00D17CB7">
                            <w:rPr>
                              <w:rFonts w:eastAsia="Arial"/>
                              <w:color w:val="000000"/>
                            </w:rPr>
                            <w:t>Период 2021-2023гг.</w:t>
                          </w:r>
                        </w:p>
                      </w:txbxContent>
                    </v:textbox>
                  </v:roundrect>
                  <v:roundrect id="Google Shape;348;p45" o:spid="_x0000_s1029" style="position:absolute;left:1075;top:4844;width:77081;height:5688;visibility:visible;mso-wrap-style:square;v-text-anchor:middle" arcsize="134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" filled="f" strokecolor="black [3213]">
                    <v:textbox inset="2.53958mm,1.2694mm,2.53958mm,1.2694mm">
                      <w:txbxContent>
                        <w:p w14:paraId="75D5EE76" w14:textId="77777777" w:rsidR="00F26644" w:rsidRDefault="00F26644" w:rsidP="005A7B0F">
                          <w:pPr>
                            <w:pStyle w:val="a9"/>
                            <w:spacing w:before="0" w:beforeAutospacing="0" w:after="0" w:afterAutospacing="0" w:line="256" w:lineRule="auto"/>
                            <w:jc w:val="center"/>
                          </w:pPr>
                          <w:r>
                            <w:rPr>
                              <w:rFonts w:eastAsia="Arial"/>
                              <w:color w:val="000000"/>
                            </w:rPr>
                            <w:t>Ретроспективный этап исследования</w:t>
                          </w:r>
                        </w:p>
                      </w:txbxContent>
                    </v:textbox>
                  </v:roundrect>
                  <v:roundrect id="Google Shape;349;p45" o:spid="_x0000_s1030" style="position:absolute;left:1075;top:11401;width:25648;height:6864;visibility:visible;mso-wrap-style:square;v-text-anchor:middle" arcsize="95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" filled="f" strokecolor="black [3213]">
                    <v:textbox inset="2.53958mm,1.2694mm,2.53958mm,1.2694mm">
                      <w:txbxContent>
                        <w:p w14:paraId="09C901B4" w14:textId="77777777" w:rsidR="00F26644" w:rsidRPr="00C95482" w:rsidRDefault="00F26644" w:rsidP="005A7B0F">
                          <w:pPr>
                            <w:pStyle w:val="a9"/>
                            <w:spacing w:before="0" w:beforeAutospacing="0" w:after="0" w:afterAutospacing="0" w:line="256" w:lineRule="auto"/>
                            <w:jc w:val="center"/>
                            <w:rPr>
                              <w:sz w:val="16"/>
                              <w:szCs w:val="16"/>
                            </w:rPr>
                          </w:pPr>
                          <w:r w:rsidRPr="00C95482">
                            <w:rPr>
                              <w:rFonts w:eastAsia="Arial"/>
                              <w:color w:val="000000"/>
                              <w:sz w:val="16"/>
                              <w:szCs w:val="16"/>
                              <w:lang w:val="kk-KZ"/>
                            </w:rPr>
                            <w:t>Систематический обзор: толщина эндометрия и исходы беременности, PRISMA (</w:t>
                          </w:r>
                          <w:r w:rsidRPr="00C95482">
                            <w:rPr>
                              <w:rFonts w:eastAsia="Arial"/>
                              <w:color w:val="000000"/>
                              <w:sz w:val="16"/>
                              <w:szCs w:val="16"/>
                            </w:rPr>
                            <w:t xml:space="preserve">20 статей </w:t>
                          </w:r>
                          <w:r w:rsidRPr="00C95482">
                            <w:rPr>
                              <w:rFonts w:eastAsia="Arial"/>
                              <w:color w:val="000000"/>
                              <w:sz w:val="16"/>
                              <w:szCs w:val="16"/>
                              <w:lang w:val="kk-KZ"/>
                            </w:rPr>
                            <w:t>)</w:t>
                          </w:r>
                        </w:p>
                      </w:txbxContent>
                    </v:textbox>
                  </v:roundrect>
                  <v:roundrect id="Google Shape;350;p45" o:spid="_x0000_s1031" style="position:absolute;left:27876;top:11401;width:26277;height:6870;visibility:visible;mso-wrap-style:square;v-text-anchor:middle" arcsize="82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" filled="f" strokecolor="black [3213]">
                    <v:textbox inset="2.53958mm,1.2694mm,2.53958mm,1.2694mm">
                      <w:txbxContent>
                        <w:p w14:paraId="32745B61" w14:textId="77777777" w:rsidR="00F26644" w:rsidRPr="00C95482" w:rsidRDefault="00F26644" w:rsidP="005A7B0F">
                          <w:pPr>
                            <w:pStyle w:val="a9"/>
                            <w:spacing w:before="0" w:beforeAutospacing="0" w:after="0" w:afterAutospacing="0" w:line="256" w:lineRule="auto"/>
                            <w:jc w:val="center"/>
                            <w:rPr>
                              <w:sz w:val="18"/>
                              <w:szCs w:val="18"/>
                            </w:rPr>
                          </w:pPr>
                          <w:r w:rsidRPr="00C95482">
                            <w:rPr>
                              <w:rFonts w:eastAsia="Arial"/>
                              <w:color w:val="000000"/>
                              <w:sz w:val="18"/>
                              <w:szCs w:val="18"/>
                            </w:rPr>
                            <w:t>Мониторинг результативности программы ЭКО-ПЭ</w:t>
                          </w:r>
                        </w:p>
                      </w:txbxContent>
                    </v:textbox>
                  </v:roundrect>
                  <v:roundrect id="Google Shape;351;p45" o:spid="_x0000_s1032" style="position:absolute;left:55304;top:11401;width:25278;height:6870;visibility:visible;mso-wrap-style:square;v-text-anchor:middle" arcsize="7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" filled="f" strokecolor="black [3213]">
                    <v:textbox inset="2.53958mm,1.2694mm,2.53958mm,1.2694mm">
                      <w:txbxContent>
                        <w:p w14:paraId="6B201EE3" w14:textId="77777777" w:rsidR="00F26644" w:rsidRPr="00C95482" w:rsidRDefault="00F26644" w:rsidP="005A7B0F">
                          <w:pPr>
                            <w:pStyle w:val="a9"/>
                            <w:spacing w:before="0" w:beforeAutospacing="0" w:after="0" w:afterAutospacing="0" w:line="256" w:lineRule="auto"/>
                            <w:jc w:val="center"/>
                            <w:rPr>
                              <w:sz w:val="18"/>
                              <w:szCs w:val="18"/>
                            </w:rPr>
                          </w:pPr>
                          <w:r w:rsidRPr="00C95482">
                            <w:rPr>
                              <w:rFonts w:eastAsia="Arial"/>
                              <w:color w:val="000000"/>
                              <w:sz w:val="18"/>
                              <w:szCs w:val="18"/>
                            </w:rPr>
                            <w:t>Проведение логистического регрессионного анализа(n=279)</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Google Shape;352;p45" o:spid="_x0000_s1033" type="#_x0000_t67" style="position:absolute;left:40377;top:10532;width:10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" adj="10800" filled="f" strokecolor="black [3213]" strokeweight="2.25pt">
                    <v:stroke startarrowwidth="narrow" startarrowlength="short" endarrowwidth="narrow" endarrowlength="short" joinstyle="round"/>
                    <v:textbox inset="2.53958mm,1.2694mm,2.53958mm,1.2694mm"/>
                  </v:shape>
                  <v:shape id="Google Shape;353;p45" o:spid="_x0000_s1034" type="#_x0000_t67" style="position:absolute;left:14103;top:10532;width:10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" adj="10800" filled="f" strokecolor="black [3213]" strokeweight="2.25pt">
                    <v:stroke startarrowwidth="narrow" startarrowlength="short" endarrowwidth="narrow" endarrowlength="short" joinstyle="round"/>
                    <v:textbox inset="2.53958mm,1.2694mm,2.53958mm,1.2694mm"/>
                  </v:shape>
                  <v:shape id="Google Shape;354;p45" o:spid="_x0000_s1035" type="#_x0000_t67" style="position:absolute;left:65957;top:10532;width:10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" adj="10800" filled="f" strokecolor="black [3213]" strokeweight="2.25pt">
                    <v:stroke startarrowwidth="narrow" startarrowlength="short" endarrowwidth="narrow" endarrowlength="short" joinstyle="round"/>
                    <v:textbox inset="2.53958mm,1.2694mm,2.53958mm,1.2694mm"/>
                  </v:shape>
                </v:group>
                <v:group id="Google Shape;355;p45" o:spid="_x0000_s1036" style="position:absolute;left:1075;top:18265;width:79466;height:28298" coordorigin="1075,18265" coordsize="79465,2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">
                  <v:roundrect id="Google Shape;356;p45" o:spid="_x0000_s1037" style="position:absolute;left:1075;top:19540;width:29291;height:1701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" filled="f" strokecolor="black [3213]">
                    <v:textbox inset="2.53958mm,1.2694mm,2.53958mm,1.2694mm">
                      <w:txbxContent>
                        <w:p w14:paraId="2955FDB3" w14:textId="77777777" w:rsidR="00F26644" w:rsidRPr="00C95482" w:rsidRDefault="00F26644" w:rsidP="005A7B0F">
                          <w:pPr>
                            <w:pStyle w:val="a9"/>
                            <w:spacing w:before="0" w:beforeAutospacing="0" w:after="0" w:afterAutospacing="0" w:line="256" w:lineRule="auto"/>
                            <w:jc w:val="center"/>
                            <w:rPr>
                              <w:sz w:val="20"/>
                              <w:szCs w:val="20"/>
                            </w:rPr>
                          </w:pPr>
                          <w:r w:rsidRPr="00C95482">
                            <w:rPr>
                              <w:rFonts w:eastAsia="Arial"/>
                              <w:color w:val="000000"/>
                              <w:sz w:val="20"/>
                              <w:szCs w:val="20"/>
                            </w:rPr>
                            <w:t>Анализ факторов риска неудач имплантации, наступление беременности и перинатальных исходов</w:t>
                          </w:r>
                        </w:p>
                      </w:txbxContent>
                    </v:textbox>
                  </v:roundrect>
                  <v:roundrect id="Google Shape;357;p45" o:spid="_x0000_s1038" style="position:absolute;left:31176;top:19094;width:49365;height:6694;visibility:visible;mso-wrap-style:square;v-text-anchor:middle" arcsize="135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" filled="f" strokecolor="black [3213]">
                    <v:textbox inset="2.53958mm,1.2694mm,2.53958mm,1.2694mm">
                      <w:txbxContent>
                        <w:p w14:paraId="0B98036D" w14:textId="77777777" w:rsidR="00F26644" w:rsidRPr="00E7433D" w:rsidRDefault="00F26644" w:rsidP="005A7B0F">
                          <w:pPr>
                            <w:pStyle w:val="a9"/>
                            <w:spacing w:before="0" w:beforeAutospacing="0" w:after="0" w:afterAutospacing="0" w:line="256" w:lineRule="auto"/>
                            <w:jc w:val="center"/>
                            <w:rPr>
                              <w:sz w:val="20"/>
                              <w:szCs w:val="20"/>
                            </w:rPr>
                          </w:pPr>
                          <w:r w:rsidRPr="00E7433D">
                            <w:rPr>
                              <w:rFonts w:eastAsia="Arial"/>
                              <w:color w:val="000000"/>
                              <w:sz w:val="20"/>
                              <w:szCs w:val="20"/>
                            </w:rPr>
                            <w:t>Клинико-статистический анализ, оценка результатов лабораторных и инструментальных методов</w:t>
                          </w:r>
                        </w:p>
                      </w:txbxContent>
                    </v:textbox>
                  </v:roundrect>
                  <v:roundrect id="Google Shape;360;p45" o:spid="_x0000_s1039" style="position:absolute;left:37523;top:26304;width:31961;height:35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" filled="f" strokecolor="black [3213]">
                    <v:textbox inset="2.53958mm,1.2694mm,2.53958mm,1.2694mm">
                      <w:txbxContent>
                        <w:p w14:paraId="5352C3CB" w14:textId="77777777" w:rsidR="00F26644" w:rsidRPr="00B40395" w:rsidRDefault="00F26644" w:rsidP="005A7B0F">
                          <w:pPr>
                            <w:pStyle w:val="a9"/>
                            <w:spacing w:before="0" w:beforeAutospacing="0" w:after="0" w:afterAutospacing="0" w:line="256" w:lineRule="auto"/>
                            <w:rPr>
                              <w:sz w:val="20"/>
                              <w:szCs w:val="20"/>
                            </w:rPr>
                          </w:pPr>
                          <w:r w:rsidRPr="00B40395">
                            <w:rPr>
                              <w:rFonts w:eastAsia="Arial"/>
                              <w:color w:val="000000"/>
                              <w:sz w:val="20"/>
                              <w:szCs w:val="20"/>
                            </w:rPr>
                            <w:t>Основные факторы неудач имплантации</w:t>
                          </w:r>
                        </w:p>
                      </w:txbxContent>
                    </v:textbox>
                  </v:roundrect>
                  <v:roundrect id="Google Shape;361;p45" o:spid="_x0000_s1040" style="position:absolute;left:35659;top:30846;width:36284;height:5715;visibility:visible;mso-wrap-style:square;v-text-anchor:middle" arcsize="156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" filled="f" strokecolor="black [3213]">
                    <v:textbox inset="2.53958mm,1.2694mm,2.53958mm,1.2694mm">
                      <w:txbxContent>
                        <w:p w14:paraId="68AC9C6E" w14:textId="77777777" w:rsidR="00F26644" w:rsidRPr="00B40395" w:rsidRDefault="00F26644" w:rsidP="005A7B0F">
                          <w:pPr>
                            <w:pStyle w:val="a9"/>
                            <w:spacing w:before="0" w:beforeAutospacing="0" w:after="0" w:afterAutospacing="0" w:line="256" w:lineRule="auto"/>
                            <w:jc w:val="center"/>
                            <w:rPr>
                              <w:sz w:val="22"/>
                              <w:szCs w:val="22"/>
                            </w:rPr>
                          </w:pPr>
                          <w:r w:rsidRPr="00B40395">
                            <w:rPr>
                              <w:rFonts w:eastAsia="Arial"/>
                              <w:color w:val="000000"/>
                              <w:sz w:val="22"/>
                              <w:szCs w:val="22"/>
                            </w:rPr>
                            <w:t>Статистический анализ</w:t>
                          </w:r>
                        </w:p>
                      </w:txbxContent>
                    </v:textbox>
                  </v:roundrect>
                  <v:roundrect id="Google Shape;362;p45" o:spid="_x0000_s1041" style="position:absolute;left:2769;top:37384;width:75382;height:4657;visibility:visible;mso-wrap-style:square;v-text-anchor:middle" arcsize="166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" filled="f" strokecolor="black [3213]">
                    <v:textbox inset="2.53958mm,1.2694mm,2.53958mm,1.2694mm">
                      <w:txbxContent>
                        <w:p w14:paraId="5534A3D6" w14:textId="77777777" w:rsidR="00F26644" w:rsidRPr="00B40395" w:rsidRDefault="00F26644" w:rsidP="005A7B0F">
                          <w:pPr>
                            <w:pStyle w:val="a9"/>
                            <w:spacing w:before="0" w:beforeAutospacing="0" w:after="0" w:afterAutospacing="0" w:line="256" w:lineRule="auto"/>
                            <w:jc w:val="center"/>
                            <w:rPr>
                              <w:sz w:val="22"/>
                              <w:szCs w:val="22"/>
                            </w:rPr>
                          </w:pPr>
                          <w:r w:rsidRPr="00B40395">
                            <w:rPr>
                              <w:rFonts w:eastAsia="Arial"/>
                              <w:color w:val="000000"/>
                              <w:sz w:val="22"/>
                              <w:szCs w:val="22"/>
                            </w:rPr>
                            <w:t>Оценка эффективности внедренной программы «Аңсаған сәби»</w:t>
                          </w:r>
                        </w:p>
                      </w:txbxContent>
                    </v:textbox>
                  </v:roundrect>
                  <v:roundrect id="Google Shape;363;p45" o:spid="_x0000_s1042" style="position:absolute;left:2687;top:42315;width:75380;height:4248;visibility:visible;mso-wrap-style:square;v-text-anchor:middle" arcsize="160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" filled="f" strokecolor="black [3213]">
                    <v:textbox inset="2.53958mm,1.2694mm,2.53958mm,1.2694mm">
                      <w:txbxContent>
                        <w:p w14:paraId="08CFF3F7" w14:textId="77777777" w:rsidR="00F26644" w:rsidRPr="00B40395" w:rsidRDefault="00F26644" w:rsidP="005A7B0F">
                          <w:pPr>
                            <w:pStyle w:val="a9"/>
                            <w:spacing w:before="0" w:beforeAutospacing="0" w:after="0" w:afterAutospacing="0" w:line="256" w:lineRule="auto"/>
                            <w:jc w:val="center"/>
                            <w:rPr>
                              <w:sz w:val="22"/>
                              <w:szCs w:val="22"/>
                            </w:rPr>
                          </w:pPr>
                          <w:r w:rsidRPr="00B40395">
                            <w:rPr>
                              <w:rFonts w:eastAsia="Arial"/>
                              <w:color w:val="000000"/>
                              <w:sz w:val="22"/>
                              <w:szCs w:val="22"/>
                              <w:lang w:val="kk-KZ"/>
                            </w:rPr>
                            <w:t>Оценка влиянии  толщины эндометрия на наступления беременности</w:t>
                          </w:r>
                        </w:p>
                      </w:txbxContent>
                    </v:textbox>
                  </v:roundrect>
                  <v:shape id="Google Shape;364;p45" o:spid="_x0000_s1043" type="#_x0000_t67" style="position:absolute;left:14103;top:18461;width:10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" adj="10800" filled="f" strokecolor="black [3213]" strokeweight="2.25pt">
                    <v:stroke startarrowwidth="narrow" startarrowlength="short" endarrowwidth="narrow" endarrowlength="short" joinstyle="round"/>
                    <v:textbox inset="2.53958mm,1.2694mm,2.53958mm,1.2694mm"/>
                  </v:shape>
                  <v:shape id="Google Shape;368;p45" o:spid="_x0000_s1044" type="#_x0000_t67" style="position:absolute;left:40435;top:41321;width:10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" adj="10800" filled="f" strokecolor="black [3213]" strokeweight="2.25pt">
                    <v:stroke startarrowwidth="narrow" startarrowlength="short" endarrowwidth="narrow" endarrowlength="short" joinstyle="round"/>
                    <v:textbox inset="2.53958mm,1.2694mm,2.53958mm,1.2694mm"/>
                  </v:shape>
                  <v:shape id="Google Shape;369;p45" o:spid="_x0000_s1045" type="#_x0000_t67" style="position:absolute;left:40432;top:18265;width:1022;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" adj="12958" filled="f" strokecolor="black [3213]" strokeweight="2.25pt">
                    <v:stroke startarrowwidth="narrow" startarrowlength="short" endarrowwidth="narrow" endarrowlength="short" joinstyle="round"/>
                    <v:textbox inset="2.53958mm,1.2694mm,2.53958mm,1.2694mm"/>
                  </v:shape>
                  <v:shape id="Google Shape;370;p45" o:spid="_x0000_s1046" type="#_x0000_t67" style="position:absolute;left:59711;top:36561;width:880;height:7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" adj="10800" filled="f" strokecolor="black [3213]" strokeweight="2.25pt">
                    <v:stroke startarrowwidth="narrow" startarrowlength="short" endarrowwidth="narrow" endarrowlength="short" joinstyle="round"/>
                    <v:textbox inset="2.53958mm,1.2694mm,2.53958mm,1.2694mm"/>
                  </v:shape>
                  <v:shape id="Google Shape;371;p45" o:spid="_x0000_s1047" type="#_x0000_t67" style="position:absolute;left:58629;top:29804;width:1369;height:10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" adj="10800" filled="f" strokecolor="black [3213]" strokeweight="2.25pt">
                    <v:stroke startarrowwidth="narrow" startarrowlength="short" endarrowwidth="narrow" endarrowlength="short" joinstyle="round"/>
                    <v:textbox inset="2.53958mm,1.2694mm,2.53958mm,1.2694mm"/>
                  </v:shape>
                  <v:shape id="Google Shape;372;p45" o:spid="_x0000_s1048" type="#_x0000_t67" style="position:absolute;left:58631;top:24502;width:1075;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" adj="12569" filled="f" strokecolor="black [3213]" strokeweight="2.25pt">
                    <v:stroke startarrowwidth="narrow" startarrowlength="short" endarrowwidth="narrow" endarrowlength="short" joinstyle="round"/>
                    <v:textbox inset="2.53958mm,1.2694mm,2.53958mm,1.2694mm"/>
                  </v:shape>
                  <v:shape id="Google Shape;373;p45" o:spid="_x0000_s1049" type="#_x0000_t67" style="position:absolute;left:66015;top:18461;width:10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" adj="10800" filled="f" strokecolor="black [3213]" strokeweight="2.25pt">
                    <v:stroke startarrowwidth="narrow" startarrowlength="short" endarrowwidth="narrow" endarrowlength="short" joinstyle="round"/>
                    <v:textbox inset="2.53958mm,1.2694mm,2.53958mm,1.2694mm"/>
                  </v:shape>
                </v:group>
              </v:group>
            </w:pict>
          </mc:Fallback>
        </mc:AlternateContent>
      </w:r>
    </w:p>
    <w:p w14:paraId="6E140842" w14:textId="06B79401" w:rsidR="005A7B0F" w:rsidRPr="00445A05" w:rsidRDefault="005A7B0F" w:rsidP="005A7B0F">
      <w:pPr>
        <w:pBdr>
          <w:bottom w:val="single" w:sz="4" w:space="31" w:color="FFFFFF"/>
        </w:pBdr>
        <w:tabs>
          <w:tab w:val="left" w:pos="0"/>
        </w:tabs>
        <w:autoSpaceDE w:val="0"/>
        <w:spacing w:after="0" w:line="240" w:lineRule="auto"/>
        <w:jc w:val="both"/>
        <w:rPr>
          <w:rFonts w:ascii="Times New Roman" w:hAnsi="Times New Roman" w:cs="Times New Roman"/>
          <w:sz w:val="24"/>
          <w:szCs w:val="24"/>
        </w:rPr>
      </w:pPr>
    </w:p>
    <w:p w14:paraId="118DBDDF"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05B9CB17"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43B0D1E0"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717051C4"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7CFDD2C5"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308BD876"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7FFBFB4F"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00E4FABE"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6B73F402"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5A64D847"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69CA0238"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05C403CD"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4BD280B3"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65A039D4"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4ED75BF2" w14:textId="77777777" w:rsidR="005A7B0F" w:rsidRDefault="005A7B0F" w:rsidP="005A7B0F">
      <w:pPr>
        <w:pStyle w:val="a6"/>
        <w:pBdr>
          <w:bottom w:val="single" w:sz="4" w:space="31" w:color="FFFFFF"/>
        </w:pBdr>
        <w:tabs>
          <w:tab w:val="left" w:pos="0"/>
          <w:tab w:val="left" w:pos="4571"/>
        </w:tabs>
        <w:autoSpaceDE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p>
    <w:p w14:paraId="36EF3C44" w14:textId="77777777" w:rsidR="005A7B0F" w:rsidRDefault="005A7B0F" w:rsidP="005A7B0F">
      <w:pPr>
        <w:pStyle w:val="a6"/>
        <w:pBdr>
          <w:bottom w:val="single" w:sz="4" w:space="31" w:color="FFFFFF"/>
        </w:pBdr>
        <w:tabs>
          <w:tab w:val="left" w:pos="0"/>
        </w:tabs>
        <w:autoSpaceDE w:val="0"/>
        <w:spacing w:after="0" w:line="240" w:lineRule="auto"/>
        <w:ind w:left="0" w:firstLine="567"/>
        <w:jc w:val="both"/>
        <w:rPr>
          <w:rFonts w:ascii="Times New Roman" w:hAnsi="Times New Roman" w:cs="Times New Roman"/>
          <w:sz w:val="24"/>
          <w:szCs w:val="24"/>
        </w:rPr>
      </w:pPr>
    </w:p>
    <w:p w14:paraId="2147A4A6" w14:textId="670FCB34" w:rsidR="005A7B0F" w:rsidRPr="00FE7F79" w:rsidRDefault="005A7B0F" w:rsidP="00FE7F79">
      <w:pPr>
        <w:spacing w:after="0" w:line="240" w:lineRule="auto"/>
        <w:jc w:val="center"/>
        <w:rPr>
          <w:rFonts w:ascii="Times New Roman" w:hAnsi="Times New Roman" w:cs="Times New Roman"/>
          <w:sz w:val="28"/>
          <w:szCs w:val="28"/>
        </w:rPr>
      </w:pPr>
      <w:r w:rsidRPr="00FE7F79">
        <w:rPr>
          <w:rFonts w:ascii="Times New Roman" w:hAnsi="Times New Roman" w:cs="Times New Roman"/>
          <w:sz w:val="28"/>
          <w:szCs w:val="28"/>
        </w:rPr>
        <w:t>Рисунок 1 – Дизайн ретроспективного этапа диссертационного исследования</w:t>
      </w:r>
    </w:p>
    <w:p w14:paraId="63F36813" w14:textId="77777777" w:rsidR="005A7B0F" w:rsidRDefault="005A7B0F" w:rsidP="005A7B0F">
      <w:pPr>
        <w:spacing w:after="0" w:line="240" w:lineRule="auto"/>
        <w:rPr>
          <w:rFonts w:ascii="Times New Roman" w:hAnsi="Times New Roman" w:cs="Times New Roman"/>
          <w:sz w:val="24"/>
          <w:szCs w:val="24"/>
        </w:rPr>
      </w:pPr>
    </w:p>
    <w:p w14:paraId="54843950" w14:textId="01740DDB" w:rsidR="005A7B0F" w:rsidRDefault="005A7B0F" w:rsidP="005A7B0F">
      <w:pPr>
        <w:spacing w:after="0" w:line="240" w:lineRule="auto"/>
        <w:jc w:val="center"/>
        <w:rPr>
          <w:rFonts w:ascii="Times New Roman" w:hAnsi="Times New Roman" w:cs="Times New Roman"/>
          <w:sz w:val="24"/>
          <w:szCs w:val="24"/>
        </w:rPr>
      </w:pPr>
      <w:r w:rsidRPr="00B40395">
        <w:rPr>
          <w:rFonts w:ascii="Times New Roman"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14:anchorId="506BB060" wp14:editId="1663FD09">
                <wp:simplePos x="0" y="0"/>
                <wp:positionH relativeFrom="column">
                  <wp:posOffset>-200371</wp:posOffset>
                </wp:positionH>
                <wp:positionV relativeFrom="paragraph">
                  <wp:posOffset>55014</wp:posOffset>
                </wp:positionV>
                <wp:extent cx="6038886" cy="2376055"/>
                <wp:effectExtent l="0" t="0" r="19050" b="24765"/>
                <wp:wrapNone/>
                <wp:docPr id="1872405830" name="Google Shape;345;p45"/>
                <wp:cNvGraphicFramePr/>
                <a:graphic xmlns:a="http://schemas.openxmlformats.org/drawingml/2006/main">
                  <a:graphicData uri="http://schemas.microsoft.com/office/word/2010/wordprocessingGroup">
                    <wpg:wgp>
                      <wpg:cNvGrpSpPr/>
                      <wpg:grpSpPr>
                        <a:xfrm>
                          <a:off x="0" y="0"/>
                          <a:ext cx="6038886" cy="2376055"/>
                          <a:chOff x="-35061" y="72693"/>
                          <a:chExt cx="7641254" cy="2767711"/>
                        </a:xfrm>
                        <a:solidFill>
                          <a:schemeClr val="bg1"/>
                        </a:solidFill>
                      </wpg:grpSpPr>
                      <wpg:grpSp>
                        <wpg:cNvPr id="1872405831" name="Google Shape;346;p45"/>
                        <wpg:cNvGrpSpPr/>
                        <wpg:grpSpPr>
                          <a:xfrm>
                            <a:off x="-35061" y="72693"/>
                            <a:ext cx="7641254" cy="1274924"/>
                            <a:chOff x="-35061" y="72693"/>
                            <a:chExt cx="7641254" cy="1274924"/>
                          </a:xfrm>
                          <a:grpFill/>
                        </wpg:grpSpPr>
                        <wps:wsp>
                          <wps:cNvPr id="1872405832" name="Google Shape;348;p45"/>
                          <wps:cNvSpPr/>
                          <wps:spPr>
                            <a:xfrm>
                              <a:off x="1681754" y="72693"/>
                              <a:ext cx="4526349" cy="306482"/>
                            </a:xfrm>
                            <a:prstGeom prst="roundRect">
                              <a:avLst>
                                <a:gd name="adj" fmla="val 20579"/>
                              </a:avLst>
                            </a:prstGeom>
                            <a:grpFill/>
                            <a:ln>
                              <a:solidFill>
                                <a:schemeClr val="tx1"/>
                              </a:solidFill>
                            </a:ln>
                          </wps:spPr>
                          <wps:txbx>
                            <w:txbxContent>
                              <w:p w14:paraId="19858540" w14:textId="77777777" w:rsidR="00F26644" w:rsidRDefault="00F26644" w:rsidP="005A7B0F">
                                <w:pPr>
                                  <w:pStyle w:val="a9"/>
                                  <w:spacing w:before="0" w:beforeAutospacing="0" w:after="0" w:afterAutospacing="0" w:line="256" w:lineRule="auto"/>
                                  <w:jc w:val="center"/>
                                </w:pPr>
                                <w:r>
                                  <w:rPr>
                                    <w:rFonts w:eastAsia="Arial"/>
                                    <w:color w:val="000000"/>
                                  </w:rPr>
                                  <w:t>Проспективный этап исследования (</w:t>
                                </w:r>
                                <w:r>
                                  <w:rPr>
                                    <w:rFonts w:eastAsia="Arial"/>
                                    <w:color w:val="000000"/>
                                    <w:lang w:val="en-US"/>
                                  </w:rPr>
                                  <w:t>n=</w:t>
                                </w:r>
                                <w:r>
                                  <w:rPr>
                                    <w:rFonts w:eastAsia="Arial"/>
                                    <w:color w:val="000000"/>
                                  </w:rPr>
                                  <w:t>53</w:t>
                                </w:r>
                                <w:r>
                                  <w:rPr>
                                    <w:rFonts w:eastAsia="Arial"/>
                                    <w:color w:val="000000"/>
                                    <w:lang w:val="en-US"/>
                                  </w:rPr>
                                  <w:t>)</w:t>
                                </w:r>
                              </w:p>
                            </w:txbxContent>
                          </wps:txbx>
                          <wps:bodyPr spcFirstLastPara="1" wrap="square" lIns="91425" tIns="45700" rIns="91425" bIns="45700" anchor="ctr" anchorCtr="0">
                            <a:noAutofit/>
                          </wps:bodyPr>
                        </wps:wsp>
                        <wps:wsp>
                          <wps:cNvPr id="1872405833" name="Google Shape;349;p45"/>
                          <wps:cNvSpPr/>
                          <wps:spPr>
                            <a:xfrm>
                              <a:off x="-35061" y="814871"/>
                              <a:ext cx="2402204" cy="532745"/>
                            </a:xfrm>
                            <a:prstGeom prst="roundRect">
                              <a:avLst>
                                <a:gd name="adj" fmla="val 14598"/>
                              </a:avLst>
                            </a:prstGeom>
                            <a:grpFill/>
                            <a:ln>
                              <a:solidFill>
                                <a:schemeClr val="tx1"/>
                              </a:solidFill>
                            </a:ln>
                          </wps:spPr>
                          <wps:txbx>
                            <w:txbxContent>
                              <w:p w14:paraId="1C37FE3B" w14:textId="77777777" w:rsidR="00F26644" w:rsidRPr="00D17CB7" w:rsidRDefault="00F26644" w:rsidP="005A7B0F">
                                <w:pPr>
                                  <w:pStyle w:val="a9"/>
                                  <w:spacing w:before="0" w:beforeAutospacing="0" w:after="0" w:afterAutospacing="0" w:line="256" w:lineRule="auto"/>
                                  <w:jc w:val="center"/>
                                  <w:rPr>
                                    <w:sz w:val="20"/>
                                    <w:szCs w:val="20"/>
                                  </w:rPr>
                                </w:pPr>
                                <w:r w:rsidRPr="00D17CB7">
                                  <w:rPr>
                                    <w:rFonts w:eastAsia="Arial"/>
                                    <w:color w:val="000000"/>
                                    <w:sz w:val="20"/>
                                    <w:szCs w:val="20"/>
                                  </w:rPr>
                                  <w:t xml:space="preserve">Группа с РНИ </w:t>
                                </w:r>
                                <w:r w:rsidRPr="00D17CB7">
                                  <w:rPr>
                                    <w:rFonts w:eastAsia="Arial"/>
                                    <w:color w:val="000000"/>
                                    <w:sz w:val="20"/>
                                    <w:szCs w:val="20"/>
                                    <w:lang w:val="en-US"/>
                                  </w:rPr>
                                  <w:t>(n=</w:t>
                                </w:r>
                                <w:r w:rsidRPr="00D17CB7">
                                  <w:rPr>
                                    <w:rFonts w:eastAsia="Arial"/>
                                    <w:color w:val="000000"/>
                                    <w:sz w:val="20"/>
                                    <w:szCs w:val="20"/>
                                  </w:rPr>
                                  <w:t>20</w:t>
                                </w:r>
                                <w:r w:rsidRPr="00D17CB7">
                                  <w:rPr>
                                    <w:rFonts w:eastAsia="Arial"/>
                                    <w:color w:val="000000"/>
                                    <w:sz w:val="20"/>
                                    <w:szCs w:val="20"/>
                                    <w:lang w:val="en-US"/>
                                  </w:rPr>
                                  <w:t xml:space="preserve">) </w:t>
                                </w:r>
                              </w:p>
                            </w:txbxContent>
                          </wps:txbx>
                          <wps:bodyPr spcFirstLastPara="1" wrap="square" lIns="91425" tIns="45700" rIns="91425" bIns="45700" anchor="ctr" anchorCtr="0">
                            <a:noAutofit/>
                          </wps:bodyPr>
                        </wps:wsp>
                        <wps:wsp>
                          <wps:cNvPr id="1872405834" name="Google Shape;350;p45"/>
                          <wps:cNvSpPr/>
                          <wps:spPr>
                            <a:xfrm>
                              <a:off x="2578298" y="879606"/>
                              <a:ext cx="2627629" cy="468010"/>
                            </a:xfrm>
                            <a:prstGeom prst="roundRect">
                              <a:avLst>
                                <a:gd name="adj" fmla="val 12529"/>
                              </a:avLst>
                            </a:prstGeom>
                            <a:grpFill/>
                            <a:ln>
                              <a:solidFill>
                                <a:schemeClr val="tx1"/>
                              </a:solidFill>
                            </a:ln>
                          </wps:spPr>
                          <wps:txbx>
                            <w:txbxContent>
                              <w:p w14:paraId="2936FB90" w14:textId="77777777" w:rsidR="00F26644" w:rsidRPr="00D17CB7" w:rsidRDefault="00F26644" w:rsidP="005A7B0F">
                                <w:pPr>
                                  <w:pStyle w:val="a9"/>
                                  <w:spacing w:before="0" w:beforeAutospacing="0" w:after="0" w:afterAutospacing="0" w:line="256" w:lineRule="auto"/>
                                  <w:jc w:val="center"/>
                                  <w:rPr>
                                    <w:sz w:val="22"/>
                                    <w:szCs w:val="22"/>
                                  </w:rPr>
                                </w:pPr>
                                <w:r w:rsidRPr="00D17CB7">
                                  <w:rPr>
                                    <w:rFonts w:eastAsia="Arial"/>
                                    <w:color w:val="000000"/>
                                    <w:sz w:val="22"/>
                                    <w:szCs w:val="22"/>
                                  </w:rPr>
                                  <w:t>Группа с РПБ (</w:t>
                                </w:r>
                                <w:r w:rsidRPr="00D17CB7">
                                  <w:rPr>
                                    <w:rFonts w:eastAsia="Arial"/>
                                    <w:color w:val="000000"/>
                                    <w:sz w:val="22"/>
                                    <w:szCs w:val="22"/>
                                    <w:lang w:val="en-US"/>
                                  </w:rPr>
                                  <w:t>n=</w:t>
                                </w:r>
                                <w:r w:rsidRPr="00D17CB7">
                                  <w:rPr>
                                    <w:rFonts w:eastAsia="Arial"/>
                                    <w:color w:val="000000"/>
                                    <w:sz w:val="22"/>
                                    <w:szCs w:val="22"/>
                                  </w:rPr>
                                  <w:t>19</w:t>
                                </w:r>
                                <w:r w:rsidRPr="00D17CB7">
                                  <w:rPr>
                                    <w:rFonts w:eastAsia="Arial"/>
                                    <w:color w:val="000000"/>
                                    <w:sz w:val="22"/>
                                    <w:szCs w:val="22"/>
                                    <w:lang w:val="en-US"/>
                                  </w:rPr>
                                  <w:t xml:space="preserve">) </w:t>
                                </w:r>
                              </w:p>
                            </w:txbxContent>
                          </wps:txbx>
                          <wps:bodyPr spcFirstLastPara="1" wrap="square" lIns="91425" tIns="45700" rIns="91425" bIns="45700" anchor="ctr" anchorCtr="0">
                            <a:noAutofit/>
                          </wps:bodyPr>
                        </wps:wsp>
                        <wps:wsp>
                          <wps:cNvPr id="1872405835" name="Google Shape;351;p45"/>
                          <wps:cNvSpPr/>
                          <wps:spPr>
                            <a:xfrm>
                              <a:off x="5320828" y="879608"/>
                              <a:ext cx="2285365" cy="468009"/>
                            </a:xfrm>
                            <a:prstGeom prst="roundRect">
                              <a:avLst>
                                <a:gd name="adj" fmla="val 11795"/>
                              </a:avLst>
                            </a:prstGeom>
                            <a:grpFill/>
                            <a:ln>
                              <a:solidFill>
                                <a:schemeClr val="tx1"/>
                              </a:solidFill>
                            </a:ln>
                          </wps:spPr>
                          <wps:txbx>
                            <w:txbxContent>
                              <w:p w14:paraId="48747498" w14:textId="77777777" w:rsidR="00F26644" w:rsidRPr="00D17CB7" w:rsidRDefault="00F26644" w:rsidP="005A7B0F">
                                <w:pPr>
                                  <w:pStyle w:val="a9"/>
                                  <w:spacing w:before="0" w:beforeAutospacing="0" w:after="0" w:afterAutospacing="0" w:line="256" w:lineRule="auto"/>
                                  <w:jc w:val="center"/>
                                  <w:rPr>
                                    <w:sz w:val="20"/>
                                    <w:szCs w:val="20"/>
                                  </w:rPr>
                                </w:pPr>
                                <w:r w:rsidRPr="00D17CB7">
                                  <w:rPr>
                                    <w:rFonts w:eastAsia="Arial"/>
                                    <w:color w:val="000000"/>
                                    <w:sz w:val="20"/>
                                    <w:szCs w:val="20"/>
                                  </w:rPr>
                                  <w:t xml:space="preserve">Группа фертильных женщин </w:t>
                                </w:r>
                                <w:r w:rsidRPr="00D17CB7">
                                  <w:rPr>
                                    <w:color w:val="000000"/>
                                    <w:sz w:val="20"/>
                                    <w:szCs w:val="20"/>
                                  </w:rPr>
                                  <w:t>(n=14)</w:t>
                                </w:r>
                              </w:p>
                            </w:txbxContent>
                          </wps:txbx>
                          <wps:bodyPr spcFirstLastPara="1" wrap="square" lIns="91425" tIns="45700" rIns="91425" bIns="45700" anchor="ctr" anchorCtr="0">
                            <a:noAutofit/>
                          </wps:bodyPr>
                        </wps:wsp>
                        <wps:wsp>
                          <wps:cNvPr id="1872405836" name="Google Shape;352;p45"/>
                          <wps:cNvSpPr/>
                          <wps:spPr>
                            <a:xfrm>
                              <a:off x="3809980" y="684068"/>
                              <a:ext cx="92052" cy="130802"/>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37" name="Google Shape;353;p45"/>
                          <wps:cNvSpPr/>
                          <wps:spPr>
                            <a:xfrm flipH="1">
                              <a:off x="1203730" y="626376"/>
                              <a:ext cx="110726" cy="132192"/>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38" name="Google Shape;354;p45"/>
                          <wps:cNvSpPr/>
                          <wps:spPr>
                            <a:xfrm>
                              <a:off x="6351529" y="612047"/>
                              <a:ext cx="92369" cy="146521"/>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g:grpSp>
                      <wpg:grpSp>
                        <wpg:cNvPr id="1872405839" name="Google Shape;355;p45"/>
                        <wpg:cNvGrpSpPr/>
                        <wpg:grpSpPr>
                          <a:xfrm>
                            <a:off x="340125" y="1404324"/>
                            <a:ext cx="7045104" cy="1436080"/>
                            <a:chOff x="340125" y="1404324"/>
                            <a:chExt cx="7045104" cy="1436080"/>
                          </a:xfrm>
                          <a:grpFill/>
                        </wpg:grpSpPr>
                        <wps:wsp>
                          <wps:cNvPr id="1872405840" name="Google Shape;356;p45"/>
                          <wps:cNvSpPr/>
                          <wps:spPr>
                            <a:xfrm>
                              <a:off x="340125" y="1646470"/>
                              <a:ext cx="7045104" cy="637163"/>
                            </a:xfrm>
                            <a:prstGeom prst="roundRect">
                              <a:avLst>
                                <a:gd name="adj" fmla="val 50000"/>
                              </a:avLst>
                            </a:prstGeom>
                            <a:grpFill/>
                            <a:ln>
                              <a:solidFill>
                                <a:schemeClr val="tx1"/>
                              </a:solidFill>
                            </a:ln>
                          </wps:spPr>
                          <wps:txbx>
                            <w:txbxContent>
                              <w:p w14:paraId="2A1F0071" w14:textId="77777777" w:rsidR="00F26644" w:rsidRPr="00D17CB7" w:rsidRDefault="00F26644" w:rsidP="005A7B0F">
                                <w:pPr>
                                  <w:pStyle w:val="a9"/>
                                  <w:spacing w:before="0" w:beforeAutospacing="0" w:after="0" w:afterAutospacing="0" w:line="256" w:lineRule="auto"/>
                                  <w:jc w:val="center"/>
                                  <w:rPr>
                                    <w:sz w:val="20"/>
                                    <w:szCs w:val="20"/>
                                  </w:rPr>
                                </w:pPr>
                                <w:r w:rsidRPr="00D17CB7">
                                  <w:rPr>
                                    <w:rFonts w:eastAsia="Arial"/>
                                    <w:color w:val="000000"/>
                                    <w:sz w:val="20"/>
                                    <w:szCs w:val="20"/>
                                  </w:rPr>
                                  <w:t xml:space="preserve">УЗИ толщины </w:t>
                                </w:r>
                                <w:proofErr w:type="gramStart"/>
                                <w:r w:rsidRPr="00D17CB7">
                                  <w:rPr>
                                    <w:rFonts w:eastAsia="Arial"/>
                                    <w:color w:val="000000"/>
                                    <w:sz w:val="20"/>
                                    <w:szCs w:val="20"/>
                                  </w:rPr>
                                  <w:t>эндометрия  и</w:t>
                                </w:r>
                                <w:proofErr w:type="gramEnd"/>
                                <w:r w:rsidRPr="00D17CB7">
                                  <w:rPr>
                                    <w:rFonts w:eastAsia="Arial"/>
                                    <w:color w:val="000000"/>
                                    <w:sz w:val="20"/>
                                    <w:szCs w:val="20"/>
                                  </w:rPr>
                                  <w:t xml:space="preserve"> допплерометрия сосудов эндометрия;</w:t>
                                </w:r>
                              </w:p>
                              <w:p w14:paraId="0260B93C" w14:textId="77777777" w:rsidR="00F26644" w:rsidRPr="00D17CB7" w:rsidRDefault="00F26644" w:rsidP="005A7B0F">
                                <w:pPr>
                                  <w:pStyle w:val="a6"/>
                                  <w:numPr>
                                    <w:ilvl w:val="0"/>
                                    <w:numId w:val="47"/>
                                  </w:numPr>
                                  <w:spacing w:after="0" w:line="256" w:lineRule="auto"/>
                                  <w:jc w:val="center"/>
                                  <w:rPr>
                                    <w:rFonts w:ascii="Times New Roman" w:eastAsia="Times New Roman" w:hAnsi="Times New Roman" w:cs="Times New Roman"/>
                                    <w:color w:val="000000"/>
                                    <w:sz w:val="20"/>
                                    <w:szCs w:val="20"/>
                                  </w:rPr>
                                </w:pPr>
                                <w:r w:rsidRPr="00D17CB7">
                                  <w:rPr>
                                    <w:rFonts w:ascii="Times New Roman" w:eastAsia="Arial" w:hAnsi="Times New Roman" w:cs="Times New Roman"/>
                                    <w:color w:val="000000"/>
                                    <w:sz w:val="20"/>
                                    <w:szCs w:val="20"/>
                                  </w:rPr>
                                  <w:t xml:space="preserve">Пайпель-биопсия в период окна имплантации, иммуногенетическое исследования биоптатов; </w:t>
                                </w:r>
                              </w:p>
                              <w:p w14:paraId="53AEDF87" w14:textId="77777777" w:rsidR="00F26644" w:rsidRPr="00D17CB7" w:rsidRDefault="00F26644" w:rsidP="005A7B0F">
                                <w:pPr>
                                  <w:pStyle w:val="a6"/>
                                  <w:numPr>
                                    <w:ilvl w:val="0"/>
                                    <w:numId w:val="47"/>
                                  </w:numPr>
                                  <w:spacing w:after="0" w:line="256" w:lineRule="auto"/>
                                  <w:jc w:val="center"/>
                                  <w:rPr>
                                    <w:rFonts w:ascii="Times New Roman" w:eastAsia="Times New Roman" w:hAnsi="Times New Roman" w:cs="Times New Roman"/>
                                    <w:color w:val="000000"/>
                                    <w:sz w:val="20"/>
                                    <w:szCs w:val="20"/>
                                  </w:rPr>
                                </w:pPr>
                                <w:r w:rsidRPr="00D17CB7">
                                  <w:rPr>
                                    <w:rFonts w:ascii="Times New Roman" w:eastAsia="Arial" w:hAnsi="Times New Roman" w:cs="Times New Roman"/>
                                    <w:color w:val="000000"/>
                                    <w:sz w:val="20"/>
                                    <w:szCs w:val="20"/>
                                  </w:rPr>
                                  <w:t>Статистический анализ массива полученных данных</w:t>
                                </w:r>
                              </w:p>
                            </w:txbxContent>
                          </wps:txbx>
                          <wps:bodyPr spcFirstLastPara="1" wrap="square" lIns="91425" tIns="45700" rIns="91425" bIns="45700" anchor="ctr" anchorCtr="0">
                            <a:noAutofit/>
                          </wps:bodyPr>
                        </wps:wsp>
                        <wps:wsp>
                          <wps:cNvPr id="1872405841" name="Google Shape;361;p45"/>
                          <wps:cNvSpPr/>
                          <wps:spPr>
                            <a:xfrm>
                              <a:off x="1948724" y="2490483"/>
                              <a:ext cx="3628435" cy="349921"/>
                            </a:xfrm>
                            <a:prstGeom prst="roundRect">
                              <a:avLst>
                                <a:gd name="adj" fmla="val 23894"/>
                              </a:avLst>
                            </a:prstGeom>
                            <a:grpFill/>
                            <a:ln>
                              <a:solidFill>
                                <a:schemeClr val="tx1"/>
                              </a:solidFill>
                            </a:ln>
                          </wps:spPr>
                          <wps:txbx>
                            <w:txbxContent>
                              <w:p w14:paraId="11A1E4AE" w14:textId="77777777" w:rsidR="00F26644" w:rsidRDefault="00F26644" w:rsidP="005A7B0F">
                                <w:pPr>
                                  <w:pStyle w:val="a9"/>
                                  <w:spacing w:before="0" w:beforeAutospacing="0" w:after="0" w:afterAutospacing="0" w:line="256" w:lineRule="auto"/>
                                  <w:jc w:val="center"/>
                                </w:pPr>
                                <w:r>
                                  <w:rPr>
                                    <w:rFonts w:eastAsia="Arial"/>
                                    <w:color w:val="000000"/>
                                  </w:rPr>
                                  <w:t>Алгоритм прогнозирования исходов ВРТ</w:t>
                                </w:r>
                              </w:p>
                            </w:txbxContent>
                          </wps:txbx>
                          <wps:bodyPr spcFirstLastPara="1" wrap="square" lIns="91425" tIns="45700" rIns="91425" bIns="45700" anchor="ctr" anchorCtr="0">
                            <a:noAutofit/>
                          </wps:bodyPr>
                        </wps:wsp>
                        <wps:wsp>
                          <wps:cNvPr id="1872405842" name="Google Shape;364;p45"/>
                          <wps:cNvSpPr/>
                          <wps:spPr>
                            <a:xfrm>
                              <a:off x="1203731" y="1516934"/>
                              <a:ext cx="140666" cy="129534"/>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43" name="Google Shape;369;p45"/>
                          <wps:cNvSpPr/>
                          <wps:spPr>
                            <a:xfrm>
                              <a:off x="3896566" y="1428454"/>
                              <a:ext cx="107999" cy="144459"/>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44" name="Google Shape;370;p45"/>
                          <wps:cNvSpPr/>
                          <wps:spPr>
                            <a:xfrm flipH="1">
                              <a:off x="3857756" y="2330800"/>
                              <a:ext cx="113189" cy="160564"/>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s:wsp>
                          <wps:cNvPr id="1872405846" name="Google Shape;373;p45"/>
                          <wps:cNvSpPr/>
                          <wps:spPr>
                            <a:xfrm>
                              <a:off x="6443900" y="1404324"/>
                              <a:ext cx="116551" cy="144677"/>
                            </a:xfrm>
                            <a:prstGeom prst="downArrow">
                              <a:avLst>
                                <a:gd name="adj1" fmla="val 50000"/>
                                <a:gd name="adj2" fmla="val 50000"/>
                              </a:avLst>
                            </a:prstGeom>
                            <a:grpFill/>
                            <a:ln w="28575" cap="flat" cmpd="sng">
                              <a:solidFill>
                                <a:schemeClr val="tx1"/>
                              </a:solidFill>
                              <a:prstDash val="solid"/>
                              <a:round/>
                              <a:headEnd type="none" w="sm" len="sm"/>
                              <a:tailEnd type="none" w="sm" len="sm"/>
                            </a:ln>
                          </wps:spPr>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06BB060" id="_x0000_s1050" style="position:absolute;left:0;text-align:left;margin-left:-15.8pt;margin-top:4.35pt;width:475.5pt;height:187.1pt;z-index:251660288;mso-width-relative:margin;mso-height-relative:margin" coordorigin="-350,726" coordsize="76412,2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">
                <v:group id="Google Shape;346;p45" o:spid="_x0000_s1051" style="position:absolute;left:-350;top:726;width:76411;height:12750" coordorigin="-350,726" coordsize="76412,1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">
                  <v:roundrect id="Google Shape;348;p45" o:spid="_x0000_s1052" style="position:absolute;left:16817;top:726;width:45264;height:3065;visibility:visible;mso-wrap-style:square;v-text-anchor:middle" arcsize="134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" filled="f" strokecolor="black [3213]">
                    <v:textbox inset="2.53958mm,1.2694mm,2.53958mm,1.2694mm">
                      <w:txbxContent>
                        <w:p w14:paraId="19858540" w14:textId="77777777" w:rsidR="00F26644" w:rsidRDefault="00F26644" w:rsidP="005A7B0F">
                          <w:pPr>
                            <w:pStyle w:val="a9"/>
                            <w:spacing w:before="0" w:beforeAutospacing="0" w:after="0" w:afterAutospacing="0" w:line="256" w:lineRule="auto"/>
                            <w:jc w:val="center"/>
                          </w:pPr>
                          <w:r>
                            <w:rPr>
                              <w:rFonts w:eastAsia="Arial"/>
                              <w:color w:val="000000"/>
                            </w:rPr>
                            <w:t>Проспективный этап исследования (</w:t>
                          </w:r>
                          <w:r>
                            <w:rPr>
                              <w:rFonts w:eastAsia="Arial"/>
                              <w:color w:val="000000"/>
                              <w:lang w:val="en-US"/>
                            </w:rPr>
                            <w:t>n=</w:t>
                          </w:r>
                          <w:r>
                            <w:rPr>
                              <w:rFonts w:eastAsia="Arial"/>
                              <w:color w:val="000000"/>
                            </w:rPr>
                            <w:t>53</w:t>
                          </w:r>
                          <w:r>
                            <w:rPr>
                              <w:rFonts w:eastAsia="Arial"/>
                              <w:color w:val="000000"/>
                              <w:lang w:val="en-US"/>
                            </w:rPr>
                            <w:t>)</w:t>
                          </w:r>
                        </w:p>
                      </w:txbxContent>
                    </v:textbox>
                  </v:roundrect>
                  <v:roundrect id="Google Shape;349;p45" o:spid="_x0000_s1053" style="position:absolute;left:-350;top:8148;width:24021;height:5328;visibility:visible;mso-wrap-style:square;v-text-anchor:middle" arcsize="95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" filled="f" strokecolor="black [3213]">
                    <v:textbox inset="2.53958mm,1.2694mm,2.53958mm,1.2694mm">
                      <w:txbxContent>
                        <w:p w14:paraId="1C37FE3B" w14:textId="77777777" w:rsidR="00F26644" w:rsidRPr="00D17CB7" w:rsidRDefault="00F26644" w:rsidP="005A7B0F">
                          <w:pPr>
                            <w:pStyle w:val="a9"/>
                            <w:spacing w:before="0" w:beforeAutospacing="0" w:after="0" w:afterAutospacing="0" w:line="256" w:lineRule="auto"/>
                            <w:jc w:val="center"/>
                            <w:rPr>
                              <w:sz w:val="20"/>
                              <w:szCs w:val="20"/>
                            </w:rPr>
                          </w:pPr>
                          <w:r w:rsidRPr="00D17CB7">
                            <w:rPr>
                              <w:rFonts w:eastAsia="Arial"/>
                              <w:color w:val="000000"/>
                              <w:sz w:val="20"/>
                              <w:szCs w:val="20"/>
                            </w:rPr>
                            <w:t xml:space="preserve">Группа с РНИ </w:t>
                          </w:r>
                          <w:r w:rsidRPr="00D17CB7">
                            <w:rPr>
                              <w:rFonts w:eastAsia="Arial"/>
                              <w:color w:val="000000"/>
                              <w:sz w:val="20"/>
                              <w:szCs w:val="20"/>
                              <w:lang w:val="en-US"/>
                            </w:rPr>
                            <w:t>(n=</w:t>
                          </w:r>
                          <w:r w:rsidRPr="00D17CB7">
                            <w:rPr>
                              <w:rFonts w:eastAsia="Arial"/>
                              <w:color w:val="000000"/>
                              <w:sz w:val="20"/>
                              <w:szCs w:val="20"/>
                            </w:rPr>
                            <w:t>20</w:t>
                          </w:r>
                          <w:r w:rsidRPr="00D17CB7">
                            <w:rPr>
                              <w:rFonts w:eastAsia="Arial"/>
                              <w:color w:val="000000"/>
                              <w:sz w:val="20"/>
                              <w:szCs w:val="20"/>
                              <w:lang w:val="en-US"/>
                            </w:rPr>
                            <w:t xml:space="preserve">) </w:t>
                          </w:r>
                        </w:p>
                      </w:txbxContent>
                    </v:textbox>
                  </v:roundrect>
                  <v:roundrect id="Google Shape;350;p45" o:spid="_x0000_s1054" style="position:absolute;left:25782;top:8796;width:26277;height:4680;visibility:visible;mso-wrap-style:square;v-text-anchor:middle" arcsize="82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" filled="f" strokecolor="black [3213]">
                    <v:textbox inset="2.53958mm,1.2694mm,2.53958mm,1.2694mm">
                      <w:txbxContent>
                        <w:p w14:paraId="2936FB90" w14:textId="77777777" w:rsidR="00F26644" w:rsidRPr="00D17CB7" w:rsidRDefault="00F26644" w:rsidP="005A7B0F">
                          <w:pPr>
                            <w:pStyle w:val="a9"/>
                            <w:spacing w:before="0" w:beforeAutospacing="0" w:after="0" w:afterAutospacing="0" w:line="256" w:lineRule="auto"/>
                            <w:jc w:val="center"/>
                            <w:rPr>
                              <w:sz w:val="22"/>
                              <w:szCs w:val="22"/>
                            </w:rPr>
                          </w:pPr>
                          <w:r w:rsidRPr="00D17CB7">
                            <w:rPr>
                              <w:rFonts w:eastAsia="Arial"/>
                              <w:color w:val="000000"/>
                              <w:sz w:val="22"/>
                              <w:szCs w:val="22"/>
                            </w:rPr>
                            <w:t>Группа с РПБ (</w:t>
                          </w:r>
                          <w:r w:rsidRPr="00D17CB7">
                            <w:rPr>
                              <w:rFonts w:eastAsia="Arial"/>
                              <w:color w:val="000000"/>
                              <w:sz w:val="22"/>
                              <w:szCs w:val="22"/>
                              <w:lang w:val="en-US"/>
                            </w:rPr>
                            <w:t>n=</w:t>
                          </w:r>
                          <w:r w:rsidRPr="00D17CB7">
                            <w:rPr>
                              <w:rFonts w:eastAsia="Arial"/>
                              <w:color w:val="000000"/>
                              <w:sz w:val="22"/>
                              <w:szCs w:val="22"/>
                            </w:rPr>
                            <w:t>19</w:t>
                          </w:r>
                          <w:r w:rsidRPr="00D17CB7">
                            <w:rPr>
                              <w:rFonts w:eastAsia="Arial"/>
                              <w:color w:val="000000"/>
                              <w:sz w:val="22"/>
                              <w:szCs w:val="22"/>
                              <w:lang w:val="en-US"/>
                            </w:rPr>
                            <w:t xml:space="preserve">) </w:t>
                          </w:r>
                        </w:p>
                      </w:txbxContent>
                    </v:textbox>
                  </v:roundrect>
                  <v:roundrect id="Google Shape;351;p45" o:spid="_x0000_s1055" style="position:absolute;left:53208;top:8796;width:22853;height:4680;visibility:visible;mso-wrap-style:square;v-text-anchor:middle" arcsize="7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" filled="f" strokecolor="black [3213]">
                    <v:textbox inset="2.53958mm,1.2694mm,2.53958mm,1.2694mm">
                      <w:txbxContent>
                        <w:p w14:paraId="48747498" w14:textId="77777777" w:rsidR="00F26644" w:rsidRPr="00D17CB7" w:rsidRDefault="00F26644" w:rsidP="005A7B0F">
                          <w:pPr>
                            <w:pStyle w:val="a9"/>
                            <w:spacing w:before="0" w:beforeAutospacing="0" w:after="0" w:afterAutospacing="0" w:line="256" w:lineRule="auto"/>
                            <w:jc w:val="center"/>
                            <w:rPr>
                              <w:sz w:val="20"/>
                              <w:szCs w:val="20"/>
                            </w:rPr>
                          </w:pPr>
                          <w:r w:rsidRPr="00D17CB7">
                            <w:rPr>
                              <w:rFonts w:eastAsia="Arial"/>
                              <w:color w:val="000000"/>
                              <w:sz w:val="20"/>
                              <w:szCs w:val="20"/>
                            </w:rPr>
                            <w:t xml:space="preserve">Группа фертильных женщин </w:t>
                          </w:r>
                          <w:r w:rsidRPr="00D17CB7">
                            <w:rPr>
                              <w:color w:val="000000"/>
                              <w:sz w:val="20"/>
                              <w:szCs w:val="20"/>
                            </w:rPr>
                            <w:t>(n=14)</w:t>
                          </w:r>
                        </w:p>
                      </w:txbxContent>
                    </v:textbox>
                  </v:roundrect>
                  <v:shape id="Google Shape;352;p45" o:spid="_x0000_s1056" type="#_x0000_t67" style="position:absolute;left:38099;top:6840;width:921;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" adj="13999" filled="f" strokecolor="black [3213]" strokeweight="2.25pt">
                    <v:stroke startarrowwidth="narrow" startarrowlength="short" endarrowwidth="narrow" endarrowlength="short" joinstyle="round"/>
                    <v:textbox inset="2.53958mm,1.2694mm,2.53958mm,1.2694mm"/>
                  </v:shape>
                  <v:shape id="Google Shape;353;p45" o:spid="_x0000_s1057" type="#_x0000_t67" style="position:absolute;left:12037;top:6263;width:1107;height:13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" adj="12554" filled="f" strokecolor="black [3213]" strokeweight="2.25pt">
                    <v:stroke startarrowwidth="narrow" startarrowlength="short" endarrowwidth="narrow" endarrowlength="short" joinstyle="round"/>
                    <v:textbox inset="2.53958mm,1.2694mm,2.53958mm,1.2694mm"/>
                  </v:shape>
                  <v:shape id="Google Shape;354;p45" o:spid="_x0000_s1058" type="#_x0000_t67" style="position:absolute;left:63515;top:6120;width:923;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" adj="14792" filled="f" strokecolor="black [3213]" strokeweight="2.25pt">
                    <v:stroke startarrowwidth="narrow" startarrowlength="short" endarrowwidth="narrow" endarrowlength="short" joinstyle="round"/>
                    <v:textbox inset="2.53958mm,1.2694mm,2.53958mm,1.2694mm"/>
                  </v:shape>
                </v:group>
                <v:group id="Google Shape;355;p45" o:spid="_x0000_s1059" style="position:absolute;left:3401;top:14043;width:70451;height:14361" coordorigin="3401,14043" coordsize="70451,1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">
                  <v:roundrect id="Google Shape;356;p45" o:spid="_x0000_s1060" style="position:absolute;left:3401;top:16464;width:70451;height:63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" filled="f" strokecolor="black [3213]">
                    <v:textbox inset="2.53958mm,1.2694mm,2.53958mm,1.2694mm">
                      <w:txbxContent>
                        <w:p w14:paraId="2A1F0071" w14:textId="77777777" w:rsidR="00F26644" w:rsidRPr="00D17CB7" w:rsidRDefault="00F26644" w:rsidP="005A7B0F">
                          <w:pPr>
                            <w:pStyle w:val="a9"/>
                            <w:spacing w:before="0" w:beforeAutospacing="0" w:after="0" w:afterAutospacing="0" w:line="256" w:lineRule="auto"/>
                            <w:jc w:val="center"/>
                            <w:rPr>
                              <w:sz w:val="20"/>
                              <w:szCs w:val="20"/>
                            </w:rPr>
                          </w:pPr>
                          <w:r w:rsidRPr="00D17CB7">
                            <w:rPr>
                              <w:rFonts w:eastAsia="Arial"/>
                              <w:color w:val="000000"/>
                              <w:sz w:val="20"/>
                              <w:szCs w:val="20"/>
                            </w:rPr>
                            <w:t xml:space="preserve">УЗИ толщины </w:t>
                          </w:r>
                          <w:proofErr w:type="gramStart"/>
                          <w:r w:rsidRPr="00D17CB7">
                            <w:rPr>
                              <w:rFonts w:eastAsia="Arial"/>
                              <w:color w:val="000000"/>
                              <w:sz w:val="20"/>
                              <w:szCs w:val="20"/>
                            </w:rPr>
                            <w:t>эндометрия  и</w:t>
                          </w:r>
                          <w:proofErr w:type="gramEnd"/>
                          <w:r w:rsidRPr="00D17CB7">
                            <w:rPr>
                              <w:rFonts w:eastAsia="Arial"/>
                              <w:color w:val="000000"/>
                              <w:sz w:val="20"/>
                              <w:szCs w:val="20"/>
                            </w:rPr>
                            <w:t xml:space="preserve"> допплерометрия сосудов эндометрия;</w:t>
                          </w:r>
                        </w:p>
                        <w:p w14:paraId="0260B93C" w14:textId="77777777" w:rsidR="00F26644" w:rsidRPr="00D17CB7" w:rsidRDefault="00F26644" w:rsidP="005A7B0F">
                          <w:pPr>
                            <w:pStyle w:val="a6"/>
                            <w:numPr>
                              <w:ilvl w:val="0"/>
                              <w:numId w:val="47"/>
                            </w:numPr>
                            <w:spacing w:after="0" w:line="256" w:lineRule="auto"/>
                            <w:jc w:val="center"/>
                            <w:rPr>
                              <w:rFonts w:ascii="Times New Roman" w:eastAsia="Times New Roman" w:hAnsi="Times New Roman" w:cs="Times New Roman"/>
                              <w:color w:val="000000"/>
                              <w:sz w:val="20"/>
                              <w:szCs w:val="20"/>
                            </w:rPr>
                          </w:pPr>
                          <w:r w:rsidRPr="00D17CB7">
                            <w:rPr>
                              <w:rFonts w:ascii="Times New Roman" w:eastAsia="Arial" w:hAnsi="Times New Roman" w:cs="Times New Roman"/>
                              <w:color w:val="000000"/>
                              <w:sz w:val="20"/>
                              <w:szCs w:val="20"/>
                            </w:rPr>
                            <w:t xml:space="preserve">Пайпель-биопсия в период окна имплантации, иммуногенетическое исследования биоптатов; </w:t>
                          </w:r>
                        </w:p>
                        <w:p w14:paraId="53AEDF87" w14:textId="77777777" w:rsidR="00F26644" w:rsidRPr="00D17CB7" w:rsidRDefault="00F26644" w:rsidP="005A7B0F">
                          <w:pPr>
                            <w:pStyle w:val="a6"/>
                            <w:numPr>
                              <w:ilvl w:val="0"/>
                              <w:numId w:val="47"/>
                            </w:numPr>
                            <w:spacing w:after="0" w:line="256" w:lineRule="auto"/>
                            <w:jc w:val="center"/>
                            <w:rPr>
                              <w:rFonts w:ascii="Times New Roman" w:eastAsia="Times New Roman" w:hAnsi="Times New Roman" w:cs="Times New Roman"/>
                              <w:color w:val="000000"/>
                              <w:sz w:val="20"/>
                              <w:szCs w:val="20"/>
                            </w:rPr>
                          </w:pPr>
                          <w:r w:rsidRPr="00D17CB7">
                            <w:rPr>
                              <w:rFonts w:ascii="Times New Roman" w:eastAsia="Arial" w:hAnsi="Times New Roman" w:cs="Times New Roman"/>
                              <w:color w:val="000000"/>
                              <w:sz w:val="20"/>
                              <w:szCs w:val="20"/>
                            </w:rPr>
                            <w:t>Статистический анализ массива полученных данных</w:t>
                          </w:r>
                        </w:p>
                      </w:txbxContent>
                    </v:textbox>
                  </v:roundrect>
                  <v:roundrect id="Google Shape;361;p45" o:spid="_x0000_s1061" style="position:absolute;left:19487;top:24904;width:36284;height:3500;visibility:visible;mso-wrap-style:square;v-text-anchor:middle" arcsize="156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" filled="f" strokecolor="black [3213]">
                    <v:textbox inset="2.53958mm,1.2694mm,2.53958mm,1.2694mm">
                      <w:txbxContent>
                        <w:p w14:paraId="11A1E4AE" w14:textId="77777777" w:rsidR="00F26644" w:rsidRDefault="00F26644" w:rsidP="005A7B0F">
                          <w:pPr>
                            <w:pStyle w:val="a9"/>
                            <w:spacing w:before="0" w:beforeAutospacing="0" w:after="0" w:afterAutospacing="0" w:line="256" w:lineRule="auto"/>
                            <w:jc w:val="center"/>
                          </w:pPr>
                          <w:r>
                            <w:rPr>
                              <w:rFonts w:eastAsia="Arial"/>
                              <w:color w:val="000000"/>
                            </w:rPr>
                            <w:t>Алгоритм прогнозирования исходов ВРТ</w:t>
                          </w:r>
                        </w:p>
                      </w:txbxContent>
                    </v:textbox>
                  </v:roundrect>
                  <v:shape id="Google Shape;364;p45" o:spid="_x0000_s1062" type="#_x0000_t67" style="position:absolute;left:12037;top:15169;width:1406;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" adj="10800" filled="f" strokecolor="black [3213]" strokeweight="2.25pt">
                    <v:stroke startarrowwidth="narrow" startarrowlength="short" endarrowwidth="narrow" endarrowlength="short" joinstyle="round"/>
                    <v:textbox inset="2.53958mm,1.2694mm,2.53958mm,1.2694mm"/>
                  </v:shape>
                  <v:shape id="Google Shape;369;p45" o:spid="_x0000_s1063" type="#_x0000_t67" style="position:absolute;left:38965;top:14284;width:1080;height: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" adj="13526" filled="f" strokecolor="black [3213]" strokeweight="2.25pt">
                    <v:stroke startarrowwidth="narrow" startarrowlength="short" endarrowwidth="narrow" endarrowlength="short" joinstyle="round"/>
                    <v:textbox inset="2.53958mm,1.2694mm,2.53958mm,1.2694mm"/>
                  </v:shape>
                  <v:shape id="Google Shape;370;p45" o:spid="_x0000_s1064" type="#_x0000_t67" style="position:absolute;left:38577;top:23308;width:1132;height:16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" adj="13987" filled="f" strokecolor="black [3213]" strokeweight="2.25pt">
                    <v:stroke startarrowwidth="narrow" startarrowlength="short" endarrowwidth="narrow" endarrowlength="short" joinstyle="round"/>
                    <v:textbox inset="2.53958mm,1.2694mm,2.53958mm,1.2694mm"/>
                  </v:shape>
                  <v:shape id="Google Shape;373;p45" o:spid="_x0000_s1065" type="#_x0000_t67" style="position:absolute;left:64439;top:14043;width:1165;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" adj="12900" filled="f" strokecolor="black [3213]" strokeweight="2.25pt">
                    <v:stroke startarrowwidth="narrow" startarrowlength="short" endarrowwidth="narrow" endarrowlength="short" joinstyle="round"/>
                    <v:textbox inset="2.53958mm,1.2694mm,2.53958mm,1.2694mm"/>
                  </v:shape>
                </v:group>
              </v:group>
            </w:pict>
          </mc:Fallback>
        </mc:AlternateContent>
      </w:r>
    </w:p>
    <w:p w14:paraId="6F979710" w14:textId="1BFBD245" w:rsidR="005A7B0F" w:rsidRDefault="005A7B0F" w:rsidP="005A7B0F">
      <w:pPr>
        <w:spacing w:after="0" w:line="240" w:lineRule="auto"/>
        <w:jc w:val="center"/>
        <w:rPr>
          <w:rFonts w:ascii="Times New Roman" w:hAnsi="Times New Roman" w:cs="Times New Roman"/>
          <w:sz w:val="24"/>
          <w:szCs w:val="24"/>
        </w:rPr>
      </w:pPr>
    </w:p>
    <w:p w14:paraId="258B3B52" w14:textId="77777777" w:rsidR="005A7B0F" w:rsidRDefault="005A7B0F" w:rsidP="005A7B0F">
      <w:pPr>
        <w:spacing w:after="0" w:line="240" w:lineRule="auto"/>
        <w:jc w:val="center"/>
        <w:rPr>
          <w:rFonts w:ascii="Times New Roman" w:hAnsi="Times New Roman" w:cs="Times New Roman"/>
          <w:sz w:val="24"/>
          <w:szCs w:val="24"/>
        </w:rPr>
      </w:pPr>
    </w:p>
    <w:p w14:paraId="696F9207" w14:textId="77777777" w:rsidR="005A7B0F" w:rsidRDefault="005A7B0F" w:rsidP="005A7B0F">
      <w:pPr>
        <w:spacing w:after="0" w:line="240" w:lineRule="auto"/>
        <w:jc w:val="center"/>
        <w:rPr>
          <w:rFonts w:ascii="Times New Roman" w:hAnsi="Times New Roman" w:cs="Times New Roman"/>
          <w:sz w:val="24"/>
          <w:szCs w:val="24"/>
        </w:rPr>
      </w:pPr>
    </w:p>
    <w:p w14:paraId="7841FD31" w14:textId="77777777" w:rsidR="005A7B0F" w:rsidRDefault="005A7B0F" w:rsidP="005A7B0F">
      <w:pPr>
        <w:spacing w:after="0" w:line="240" w:lineRule="auto"/>
        <w:jc w:val="center"/>
        <w:rPr>
          <w:rFonts w:ascii="Times New Roman" w:hAnsi="Times New Roman" w:cs="Times New Roman"/>
          <w:sz w:val="24"/>
          <w:szCs w:val="24"/>
        </w:rPr>
      </w:pPr>
    </w:p>
    <w:p w14:paraId="169B3B29" w14:textId="77777777" w:rsidR="005A7B0F" w:rsidRDefault="005A7B0F" w:rsidP="005A7B0F">
      <w:pPr>
        <w:spacing w:after="0" w:line="240" w:lineRule="auto"/>
        <w:jc w:val="center"/>
        <w:rPr>
          <w:rFonts w:ascii="Times New Roman" w:hAnsi="Times New Roman" w:cs="Times New Roman"/>
          <w:sz w:val="24"/>
          <w:szCs w:val="24"/>
        </w:rPr>
      </w:pPr>
    </w:p>
    <w:p w14:paraId="5C395F32" w14:textId="77777777" w:rsidR="005A7B0F" w:rsidRDefault="005A7B0F" w:rsidP="005A7B0F">
      <w:pPr>
        <w:spacing w:after="0" w:line="240" w:lineRule="auto"/>
        <w:jc w:val="center"/>
        <w:rPr>
          <w:rFonts w:ascii="Times New Roman" w:hAnsi="Times New Roman" w:cs="Times New Roman"/>
          <w:sz w:val="24"/>
          <w:szCs w:val="24"/>
        </w:rPr>
      </w:pPr>
    </w:p>
    <w:p w14:paraId="2005F00F" w14:textId="77777777" w:rsidR="005A7B0F" w:rsidRDefault="005A7B0F" w:rsidP="005A7B0F">
      <w:pPr>
        <w:spacing w:after="0" w:line="240" w:lineRule="auto"/>
        <w:jc w:val="center"/>
        <w:rPr>
          <w:rFonts w:ascii="Times New Roman" w:hAnsi="Times New Roman" w:cs="Times New Roman"/>
          <w:sz w:val="24"/>
          <w:szCs w:val="24"/>
        </w:rPr>
      </w:pPr>
    </w:p>
    <w:p w14:paraId="1ED742B2" w14:textId="77777777" w:rsidR="005A7B0F" w:rsidRDefault="005A7B0F" w:rsidP="005A7B0F">
      <w:pPr>
        <w:spacing w:after="0" w:line="240" w:lineRule="auto"/>
        <w:jc w:val="center"/>
        <w:rPr>
          <w:rFonts w:ascii="Times New Roman" w:hAnsi="Times New Roman" w:cs="Times New Roman"/>
          <w:sz w:val="24"/>
          <w:szCs w:val="24"/>
        </w:rPr>
      </w:pPr>
    </w:p>
    <w:p w14:paraId="432678EF" w14:textId="77777777" w:rsidR="005A7B0F" w:rsidRDefault="005A7B0F" w:rsidP="005A7B0F">
      <w:pPr>
        <w:spacing w:after="0" w:line="240" w:lineRule="auto"/>
        <w:jc w:val="center"/>
        <w:rPr>
          <w:rFonts w:ascii="Times New Roman" w:hAnsi="Times New Roman" w:cs="Times New Roman"/>
          <w:sz w:val="24"/>
          <w:szCs w:val="24"/>
        </w:rPr>
      </w:pPr>
    </w:p>
    <w:p w14:paraId="35FA5399" w14:textId="77777777" w:rsidR="005A7B0F" w:rsidRDefault="005A7B0F" w:rsidP="005A7B0F">
      <w:pPr>
        <w:spacing w:after="0" w:line="240" w:lineRule="auto"/>
        <w:jc w:val="center"/>
        <w:rPr>
          <w:rFonts w:ascii="Times New Roman" w:hAnsi="Times New Roman" w:cs="Times New Roman"/>
          <w:sz w:val="24"/>
          <w:szCs w:val="24"/>
        </w:rPr>
      </w:pPr>
    </w:p>
    <w:p w14:paraId="5F65E833" w14:textId="77777777" w:rsidR="005A7B0F" w:rsidRDefault="005A7B0F" w:rsidP="005A7B0F">
      <w:pPr>
        <w:spacing w:after="0" w:line="240" w:lineRule="auto"/>
        <w:jc w:val="center"/>
        <w:rPr>
          <w:rFonts w:ascii="Times New Roman" w:hAnsi="Times New Roman" w:cs="Times New Roman"/>
          <w:sz w:val="24"/>
          <w:szCs w:val="24"/>
        </w:rPr>
      </w:pPr>
    </w:p>
    <w:p w14:paraId="6389E1A3" w14:textId="77777777" w:rsidR="005A7B0F" w:rsidRDefault="005A7B0F" w:rsidP="005A7B0F">
      <w:pPr>
        <w:spacing w:after="0" w:line="240" w:lineRule="auto"/>
        <w:jc w:val="center"/>
        <w:rPr>
          <w:rFonts w:ascii="Times New Roman" w:hAnsi="Times New Roman" w:cs="Times New Roman"/>
          <w:sz w:val="24"/>
          <w:szCs w:val="24"/>
        </w:rPr>
      </w:pPr>
    </w:p>
    <w:p w14:paraId="3BA226BF" w14:textId="77777777" w:rsidR="005A7B0F" w:rsidRDefault="005A7B0F" w:rsidP="005A7B0F">
      <w:pPr>
        <w:spacing w:after="0" w:line="240" w:lineRule="auto"/>
        <w:jc w:val="center"/>
        <w:rPr>
          <w:rFonts w:ascii="Times New Roman" w:hAnsi="Times New Roman" w:cs="Times New Roman"/>
          <w:sz w:val="24"/>
          <w:szCs w:val="24"/>
        </w:rPr>
      </w:pPr>
    </w:p>
    <w:p w14:paraId="56B542E1" w14:textId="77777777" w:rsidR="005A7B0F" w:rsidRDefault="005A7B0F" w:rsidP="005A7B0F">
      <w:pPr>
        <w:spacing w:after="0" w:line="240" w:lineRule="auto"/>
        <w:jc w:val="center"/>
        <w:rPr>
          <w:rFonts w:ascii="Times New Roman" w:hAnsi="Times New Roman" w:cs="Times New Roman"/>
          <w:sz w:val="24"/>
          <w:szCs w:val="24"/>
        </w:rPr>
      </w:pPr>
    </w:p>
    <w:p w14:paraId="02D3953F" w14:textId="77777777" w:rsidR="005A7B0F" w:rsidRDefault="005A7B0F" w:rsidP="005A7B0F">
      <w:pPr>
        <w:spacing w:after="0" w:line="240" w:lineRule="auto"/>
        <w:jc w:val="center"/>
        <w:rPr>
          <w:rFonts w:ascii="Times New Roman" w:hAnsi="Times New Roman" w:cs="Times New Roman"/>
          <w:sz w:val="24"/>
          <w:szCs w:val="24"/>
        </w:rPr>
      </w:pPr>
    </w:p>
    <w:p w14:paraId="4F1513EA" w14:textId="21F09941" w:rsidR="005A7B0F" w:rsidRPr="00FE7F79" w:rsidRDefault="005A7B0F" w:rsidP="00FE7F79">
      <w:pPr>
        <w:pBdr>
          <w:bottom w:val="single" w:sz="4" w:space="10" w:color="FFFFFF"/>
        </w:pBdr>
        <w:tabs>
          <w:tab w:val="left" w:pos="0"/>
        </w:tabs>
        <w:autoSpaceDE w:val="0"/>
        <w:spacing w:after="0" w:line="240" w:lineRule="auto"/>
        <w:rPr>
          <w:rFonts w:ascii="Times New Roman" w:hAnsi="Times New Roman" w:cs="Times New Roman"/>
          <w:sz w:val="28"/>
          <w:szCs w:val="28"/>
        </w:rPr>
      </w:pPr>
      <w:r w:rsidRPr="00FE7F79">
        <w:rPr>
          <w:rFonts w:ascii="Times New Roman" w:hAnsi="Times New Roman" w:cs="Times New Roman"/>
          <w:sz w:val="28"/>
          <w:szCs w:val="28"/>
        </w:rPr>
        <w:t xml:space="preserve">     Рисунок 2 – Дизайн проспективного этапа диссертационного исследования</w:t>
      </w:r>
    </w:p>
    <w:p w14:paraId="2B450230" w14:textId="33F256EB" w:rsidR="00C9698D" w:rsidRPr="00FE7F79" w:rsidRDefault="00C9698D" w:rsidP="00FE7F79">
      <w:pPr>
        <w:pStyle w:val="a6"/>
        <w:pBdr>
          <w:bottom w:val="single" w:sz="4" w:space="10" w:color="FFFFFF"/>
        </w:pBdr>
        <w:tabs>
          <w:tab w:val="left" w:pos="0"/>
        </w:tabs>
        <w:autoSpaceDE w:val="0"/>
        <w:spacing w:after="0" w:line="240" w:lineRule="auto"/>
        <w:ind w:left="0"/>
        <w:jc w:val="both"/>
        <w:rPr>
          <w:rFonts w:ascii="Times New Roman" w:hAnsi="Times New Roman" w:cs="Times New Roman"/>
          <w:sz w:val="32"/>
          <w:szCs w:val="32"/>
        </w:rPr>
      </w:pPr>
    </w:p>
    <w:p w14:paraId="3B319196" w14:textId="475632CA" w:rsidR="00C37FFB" w:rsidRPr="00916B3A" w:rsidRDefault="005A7B0F" w:rsidP="00FE7F79">
      <w:pPr>
        <w:pStyle w:val="a6"/>
        <w:pBdr>
          <w:bottom w:val="single" w:sz="4" w:space="10" w:color="FFFFFF"/>
        </w:pBdr>
        <w:tabs>
          <w:tab w:val="left" w:pos="0"/>
        </w:tabs>
        <w:autoSpaceDE w:val="0"/>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00C37FFB" w:rsidRPr="00FE7F79">
        <w:rPr>
          <w:rFonts w:ascii="Times New Roman" w:hAnsi="Times New Roman" w:cs="Times New Roman"/>
          <w:bCs/>
          <w:sz w:val="28"/>
          <w:szCs w:val="28"/>
        </w:rPr>
        <w:t>Предмет исследования:</w:t>
      </w:r>
      <w:r w:rsidR="00C37FFB" w:rsidRPr="00916B3A">
        <w:rPr>
          <w:rFonts w:ascii="Times New Roman" w:hAnsi="Times New Roman" w:cs="Times New Roman"/>
          <w:b/>
          <w:sz w:val="28"/>
          <w:szCs w:val="28"/>
        </w:rPr>
        <w:t xml:space="preserve"> </w:t>
      </w:r>
      <w:bookmarkStart w:id="16" w:name="_Hlk122550984"/>
      <w:r w:rsidR="00C37FFB" w:rsidRPr="00916B3A">
        <w:rPr>
          <w:rFonts w:ascii="Times New Roman" w:hAnsi="Times New Roman" w:cs="Times New Roman"/>
          <w:sz w:val="28"/>
          <w:szCs w:val="28"/>
        </w:rPr>
        <w:t xml:space="preserve">использованы следующие методы исследования: трансвагинальная эхография с цветовым допплеровским картированиеми спектральной допплерометрией; гистероскопия или пайпель биопсия с забором биоптата эндометрия; </w:t>
      </w:r>
      <w:r w:rsidR="00C37FFB" w:rsidRPr="00916B3A">
        <w:rPr>
          <w:rFonts w:ascii="Times New Roman" w:hAnsi="Times New Roman" w:cs="Times New Roman"/>
          <w:color w:val="151833"/>
          <w:sz w:val="28"/>
          <w:szCs w:val="28"/>
          <w:shd w:val="clear" w:color="auto" w:fill="FFFFFF"/>
        </w:rPr>
        <w:t>метод транскриптомного анализа:</w:t>
      </w:r>
      <w:bookmarkEnd w:id="16"/>
      <w:r w:rsidR="00C37FFB" w:rsidRPr="00916B3A">
        <w:rPr>
          <w:rFonts w:ascii="Times New Roman" w:hAnsi="Times New Roman" w:cs="Times New Roman"/>
          <w:sz w:val="28"/>
          <w:szCs w:val="28"/>
        </w:rPr>
        <w:t xml:space="preserve"> профиль экспрессии выбранных генов C4BPA, IL15, HAND2, VEGFB, CXCL1.</w:t>
      </w:r>
    </w:p>
    <w:p w14:paraId="77AB07EC" w14:textId="5908C417" w:rsidR="00C37FFB" w:rsidRPr="00916B3A" w:rsidRDefault="00C37FFB" w:rsidP="00FE7F79">
      <w:pPr>
        <w:pStyle w:val="a6"/>
        <w:pBdr>
          <w:bottom w:val="single" w:sz="4" w:space="10" w:color="FFFFFF"/>
        </w:pBdr>
        <w:tabs>
          <w:tab w:val="left" w:pos="0"/>
        </w:tabs>
        <w:autoSpaceDE w:val="0"/>
        <w:spacing w:after="0" w:line="240" w:lineRule="auto"/>
        <w:ind w:left="0" w:firstLine="567"/>
        <w:jc w:val="both"/>
        <w:rPr>
          <w:rFonts w:ascii="Times New Roman" w:hAnsi="Times New Roman" w:cs="Times New Roman"/>
          <w:sz w:val="28"/>
          <w:szCs w:val="28"/>
          <w:lang w:eastAsia="ko-KR"/>
        </w:rPr>
      </w:pPr>
      <w:r w:rsidRPr="00807117">
        <w:rPr>
          <w:rFonts w:ascii="Times New Roman" w:hAnsi="Times New Roman" w:cs="Times New Roman"/>
          <w:bCs/>
          <w:sz w:val="28"/>
          <w:szCs w:val="28"/>
        </w:rPr>
        <w:t>Объекты исследования:</w:t>
      </w:r>
      <w:r w:rsidRPr="00916B3A">
        <w:rPr>
          <w:rFonts w:ascii="Times New Roman" w:hAnsi="Times New Roman" w:cs="Times New Roman"/>
          <w:b/>
          <w:sz w:val="28"/>
          <w:szCs w:val="28"/>
        </w:rPr>
        <w:t xml:space="preserve"> </w:t>
      </w:r>
      <w:bookmarkStart w:id="17" w:name="_Hlk122550690"/>
      <w:r w:rsidRPr="00916B3A">
        <w:rPr>
          <w:rFonts w:ascii="Times New Roman" w:hAnsi="Times New Roman" w:cs="Times New Roman"/>
          <w:sz w:val="28"/>
          <w:szCs w:val="28"/>
        </w:rPr>
        <w:t>Ретроспективное и п</w:t>
      </w:r>
      <w:r w:rsidRPr="00916B3A">
        <w:rPr>
          <w:rFonts w:ascii="Times New Roman" w:hAnsi="Times New Roman" w:cs="Times New Roman"/>
          <w:sz w:val="28"/>
          <w:szCs w:val="28"/>
          <w:lang w:eastAsia="ko-KR"/>
        </w:rPr>
        <w:t>роспективное клинико-иммунологическое исследование пациенток с синдромом «тонкого» эндометрия (основная группа), в анамнезе которых были рецидивы потери плода в возрасте 20-45 лет.  Группу сравнения составят пациентки без репродуктивных потерь и наличием нормальной толщины эндометрия на 20-24 дни цикла. На каждую пациентку составлена индивидуальная карта наблюдения, включающая результаты обследования с изучением жалоб, соматического и акушерско-гинекологического анамнеза, данных общего и гинекологического статуса, лабораторные, а также специальные методы исследования.</w:t>
      </w:r>
      <w:bookmarkEnd w:id="17"/>
    </w:p>
    <w:p w14:paraId="4AFA0C17" w14:textId="77777777" w:rsidR="003B45FB" w:rsidRPr="00916B3A" w:rsidRDefault="00C9698D" w:rsidP="00FE7F79">
      <w:pPr>
        <w:pStyle w:val="a6"/>
        <w:pBdr>
          <w:bottom w:val="single" w:sz="4" w:space="10" w:color="FFFFFF"/>
        </w:pBdr>
        <w:tabs>
          <w:tab w:val="left" w:pos="0"/>
        </w:tabs>
        <w:autoSpaceDE w:val="0"/>
        <w:spacing w:after="0" w:line="240" w:lineRule="auto"/>
        <w:ind w:left="0" w:firstLine="567"/>
        <w:jc w:val="both"/>
        <w:rPr>
          <w:rFonts w:ascii="Times New Roman" w:hAnsi="Times New Roman" w:cs="Times New Roman"/>
          <w:sz w:val="28"/>
          <w:szCs w:val="28"/>
        </w:rPr>
      </w:pPr>
      <w:r w:rsidRPr="00916B3A">
        <w:rPr>
          <w:rFonts w:ascii="Times New Roman" w:hAnsi="Times New Roman" w:cs="Times New Roman"/>
          <w:sz w:val="28"/>
          <w:szCs w:val="28"/>
        </w:rPr>
        <w:t>Для проведения исследования нами была разработана программа исследования, состоящая и</w:t>
      </w:r>
      <w:r w:rsidR="00D84F28" w:rsidRPr="00916B3A">
        <w:rPr>
          <w:rFonts w:ascii="Times New Roman" w:hAnsi="Times New Roman" w:cs="Times New Roman"/>
          <w:sz w:val="28"/>
          <w:szCs w:val="28"/>
        </w:rPr>
        <w:t>з следующих этапов (таблица 1).</w:t>
      </w:r>
    </w:p>
    <w:p w14:paraId="4A18B237" w14:textId="77777777" w:rsidR="003B45FB" w:rsidRPr="00916B3A" w:rsidRDefault="003B45FB" w:rsidP="00FE7F79">
      <w:pPr>
        <w:pStyle w:val="a6"/>
        <w:pBdr>
          <w:bottom w:val="single" w:sz="4" w:space="10" w:color="FFFFFF"/>
        </w:pBdr>
        <w:tabs>
          <w:tab w:val="left" w:pos="0"/>
        </w:tabs>
        <w:autoSpaceDE w:val="0"/>
        <w:spacing w:after="0" w:line="240" w:lineRule="auto"/>
        <w:ind w:left="0" w:firstLine="567"/>
        <w:jc w:val="both"/>
        <w:rPr>
          <w:rFonts w:ascii="Times New Roman" w:hAnsi="Times New Roman" w:cs="Times New Roman"/>
          <w:sz w:val="28"/>
          <w:szCs w:val="28"/>
        </w:rPr>
      </w:pPr>
    </w:p>
    <w:p w14:paraId="3EEE72A7" w14:textId="6EF82D7A" w:rsidR="00DB2C61" w:rsidRDefault="00FF1C8D" w:rsidP="00FE7F79">
      <w:pPr>
        <w:pBdr>
          <w:bottom w:val="single" w:sz="4" w:space="10" w:color="FFFFFF"/>
        </w:pBdr>
        <w:tabs>
          <w:tab w:val="left" w:pos="0"/>
        </w:tabs>
        <w:autoSpaceDE w:val="0"/>
        <w:spacing w:after="0" w:line="240" w:lineRule="auto"/>
        <w:jc w:val="both"/>
        <w:rPr>
          <w:rFonts w:ascii="Times New Roman" w:hAnsi="Times New Roman" w:cs="Times New Roman"/>
          <w:sz w:val="28"/>
          <w:szCs w:val="28"/>
        </w:rPr>
      </w:pPr>
      <w:r w:rsidRPr="00FE7F79">
        <w:rPr>
          <w:rFonts w:ascii="Times New Roman" w:hAnsi="Times New Roman" w:cs="Times New Roman"/>
          <w:sz w:val="28"/>
          <w:szCs w:val="28"/>
        </w:rPr>
        <w:t>Таблица 1 – Программа исследования</w:t>
      </w:r>
    </w:p>
    <w:p w14:paraId="41F5856D" w14:textId="77777777" w:rsidR="00FE7F79" w:rsidRPr="00FE7F79" w:rsidRDefault="00FE7F79" w:rsidP="00FE7F79">
      <w:pPr>
        <w:pBdr>
          <w:bottom w:val="single" w:sz="4" w:space="10" w:color="FFFFFF"/>
        </w:pBdr>
        <w:tabs>
          <w:tab w:val="left" w:pos="0"/>
        </w:tabs>
        <w:autoSpaceDE w:val="0"/>
        <w:spacing w:after="0" w:line="240" w:lineRule="auto"/>
        <w:jc w:val="both"/>
        <w:rPr>
          <w:rFonts w:ascii="Times New Roman" w:hAnsi="Times New Roman" w:cs="Times New Roman"/>
          <w:sz w:val="14"/>
          <w:szCs w:val="14"/>
        </w:rPr>
      </w:pPr>
    </w:p>
    <w:tbl>
      <w:tblPr>
        <w:tblStyle w:val="ae"/>
        <w:tblW w:w="9639" w:type="dxa"/>
        <w:jc w:val="center"/>
        <w:tblLayout w:type="fixed"/>
        <w:tblLook w:val="04A0" w:firstRow="1" w:lastRow="0" w:firstColumn="1" w:lastColumn="0" w:noHBand="0" w:noVBand="1"/>
      </w:tblPr>
      <w:tblGrid>
        <w:gridCol w:w="2268"/>
        <w:gridCol w:w="1843"/>
        <w:gridCol w:w="1984"/>
        <w:gridCol w:w="1701"/>
        <w:gridCol w:w="1843"/>
      </w:tblGrid>
      <w:tr w:rsidR="00FF1C8D" w:rsidRPr="00916B3A" w14:paraId="03AFD191" w14:textId="77777777" w:rsidTr="00FE7F79">
        <w:trPr>
          <w:jc w:val="center"/>
        </w:trPr>
        <w:tc>
          <w:tcPr>
            <w:tcW w:w="2268" w:type="dxa"/>
            <w:tcBorders>
              <w:bottom w:val="single" w:sz="4" w:space="0" w:color="auto"/>
            </w:tcBorders>
            <w:vAlign w:val="center"/>
          </w:tcPr>
          <w:p w14:paraId="1BE47F54" w14:textId="77777777" w:rsidR="00FF1C8D" w:rsidRPr="00916B3A" w:rsidRDefault="00FF1C8D" w:rsidP="00FE7F79">
            <w:pPr>
              <w:pStyle w:val="afa"/>
              <w:ind w:firstLine="5"/>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Задачи исследования</w:t>
            </w:r>
          </w:p>
        </w:tc>
        <w:tc>
          <w:tcPr>
            <w:tcW w:w="1843" w:type="dxa"/>
            <w:tcBorders>
              <w:bottom w:val="single" w:sz="4" w:space="0" w:color="auto"/>
            </w:tcBorders>
            <w:vAlign w:val="center"/>
          </w:tcPr>
          <w:p w14:paraId="27F57024" w14:textId="77777777" w:rsidR="00FF1C8D" w:rsidRPr="00916B3A" w:rsidRDefault="00FF1C8D" w:rsidP="00FE7F79">
            <w:pPr>
              <w:pStyle w:val="afa"/>
              <w:ind w:firstLine="5"/>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Этап исследования</w:t>
            </w:r>
          </w:p>
        </w:tc>
        <w:tc>
          <w:tcPr>
            <w:tcW w:w="1984" w:type="dxa"/>
            <w:tcBorders>
              <w:bottom w:val="single" w:sz="4" w:space="0" w:color="auto"/>
            </w:tcBorders>
            <w:vAlign w:val="center"/>
          </w:tcPr>
          <w:p w14:paraId="0DDBD884" w14:textId="77777777" w:rsidR="00FF1C8D" w:rsidRPr="00916B3A" w:rsidRDefault="00FF1C8D" w:rsidP="00FE7F79">
            <w:pPr>
              <w:pStyle w:val="afa"/>
              <w:ind w:firstLine="5"/>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Материалы исследования</w:t>
            </w:r>
          </w:p>
        </w:tc>
        <w:tc>
          <w:tcPr>
            <w:tcW w:w="1701" w:type="dxa"/>
            <w:tcBorders>
              <w:bottom w:val="single" w:sz="4" w:space="0" w:color="auto"/>
            </w:tcBorders>
            <w:vAlign w:val="center"/>
          </w:tcPr>
          <w:p w14:paraId="460E05B6" w14:textId="77777777" w:rsidR="00FF1C8D" w:rsidRPr="00916B3A" w:rsidRDefault="00FF1C8D" w:rsidP="00FE7F79">
            <w:pPr>
              <w:pStyle w:val="afa"/>
              <w:ind w:firstLine="5"/>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Методы и дизайн исследования</w:t>
            </w:r>
          </w:p>
        </w:tc>
        <w:tc>
          <w:tcPr>
            <w:tcW w:w="1843" w:type="dxa"/>
            <w:tcBorders>
              <w:bottom w:val="single" w:sz="4" w:space="0" w:color="auto"/>
            </w:tcBorders>
            <w:vAlign w:val="center"/>
          </w:tcPr>
          <w:p w14:paraId="22FDF514" w14:textId="77777777" w:rsidR="00FF1C8D" w:rsidRPr="00916B3A" w:rsidRDefault="00FF1C8D" w:rsidP="00FE7F79">
            <w:pPr>
              <w:pStyle w:val="afa"/>
              <w:tabs>
                <w:tab w:val="left" w:pos="175"/>
              </w:tabs>
              <w:ind w:firstLine="33"/>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Объем и объект исследования</w:t>
            </w:r>
          </w:p>
        </w:tc>
      </w:tr>
      <w:tr w:rsidR="00FF1C8D" w:rsidRPr="00916B3A" w14:paraId="6DFEB346" w14:textId="77777777" w:rsidTr="00FE7F79">
        <w:trPr>
          <w:jc w:val="center"/>
        </w:trPr>
        <w:tc>
          <w:tcPr>
            <w:tcW w:w="2268" w:type="dxa"/>
            <w:tcBorders>
              <w:bottom w:val="single" w:sz="4" w:space="0" w:color="auto"/>
            </w:tcBorders>
            <w:vAlign w:val="center"/>
          </w:tcPr>
          <w:p w14:paraId="0B075E3A" w14:textId="77777777" w:rsidR="00FF1C8D" w:rsidRPr="00916B3A" w:rsidRDefault="00FF1C8D" w:rsidP="003266B6">
            <w:pPr>
              <w:pStyle w:val="afa"/>
              <w:ind w:firstLine="5"/>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1</w:t>
            </w:r>
          </w:p>
        </w:tc>
        <w:tc>
          <w:tcPr>
            <w:tcW w:w="1843" w:type="dxa"/>
            <w:tcBorders>
              <w:bottom w:val="single" w:sz="4" w:space="0" w:color="auto"/>
            </w:tcBorders>
            <w:vAlign w:val="center"/>
          </w:tcPr>
          <w:p w14:paraId="34B6938A" w14:textId="77777777" w:rsidR="00FF1C8D" w:rsidRPr="00916B3A" w:rsidRDefault="00FF1C8D" w:rsidP="003266B6">
            <w:pPr>
              <w:pStyle w:val="afa"/>
              <w:ind w:firstLine="5"/>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2</w:t>
            </w:r>
          </w:p>
        </w:tc>
        <w:tc>
          <w:tcPr>
            <w:tcW w:w="1984" w:type="dxa"/>
            <w:tcBorders>
              <w:bottom w:val="single" w:sz="4" w:space="0" w:color="auto"/>
            </w:tcBorders>
            <w:vAlign w:val="center"/>
          </w:tcPr>
          <w:p w14:paraId="5B46DF03" w14:textId="77777777" w:rsidR="00FF1C8D" w:rsidRPr="00916B3A" w:rsidRDefault="00FF1C8D" w:rsidP="003266B6">
            <w:pPr>
              <w:pStyle w:val="afa"/>
              <w:ind w:firstLine="5"/>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3</w:t>
            </w:r>
          </w:p>
        </w:tc>
        <w:tc>
          <w:tcPr>
            <w:tcW w:w="1701" w:type="dxa"/>
            <w:tcBorders>
              <w:bottom w:val="single" w:sz="4" w:space="0" w:color="auto"/>
            </w:tcBorders>
            <w:vAlign w:val="center"/>
          </w:tcPr>
          <w:p w14:paraId="48E653AD" w14:textId="77777777" w:rsidR="00FF1C8D" w:rsidRPr="00916B3A" w:rsidRDefault="00FF1C8D" w:rsidP="003266B6">
            <w:pPr>
              <w:pStyle w:val="afa"/>
              <w:ind w:firstLine="5"/>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4</w:t>
            </w:r>
          </w:p>
        </w:tc>
        <w:tc>
          <w:tcPr>
            <w:tcW w:w="1843" w:type="dxa"/>
            <w:tcBorders>
              <w:bottom w:val="single" w:sz="4" w:space="0" w:color="auto"/>
            </w:tcBorders>
            <w:vAlign w:val="center"/>
          </w:tcPr>
          <w:p w14:paraId="4724E8AB" w14:textId="77777777" w:rsidR="00FF1C8D" w:rsidRPr="00916B3A" w:rsidRDefault="00FF1C8D" w:rsidP="003266B6">
            <w:pPr>
              <w:pStyle w:val="afa"/>
              <w:jc w:val="center"/>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lang w:val="kk-KZ"/>
              </w:rPr>
              <w:t>5</w:t>
            </w:r>
          </w:p>
        </w:tc>
      </w:tr>
      <w:tr w:rsidR="0038219A" w:rsidRPr="00916B3A" w14:paraId="37FD680F" w14:textId="77777777" w:rsidTr="00FE7F79">
        <w:trPr>
          <w:trHeight w:val="2937"/>
          <w:jc w:val="center"/>
        </w:trPr>
        <w:tc>
          <w:tcPr>
            <w:tcW w:w="2268" w:type="dxa"/>
            <w:vMerge w:val="restart"/>
          </w:tcPr>
          <w:p w14:paraId="5F306563" w14:textId="78A1F451" w:rsidR="0038219A" w:rsidRPr="00916B3A" w:rsidRDefault="0038219A" w:rsidP="003266B6">
            <w:pPr>
              <w:pStyle w:val="afa"/>
              <w:rPr>
                <w:rFonts w:ascii="Times New Roman" w:hAnsi="Times New Roman" w:cs="Times New Roman"/>
                <w:bCs/>
                <w:sz w:val="24"/>
                <w:szCs w:val="24"/>
              </w:rPr>
            </w:pPr>
            <w:r w:rsidRPr="00916B3A">
              <w:rPr>
                <w:rFonts w:ascii="Times New Roman" w:hAnsi="Times New Roman" w:cs="Times New Roman"/>
                <w:sz w:val="28"/>
                <w:szCs w:val="28"/>
              </w:rPr>
              <w:t>1.</w:t>
            </w:r>
            <w:r w:rsidRPr="00916B3A">
              <w:rPr>
                <w:rFonts w:ascii="Times New Roman" w:hAnsi="Times New Roman" w:cs="Times New Roman"/>
                <w:sz w:val="24"/>
                <w:szCs w:val="24"/>
              </w:rPr>
              <w:t>Проанализировать факторы риска неудач имплантации в программах ЭКО и привычного невынашивания</w:t>
            </w:r>
            <w:r w:rsidRPr="00916B3A">
              <w:rPr>
                <w:rFonts w:ascii="Times New Roman" w:hAnsi="Times New Roman" w:cs="Times New Roman"/>
                <w:bCs/>
                <w:sz w:val="24"/>
                <w:szCs w:val="24"/>
              </w:rPr>
              <w:t xml:space="preserve"> и оценить прогностическую ценность толщины эндометрия как один из основных предикторов репродуктивных потерь</w:t>
            </w:r>
          </w:p>
          <w:p w14:paraId="5EAE629A" w14:textId="77777777" w:rsidR="0038219A" w:rsidRPr="00916B3A" w:rsidRDefault="0038219A" w:rsidP="003266B6">
            <w:pPr>
              <w:pStyle w:val="afa"/>
              <w:ind w:firstLine="5"/>
              <w:jc w:val="both"/>
              <w:rPr>
                <w:rFonts w:ascii="Times New Roman" w:hAnsi="Times New Roman" w:cs="Times New Roman"/>
                <w:bCs/>
                <w:sz w:val="24"/>
                <w:szCs w:val="24"/>
              </w:rPr>
            </w:pPr>
          </w:p>
        </w:tc>
        <w:tc>
          <w:tcPr>
            <w:tcW w:w="1843" w:type="dxa"/>
            <w:tcBorders>
              <w:bottom w:val="single" w:sz="4" w:space="0" w:color="auto"/>
            </w:tcBorders>
          </w:tcPr>
          <w:p w14:paraId="63098D67" w14:textId="77777777" w:rsidR="0038219A" w:rsidRPr="00916B3A" w:rsidRDefault="0038219A" w:rsidP="003266B6">
            <w:pPr>
              <w:pStyle w:val="afa"/>
              <w:jc w:val="both"/>
              <w:rPr>
                <w:rFonts w:ascii="Times New Roman" w:eastAsia="Andale Sans UI" w:hAnsi="Times New Roman" w:cs="Times New Roman"/>
                <w:kern w:val="1"/>
                <w:sz w:val="24"/>
                <w:szCs w:val="24"/>
                <w:lang w:val="kk-KZ"/>
              </w:rPr>
            </w:pPr>
            <w:r w:rsidRPr="00916B3A">
              <w:rPr>
                <w:rFonts w:ascii="Times New Roman" w:eastAsia="Andale Sans UI" w:hAnsi="Times New Roman" w:cs="Times New Roman"/>
                <w:kern w:val="1"/>
                <w:sz w:val="24"/>
                <w:szCs w:val="24"/>
              </w:rPr>
              <w:t>Анализ международной литературы</w:t>
            </w:r>
          </w:p>
          <w:p w14:paraId="008291FF" w14:textId="77777777" w:rsidR="0038219A" w:rsidRPr="00916B3A" w:rsidRDefault="0038219A" w:rsidP="003266B6">
            <w:pPr>
              <w:pStyle w:val="afa"/>
              <w:ind w:left="365"/>
              <w:jc w:val="both"/>
              <w:rPr>
                <w:rFonts w:ascii="Times New Roman" w:eastAsia="Andale Sans UI" w:hAnsi="Times New Roman" w:cs="Times New Roman"/>
                <w:kern w:val="1"/>
                <w:sz w:val="24"/>
                <w:szCs w:val="24"/>
                <w:lang w:val="kk-KZ"/>
              </w:rPr>
            </w:pPr>
          </w:p>
        </w:tc>
        <w:tc>
          <w:tcPr>
            <w:tcW w:w="1984" w:type="dxa"/>
          </w:tcPr>
          <w:p w14:paraId="2C27947E" w14:textId="77777777" w:rsidR="0038219A" w:rsidRPr="00916B3A" w:rsidRDefault="0038219A"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hAnsi="Times New Roman" w:cs="Times New Roman"/>
                <w:sz w:val="24"/>
                <w:szCs w:val="24"/>
                <w:lang w:val="kk-KZ"/>
              </w:rPr>
              <w:t>Систематический обзор: Толщина эндометрия и исходы беременности, PRISMA</w:t>
            </w:r>
            <w:r w:rsidRPr="00916B3A">
              <w:rPr>
                <w:rFonts w:ascii="Times New Roman" w:eastAsia="Andale Sans UI" w:hAnsi="Times New Roman" w:cs="Times New Roman"/>
                <w:bCs/>
                <w:kern w:val="1"/>
                <w:sz w:val="24"/>
                <w:szCs w:val="24"/>
                <w:lang w:val="kk-KZ"/>
              </w:rPr>
              <w:t xml:space="preserve"> Опубликованные статьи в базах данных Pubmed, Web of Science, ScienceDirect, Scopus и Google Scholar. </w:t>
            </w:r>
          </w:p>
          <w:p w14:paraId="057869BD" w14:textId="77777777" w:rsidR="0038219A" w:rsidRPr="00916B3A" w:rsidRDefault="0038219A" w:rsidP="003266B6">
            <w:pPr>
              <w:pStyle w:val="afa"/>
              <w:ind w:firstLine="5"/>
              <w:jc w:val="both"/>
              <w:rPr>
                <w:rFonts w:ascii="Times New Roman" w:eastAsia="Andale Sans UI" w:hAnsi="Times New Roman" w:cs="Times New Roman"/>
                <w:bCs/>
                <w:kern w:val="1"/>
                <w:sz w:val="24"/>
                <w:szCs w:val="24"/>
                <w:lang w:val="kk-KZ"/>
              </w:rPr>
            </w:pPr>
          </w:p>
        </w:tc>
        <w:tc>
          <w:tcPr>
            <w:tcW w:w="1701" w:type="dxa"/>
          </w:tcPr>
          <w:p w14:paraId="777D2CF8" w14:textId="77777777" w:rsidR="0038219A" w:rsidRPr="00916B3A" w:rsidRDefault="0038219A"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Методы исследования: анализ литературных источников и информационно-аналитический подход.</w:t>
            </w:r>
          </w:p>
          <w:p w14:paraId="18331C39" w14:textId="4ADB8118" w:rsidR="0038219A" w:rsidRPr="00916B3A" w:rsidRDefault="0038219A"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Дизайн исследования: систематический обзор</w:t>
            </w:r>
          </w:p>
        </w:tc>
        <w:tc>
          <w:tcPr>
            <w:tcW w:w="1843" w:type="dxa"/>
          </w:tcPr>
          <w:p w14:paraId="7BCE64C9" w14:textId="77777777" w:rsidR="0038219A" w:rsidRPr="00916B3A" w:rsidRDefault="0038219A" w:rsidP="003266B6">
            <w:pPr>
              <w:pStyle w:val="afa"/>
              <w:jc w:val="both"/>
              <w:rPr>
                <w:rFonts w:ascii="Times New Roman" w:hAnsi="Times New Roman" w:cs="Times New Roman"/>
                <w:sz w:val="24"/>
                <w:szCs w:val="24"/>
                <w:lang w:val="kk-KZ"/>
              </w:rPr>
            </w:pPr>
            <w:r w:rsidRPr="00916B3A">
              <w:rPr>
                <w:rFonts w:ascii="Times New Roman" w:hAnsi="Times New Roman" w:cs="Times New Roman"/>
                <w:sz w:val="24"/>
                <w:szCs w:val="24"/>
              </w:rPr>
              <w:t xml:space="preserve">20 источников </w:t>
            </w:r>
            <w:r w:rsidRPr="00916B3A">
              <w:rPr>
                <w:rFonts w:ascii="Times New Roman" w:hAnsi="Times New Roman" w:cs="Times New Roman"/>
                <w:sz w:val="24"/>
                <w:szCs w:val="24"/>
                <w:lang w:val="kk-KZ"/>
              </w:rPr>
              <w:t xml:space="preserve"> на английском; </w:t>
            </w:r>
          </w:p>
        </w:tc>
      </w:tr>
      <w:tr w:rsidR="0038219A" w:rsidRPr="00916B3A" w14:paraId="62483844" w14:textId="77777777" w:rsidTr="00FE7F79">
        <w:trPr>
          <w:trHeight w:val="3776"/>
          <w:jc w:val="center"/>
        </w:trPr>
        <w:tc>
          <w:tcPr>
            <w:tcW w:w="2268" w:type="dxa"/>
            <w:vMerge/>
            <w:tcBorders>
              <w:bottom w:val="nil"/>
            </w:tcBorders>
          </w:tcPr>
          <w:p w14:paraId="0F8DD6CD" w14:textId="77777777" w:rsidR="0038219A" w:rsidRPr="00916B3A" w:rsidRDefault="0038219A" w:rsidP="003266B6">
            <w:pPr>
              <w:pStyle w:val="afa"/>
              <w:ind w:firstLine="5"/>
              <w:jc w:val="both"/>
              <w:rPr>
                <w:rFonts w:ascii="Times New Roman" w:hAnsi="Times New Roman" w:cs="Times New Roman"/>
                <w:bCs/>
                <w:sz w:val="24"/>
                <w:szCs w:val="24"/>
              </w:rPr>
            </w:pPr>
          </w:p>
        </w:tc>
        <w:tc>
          <w:tcPr>
            <w:tcW w:w="1843" w:type="dxa"/>
            <w:tcBorders>
              <w:bottom w:val="nil"/>
            </w:tcBorders>
          </w:tcPr>
          <w:p w14:paraId="43834963" w14:textId="32B8B561" w:rsidR="001D37D3" w:rsidRDefault="001D37D3" w:rsidP="003266B6">
            <w:pPr>
              <w:pStyle w:val="afa"/>
              <w:jc w:val="both"/>
              <w:rPr>
                <w:rFonts w:ascii="Times New Roman" w:eastAsia="Arial Unicode MS" w:hAnsi="Times New Roman" w:cs="Times New Roman"/>
                <w:color w:val="000000"/>
                <w:sz w:val="24"/>
                <w:szCs w:val="24"/>
                <w:u w:color="000000"/>
                <w:bdr w:val="nil"/>
              </w:rPr>
            </w:pPr>
            <w:r w:rsidRPr="00916B3A">
              <w:rPr>
                <w:rFonts w:ascii="Times New Roman" w:hAnsi="Times New Roman" w:cs="Times New Roman"/>
                <w:sz w:val="24"/>
                <w:szCs w:val="24"/>
              </w:rPr>
              <w:t>Проведение ретроспективного исследования, логистический регрессионный анализ</w:t>
            </w:r>
          </w:p>
          <w:p w14:paraId="4F7637A9" w14:textId="0EC46331" w:rsidR="0038219A" w:rsidRPr="00916B3A" w:rsidRDefault="0038219A" w:rsidP="003266B6">
            <w:pPr>
              <w:pStyle w:val="afa"/>
              <w:jc w:val="both"/>
              <w:rPr>
                <w:rFonts w:ascii="Times New Roman" w:eastAsia="Andale Sans UI" w:hAnsi="Times New Roman" w:cs="Times New Roman"/>
                <w:kern w:val="1"/>
                <w:sz w:val="24"/>
                <w:szCs w:val="24"/>
              </w:rPr>
            </w:pPr>
          </w:p>
        </w:tc>
        <w:tc>
          <w:tcPr>
            <w:tcW w:w="1984" w:type="dxa"/>
            <w:tcBorders>
              <w:bottom w:val="nil"/>
            </w:tcBorders>
          </w:tcPr>
          <w:p w14:paraId="78B02EF5" w14:textId="77777777" w:rsidR="001D37D3" w:rsidRPr="00916B3A" w:rsidRDefault="001D37D3" w:rsidP="001D37D3">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 xml:space="preserve">База данных пациентов, которым были подсажены свежие эмбрионы в рамках по программе ЭКО-ИКСИ по  госпрограмме Ансаган Саби в г. Алматы </w:t>
            </w:r>
          </w:p>
          <w:p w14:paraId="71E13C02" w14:textId="77777777" w:rsidR="001D37D3" w:rsidRDefault="001D37D3" w:rsidP="00C37FFB">
            <w:pPr>
              <w:pStyle w:val="afa"/>
              <w:ind w:firstLine="5"/>
              <w:jc w:val="both"/>
              <w:rPr>
                <w:rFonts w:ascii="Times New Roman" w:eastAsia="Andale Sans UI" w:hAnsi="Times New Roman" w:cs="Times New Roman"/>
                <w:bCs/>
                <w:kern w:val="1"/>
                <w:sz w:val="24"/>
                <w:szCs w:val="24"/>
                <w:lang w:val="kk-KZ"/>
              </w:rPr>
            </w:pPr>
          </w:p>
          <w:p w14:paraId="07183A75" w14:textId="710BF088" w:rsidR="0038219A" w:rsidRPr="00916B3A" w:rsidRDefault="0038219A" w:rsidP="00C37FFB">
            <w:pPr>
              <w:pStyle w:val="afa"/>
              <w:ind w:firstLine="5"/>
              <w:jc w:val="both"/>
              <w:rPr>
                <w:rFonts w:ascii="Times New Roman" w:eastAsia="Andale Sans UI" w:hAnsi="Times New Roman" w:cs="Times New Roman"/>
                <w:bCs/>
                <w:kern w:val="1"/>
                <w:sz w:val="24"/>
                <w:szCs w:val="24"/>
                <w:lang w:val="kk-KZ"/>
              </w:rPr>
            </w:pPr>
          </w:p>
        </w:tc>
        <w:tc>
          <w:tcPr>
            <w:tcW w:w="1701" w:type="dxa"/>
            <w:tcBorders>
              <w:bottom w:val="nil"/>
            </w:tcBorders>
          </w:tcPr>
          <w:p w14:paraId="4787479C" w14:textId="77777777" w:rsidR="0038219A" w:rsidRPr="00916B3A" w:rsidRDefault="0038219A"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Методы исследования: социо логический, аналитический и  статистический.</w:t>
            </w:r>
          </w:p>
          <w:p w14:paraId="2BD312DA" w14:textId="77777777" w:rsidR="0038219A" w:rsidRPr="00916B3A" w:rsidRDefault="0038219A"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Дизайн исследования: ретроспективный анализ данных</w:t>
            </w:r>
          </w:p>
        </w:tc>
        <w:tc>
          <w:tcPr>
            <w:tcW w:w="1843" w:type="dxa"/>
            <w:tcBorders>
              <w:bottom w:val="nil"/>
            </w:tcBorders>
          </w:tcPr>
          <w:p w14:paraId="5B86ED3E" w14:textId="1290D05D" w:rsidR="001D37D3" w:rsidRPr="00916B3A" w:rsidRDefault="001D37D3" w:rsidP="003266B6">
            <w:pPr>
              <w:pStyle w:val="afa"/>
              <w:jc w:val="both"/>
              <w:rPr>
                <w:rFonts w:ascii="Times New Roman" w:hAnsi="Times New Roman" w:cs="Times New Roman"/>
                <w:sz w:val="24"/>
                <w:szCs w:val="24"/>
                <w:lang w:val="kk-KZ"/>
              </w:rPr>
            </w:pPr>
            <w:r w:rsidRPr="00916B3A">
              <w:rPr>
                <w:rFonts w:ascii="Times New Roman" w:eastAsia="Arial Unicode MS" w:hAnsi="Times New Roman" w:cs="Times New Roman"/>
                <w:color w:val="000000"/>
                <w:sz w:val="24"/>
                <w:szCs w:val="24"/>
                <w:u w:color="000000"/>
                <w:bdr w:val="nil"/>
              </w:rPr>
              <w:t>279 женщин, прошедших процедуру ЭКО в свежем цикле</w:t>
            </w:r>
          </w:p>
        </w:tc>
      </w:tr>
    </w:tbl>
    <w:p w14:paraId="030C73DA" w14:textId="1BFEB2BA" w:rsidR="00FE7F79" w:rsidRDefault="00FE7F79"/>
    <w:p w14:paraId="151B5C72" w14:textId="55B630D8" w:rsidR="00FE7F79" w:rsidRDefault="00FE7F79"/>
    <w:p w14:paraId="497CA77C" w14:textId="7041D82D" w:rsidR="00FE7F79" w:rsidRDefault="00FE7F79" w:rsidP="00FE7F79">
      <w:pPr>
        <w:spacing w:after="0" w:line="240" w:lineRule="auto"/>
        <w:rPr>
          <w:rFonts w:ascii="Times New Roman" w:hAnsi="Times New Roman" w:cs="Times New Roman"/>
          <w:sz w:val="28"/>
          <w:szCs w:val="28"/>
        </w:rPr>
      </w:pPr>
      <w:r w:rsidRPr="00FE7F79">
        <w:rPr>
          <w:rFonts w:ascii="Times New Roman" w:hAnsi="Times New Roman" w:cs="Times New Roman"/>
          <w:sz w:val="28"/>
          <w:szCs w:val="28"/>
        </w:rPr>
        <w:t>Продолжение таблицы 1</w:t>
      </w:r>
    </w:p>
    <w:p w14:paraId="290F1EA6" w14:textId="77777777" w:rsidR="00FE7F79" w:rsidRPr="00FE7F79" w:rsidRDefault="00FE7F79" w:rsidP="00FE7F79">
      <w:pPr>
        <w:spacing w:after="0" w:line="240" w:lineRule="auto"/>
        <w:rPr>
          <w:rFonts w:ascii="Times New Roman" w:hAnsi="Times New Roman" w:cs="Times New Roman"/>
          <w:sz w:val="28"/>
          <w:szCs w:val="28"/>
        </w:rPr>
      </w:pPr>
    </w:p>
    <w:tbl>
      <w:tblPr>
        <w:tblStyle w:val="ae"/>
        <w:tblW w:w="9639" w:type="dxa"/>
        <w:jc w:val="center"/>
        <w:tblLayout w:type="fixed"/>
        <w:tblLook w:val="04A0" w:firstRow="1" w:lastRow="0" w:firstColumn="1" w:lastColumn="0" w:noHBand="0" w:noVBand="1"/>
      </w:tblPr>
      <w:tblGrid>
        <w:gridCol w:w="2268"/>
        <w:gridCol w:w="1843"/>
        <w:gridCol w:w="1984"/>
        <w:gridCol w:w="1701"/>
        <w:gridCol w:w="1843"/>
      </w:tblGrid>
      <w:tr w:rsidR="00FE7F79" w:rsidRPr="00FE7F79" w14:paraId="00434886" w14:textId="77777777" w:rsidTr="00FE7F79">
        <w:trPr>
          <w:trHeight w:val="197"/>
          <w:jc w:val="center"/>
        </w:trPr>
        <w:tc>
          <w:tcPr>
            <w:tcW w:w="2268" w:type="dxa"/>
            <w:tcBorders>
              <w:bottom w:val="single" w:sz="4" w:space="0" w:color="auto"/>
            </w:tcBorders>
          </w:tcPr>
          <w:p w14:paraId="5F077ABE" w14:textId="3041FE65" w:rsidR="00FE7F79" w:rsidRPr="00FE7F79" w:rsidRDefault="00FE7F79" w:rsidP="00FE7F79">
            <w:pPr>
              <w:pStyle w:val="afa"/>
              <w:ind w:firstLine="5"/>
              <w:jc w:val="center"/>
              <w:rPr>
                <w:rFonts w:ascii="Times New Roman" w:hAnsi="Times New Roman" w:cs="Times New Roman"/>
                <w:bCs/>
                <w:sz w:val="28"/>
                <w:szCs w:val="28"/>
              </w:rPr>
            </w:pPr>
            <w:r>
              <w:rPr>
                <w:rFonts w:ascii="Times New Roman" w:hAnsi="Times New Roman" w:cs="Times New Roman"/>
                <w:bCs/>
                <w:sz w:val="28"/>
                <w:szCs w:val="28"/>
              </w:rPr>
              <w:t>1</w:t>
            </w:r>
          </w:p>
        </w:tc>
        <w:tc>
          <w:tcPr>
            <w:tcW w:w="1843" w:type="dxa"/>
            <w:tcBorders>
              <w:bottom w:val="single" w:sz="4" w:space="0" w:color="auto"/>
            </w:tcBorders>
          </w:tcPr>
          <w:p w14:paraId="3CFCAF81" w14:textId="6EC927A1" w:rsidR="00FE7F79" w:rsidRPr="00FE7F79" w:rsidRDefault="00FE7F79" w:rsidP="00FE7F79">
            <w:pPr>
              <w:pStyle w:val="afa"/>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2</w:t>
            </w:r>
          </w:p>
        </w:tc>
        <w:tc>
          <w:tcPr>
            <w:tcW w:w="1984" w:type="dxa"/>
            <w:tcBorders>
              <w:bottom w:val="single" w:sz="4" w:space="0" w:color="auto"/>
            </w:tcBorders>
          </w:tcPr>
          <w:p w14:paraId="44E5B198" w14:textId="360249E5" w:rsidR="00FE7F79" w:rsidRPr="00FE7F79" w:rsidRDefault="00FE7F79" w:rsidP="00FE7F79">
            <w:pPr>
              <w:pStyle w:val="afa"/>
              <w:ind w:firstLine="5"/>
              <w:jc w:val="center"/>
              <w:rPr>
                <w:rFonts w:ascii="Times New Roman" w:eastAsia="Andale Sans UI" w:hAnsi="Times New Roman" w:cs="Times New Roman"/>
                <w:bCs/>
                <w:kern w:val="1"/>
                <w:sz w:val="28"/>
                <w:szCs w:val="28"/>
                <w:lang w:val="kk-KZ"/>
              </w:rPr>
            </w:pPr>
            <w:r>
              <w:rPr>
                <w:rFonts w:ascii="Times New Roman" w:eastAsia="Andale Sans UI" w:hAnsi="Times New Roman" w:cs="Times New Roman"/>
                <w:bCs/>
                <w:kern w:val="1"/>
                <w:sz w:val="28"/>
                <w:szCs w:val="28"/>
                <w:lang w:val="kk-KZ"/>
              </w:rPr>
              <w:t>3</w:t>
            </w:r>
          </w:p>
        </w:tc>
        <w:tc>
          <w:tcPr>
            <w:tcW w:w="1701" w:type="dxa"/>
            <w:tcBorders>
              <w:bottom w:val="single" w:sz="4" w:space="0" w:color="auto"/>
            </w:tcBorders>
          </w:tcPr>
          <w:p w14:paraId="3ADAE3DE" w14:textId="10D99A28" w:rsidR="00FE7F79" w:rsidRPr="00FE7F79" w:rsidRDefault="00FE7F79" w:rsidP="00FE7F79">
            <w:pPr>
              <w:pStyle w:val="afa"/>
              <w:ind w:firstLine="5"/>
              <w:jc w:val="center"/>
              <w:rPr>
                <w:rFonts w:ascii="Times New Roman" w:eastAsia="Andale Sans UI" w:hAnsi="Times New Roman" w:cs="Times New Roman"/>
                <w:bCs/>
                <w:kern w:val="1"/>
                <w:sz w:val="28"/>
                <w:szCs w:val="28"/>
                <w:lang w:val="kk-KZ"/>
              </w:rPr>
            </w:pPr>
            <w:r>
              <w:rPr>
                <w:rFonts w:ascii="Times New Roman" w:eastAsia="Andale Sans UI" w:hAnsi="Times New Roman" w:cs="Times New Roman"/>
                <w:bCs/>
                <w:kern w:val="1"/>
                <w:sz w:val="28"/>
                <w:szCs w:val="28"/>
                <w:lang w:val="kk-KZ"/>
              </w:rPr>
              <w:t>4</w:t>
            </w:r>
          </w:p>
        </w:tc>
        <w:tc>
          <w:tcPr>
            <w:tcW w:w="1843" w:type="dxa"/>
            <w:tcBorders>
              <w:bottom w:val="single" w:sz="4" w:space="0" w:color="auto"/>
            </w:tcBorders>
          </w:tcPr>
          <w:p w14:paraId="7A6498B5" w14:textId="06FB9A58" w:rsidR="00FE7F79" w:rsidRPr="00FE7F79" w:rsidRDefault="00FE7F79" w:rsidP="00FE7F79">
            <w:pPr>
              <w:pStyle w:val="afa"/>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5</w:t>
            </w:r>
          </w:p>
        </w:tc>
      </w:tr>
      <w:tr w:rsidR="0038219A" w:rsidRPr="00FE7F79" w14:paraId="1BB41715" w14:textId="77777777" w:rsidTr="00FE7F79">
        <w:trPr>
          <w:trHeight w:val="1460"/>
          <w:jc w:val="center"/>
        </w:trPr>
        <w:tc>
          <w:tcPr>
            <w:tcW w:w="2268" w:type="dxa"/>
            <w:tcBorders>
              <w:bottom w:val="single" w:sz="4" w:space="0" w:color="auto"/>
            </w:tcBorders>
          </w:tcPr>
          <w:p w14:paraId="50EAA988" w14:textId="77777777" w:rsidR="0038219A" w:rsidRPr="00FE7F79" w:rsidRDefault="0038219A" w:rsidP="00FE7F79">
            <w:pPr>
              <w:pStyle w:val="afa"/>
              <w:ind w:firstLine="5"/>
              <w:jc w:val="both"/>
              <w:rPr>
                <w:rFonts w:ascii="Times New Roman" w:hAnsi="Times New Roman" w:cs="Times New Roman"/>
                <w:bCs/>
                <w:sz w:val="28"/>
                <w:szCs w:val="28"/>
              </w:rPr>
            </w:pPr>
          </w:p>
        </w:tc>
        <w:tc>
          <w:tcPr>
            <w:tcW w:w="1843" w:type="dxa"/>
            <w:tcBorders>
              <w:bottom w:val="single" w:sz="4" w:space="0" w:color="auto"/>
            </w:tcBorders>
          </w:tcPr>
          <w:p w14:paraId="55769CA6" w14:textId="11107F67" w:rsidR="0038219A" w:rsidRPr="00FE7F79" w:rsidRDefault="001D37D3" w:rsidP="00FE7F79">
            <w:pPr>
              <w:pStyle w:val="afa"/>
              <w:jc w:val="both"/>
              <w:rPr>
                <w:rFonts w:ascii="Times New Roman" w:hAnsi="Times New Roman" w:cs="Times New Roman"/>
                <w:sz w:val="28"/>
                <w:szCs w:val="28"/>
              </w:rPr>
            </w:pPr>
            <w:r w:rsidRPr="00FE7F79">
              <w:rPr>
                <w:rFonts w:ascii="Times New Roman" w:eastAsia="Arial Unicode MS" w:hAnsi="Times New Roman" w:cs="Times New Roman"/>
                <w:color w:val="000000"/>
                <w:sz w:val="28"/>
                <w:szCs w:val="28"/>
                <w:u w:color="000000"/>
                <w:bdr w:val="nil"/>
              </w:rPr>
              <w:t>Мониторинг результативности программы ЭКО-ПЭ</w:t>
            </w:r>
          </w:p>
        </w:tc>
        <w:tc>
          <w:tcPr>
            <w:tcW w:w="1984" w:type="dxa"/>
            <w:tcBorders>
              <w:bottom w:val="single" w:sz="4" w:space="0" w:color="auto"/>
            </w:tcBorders>
          </w:tcPr>
          <w:p w14:paraId="184D8B1A" w14:textId="48E85F7C" w:rsidR="0038219A" w:rsidRPr="00FE7F79" w:rsidRDefault="001D37D3" w:rsidP="00FE7F79">
            <w:pPr>
              <w:pStyle w:val="afa"/>
              <w:ind w:firstLine="5"/>
              <w:jc w:val="both"/>
              <w:rPr>
                <w:rFonts w:ascii="Times New Roman" w:eastAsia="Andale Sans UI" w:hAnsi="Times New Roman" w:cs="Times New Roman"/>
                <w:bCs/>
                <w:kern w:val="1"/>
                <w:sz w:val="28"/>
                <w:szCs w:val="28"/>
                <w:lang w:val="kk-KZ"/>
              </w:rPr>
            </w:pPr>
            <w:r w:rsidRPr="00FE7F79">
              <w:rPr>
                <w:rFonts w:ascii="Times New Roman" w:eastAsia="Andale Sans UI" w:hAnsi="Times New Roman" w:cs="Times New Roman"/>
                <w:bCs/>
                <w:kern w:val="1"/>
                <w:sz w:val="28"/>
                <w:szCs w:val="28"/>
                <w:lang w:val="kk-KZ"/>
              </w:rPr>
              <w:t>База данных пациентов, которым были подсажены свежие эмбрионы в рамках по программе ЭКО-ИКСИ по госпрограмме  «Аңсаған сәби» в г. Алматы</w:t>
            </w:r>
          </w:p>
        </w:tc>
        <w:tc>
          <w:tcPr>
            <w:tcW w:w="1701" w:type="dxa"/>
            <w:tcBorders>
              <w:bottom w:val="single" w:sz="4" w:space="0" w:color="auto"/>
            </w:tcBorders>
          </w:tcPr>
          <w:p w14:paraId="71DE196B" w14:textId="77777777" w:rsidR="0038219A" w:rsidRPr="00FE7F79" w:rsidRDefault="0038219A" w:rsidP="00FE7F79">
            <w:pPr>
              <w:pStyle w:val="afa"/>
              <w:ind w:firstLine="5"/>
              <w:jc w:val="both"/>
              <w:rPr>
                <w:rFonts w:ascii="Times New Roman" w:eastAsia="Andale Sans UI" w:hAnsi="Times New Roman" w:cs="Times New Roman"/>
                <w:bCs/>
                <w:kern w:val="1"/>
                <w:sz w:val="28"/>
                <w:szCs w:val="28"/>
                <w:lang w:val="kk-KZ"/>
              </w:rPr>
            </w:pPr>
            <w:r w:rsidRPr="00FE7F79">
              <w:rPr>
                <w:rFonts w:ascii="Times New Roman" w:eastAsia="Andale Sans UI" w:hAnsi="Times New Roman" w:cs="Times New Roman"/>
                <w:bCs/>
                <w:kern w:val="1"/>
                <w:sz w:val="28"/>
                <w:szCs w:val="28"/>
                <w:lang w:val="kk-KZ"/>
              </w:rPr>
              <w:t>Методы исследования: социо логический, аналитический и  статистический.</w:t>
            </w:r>
          </w:p>
          <w:p w14:paraId="708207D1" w14:textId="77777777" w:rsidR="0038219A" w:rsidRPr="00FE7F79" w:rsidRDefault="0038219A" w:rsidP="00FE7F79">
            <w:pPr>
              <w:pStyle w:val="afa"/>
              <w:ind w:firstLine="5"/>
              <w:jc w:val="both"/>
              <w:rPr>
                <w:rFonts w:ascii="Times New Roman" w:eastAsia="Andale Sans UI" w:hAnsi="Times New Roman" w:cs="Times New Roman"/>
                <w:bCs/>
                <w:kern w:val="1"/>
                <w:sz w:val="28"/>
                <w:szCs w:val="28"/>
                <w:lang w:val="kk-KZ"/>
              </w:rPr>
            </w:pPr>
            <w:r w:rsidRPr="00FE7F79">
              <w:rPr>
                <w:rFonts w:ascii="Times New Roman" w:eastAsia="Andale Sans UI" w:hAnsi="Times New Roman" w:cs="Times New Roman"/>
                <w:bCs/>
                <w:kern w:val="1"/>
                <w:sz w:val="28"/>
                <w:szCs w:val="28"/>
                <w:lang w:val="kk-KZ"/>
              </w:rPr>
              <w:t>Дизайн исследования: ретроспективный анализ данных</w:t>
            </w:r>
          </w:p>
        </w:tc>
        <w:tc>
          <w:tcPr>
            <w:tcW w:w="1843" w:type="dxa"/>
            <w:tcBorders>
              <w:bottom w:val="single" w:sz="4" w:space="0" w:color="auto"/>
            </w:tcBorders>
          </w:tcPr>
          <w:p w14:paraId="2E4ED417" w14:textId="77777777" w:rsidR="001D37D3" w:rsidRPr="00FE7F79" w:rsidRDefault="001D37D3" w:rsidP="00FE7F79">
            <w:pPr>
              <w:pStyle w:val="afa"/>
              <w:jc w:val="both"/>
              <w:rPr>
                <w:rFonts w:ascii="Times New Roman" w:eastAsia="Arial Unicode MS" w:hAnsi="Times New Roman" w:cs="Times New Roman"/>
                <w:color w:val="000000"/>
                <w:sz w:val="28"/>
                <w:szCs w:val="28"/>
                <w:u w:color="000000"/>
                <w:bdr w:val="nil"/>
              </w:rPr>
            </w:pPr>
            <w:r w:rsidRPr="00FE7F79">
              <w:rPr>
                <w:rFonts w:ascii="Times New Roman" w:eastAsia="Arial Unicode MS" w:hAnsi="Times New Roman" w:cs="Times New Roman"/>
                <w:color w:val="000000"/>
                <w:sz w:val="28"/>
                <w:szCs w:val="28"/>
                <w:u w:color="000000"/>
                <w:bdr w:val="nil"/>
              </w:rPr>
              <w:t>401 пациентка</w:t>
            </w:r>
          </w:p>
          <w:p w14:paraId="4772D722" w14:textId="3AE4F283" w:rsidR="0038219A" w:rsidRPr="00FE7F79" w:rsidRDefault="0038219A" w:rsidP="00FE7F79">
            <w:pPr>
              <w:pStyle w:val="afa"/>
              <w:jc w:val="both"/>
              <w:rPr>
                <w:rFonts w:ascii="Times New Roman" w:eastAsia="Arial Unicode MS" w:hAnsi="Times New Roman" w:cs="Times New Roman"/>
                <w:color w:val="000000"/>
                <w:sz w:val="28"/>
                <w:szCs w:val="28"/>
                <w:u w:color="000000"/>
                <w:bdr w:val="nil"/>
              </w:rPr>
            </w:pPr>
          </w:p>
        </w:tc>
      </w:tr>
      <w:tr w:rsidR="00FF1C8D" w:rsidRPr="00916B3A" w14:paraId="55624B17" w14:textId="77777777" w:rsidTr="002635DA">
        <w:trPr>
          <w:trHeight w:val="4809"/>
          <w:jc w:val="center"/>
        </w:trPr>
        <w:tc>
          <w:tcPr>
            <w:tcW w:w="2268" w:type="dxa"/>
            <w:tcBorders>
              <w:top w:val="single" w:sz="4" w:space="0" w:color="auto"/>
              <w:bottom w:val="single" w:sz="4" w:space="0" w:color="auto"/>
            </w:tcBorders>
          </w:tcPr>
          <w:p w14:paraId="66E65166" w14:textId="77777777" w:rsidR="00FF1C8D" w:rsidRPr="00916B3A" w:rsidRDefault="00FF1C8D" w:rsidP="003266B6">
            <w:pPr>
              <w:pStyle w:val="afa"/>
              <w:jc w:val="both"/>
              <w:rPr>
                <w:rFonts w:ascii="Times New Roman" w:eastAsia="Andale Sans UI" w:hAnsi="Times New Roman" w:cs="Times New Roman"/>
                <w:bCs/>
                <w:kern w:val="1"/>
                <w:sz w:val="24"/>
                <w:szCs w:val="24"/>
              </w:rPr>
            </w:pPr>
            <w:r w:rsidRPr="00916B3A">
              <w:rPr>
                <w:rFonts w:ascii="Times New Roman" w:hAnsi="Times New Roman" w:cs="Times New Roman"/>
                <w:sz w:val="24"/>
                <w:szCs w:val="24"/>
              </w:rPr>
              <w:t>2.Изучить особенности  эхографической картины и показатели сопротивления сосудов матки при цветной допплерометрии у женщин с невынашиванием для выделения наиболее характерных признаков тонкого эндометрия</w:t>
            </w:r>
          </w:p>
        </w:tc>
        <w:tc>
          <w:tcPr>
            <w:tcW w:w="1843" w:type="dxa"/>
            <w:tcBorders>
              <w:top w:val="single" w:sz="4" w:space="0" w:color="auto"/>
              <w:bottom w:val="single" w:sz="4" w:space="0" w:color="auto"/>
            </w:tcBorders>
          </w:tcPr>
          <w:p w14:paraId="2CCDAEEA" w14:textId="77777777" w:rsidR="00FF1C8D" w:rsidRPr="00916B3A" w:rsidRDefault="00FF1C8D"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 xml:space="preserve">Проведение </w:t>
            </w:r>
            <w:r w:rsidRPr="00916B3A">
              <w:rPr>
                <w:rFonts w:ascii="Times New Roman" w:eastAsia="Andale Sans UI" w:hAnsi="Times New Roman" w:cs="Times New Roman"/>
                <w:bCs/>
                <w:kern w:val="1"/>
                <w:sz w:val="24"/>
                <w:szCs w:val="24"/>
              </w:rPr>
              <w:t xml:space="preserve">обсервационного </w:t>
            </w:r>
            <w:r w:rsidRPr="00916B3A">
              <w:rPr>
                <w:rFonts w:ascii="Times New Roman" w:eastAsia="Andale Sans UI" w:hAnsi="Times New Roman" w:cs="Times New Roman"/>
                <w:bCs/>
                <w:kern w:val="1"/>
                <w:sz w:val="24"/>
                <w:szCs w:val="24"/>
                <w:lang w:val="kk-KZ"/>
              </w:rPr>
              <w:t>исследования случай-контроль</w:t>
            </w:r>
          </w:p>
        </w:tc>
        <w:tc>
          <w:tcPr>
            <w:tcW w:w="1984" w:type="dxa"/>
            <w:tcBorders>
              <w:top w:val="single" w:sz="4" w:space="0" w:color="auto"/>
              <w:bottom w:val="single" w:sz="4" w:space="0" w:color="auto"/>
            </w:tcBorders>
          </w:tcPr>
          <w:p w14:paraId="69BC2052" w14:textId="77777777" w:rsidR="00FF1C8D" w:rsidRPr="00916B3A" w:rsidRDefault="00FF1C8D"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rPr>
              <w:t xml:space="preserve">Данные трансвагинальной эхографии и доплерометрии </w:t>
            </w:r>
          </w:p>
        </w:tc>
        <w:tc>
          <w:tcPr>
            <w:tcW w:w="1701" w:type="dxa"/>
            <w:tcBorders>
              <w:top w:val="single" w:sz="4" w:space="0" w:color="auto"/>
              <w:bottom w:val="single" w:sz="4" w:space="0" w:color="auto"/>
            </w:tcBorders>
          </w:tcPr>
          <w:p w14:paraId="7130D768" w14:textId="77777777" w:rsidR="00FF1C8D" w:rsidRPr="00916B3A" w:rsidRDefault="00FF1C8D"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Методы исследования: аналитический и  статистический.</w:t>
            </w:r>
          </w:p>
          <w:p w14:paraId="79C4A704" w14:textId="77777777" w:rsidR="00FF1C8D" w:rsidRPr="00916B3A" w:rsidRDefault="00FF1C8D"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Дизайн исследования: обсервационное исследование случай-контроль.</w:t>
            </w:r>
          </w:p>
        </w:tc>
        <w:tc>
          <w:tcPr>
            <w:tcW w:w="1843" w:type="dxa"/>
            <w:tcBorders>
              <w:top w:val="single" w:sz="4" w:space="0" w:color="auto"/>
              <w:bottom w:val="single" w:sz="4" w:space="0" w:color="auto"/>
            </w:tcBorders>
          </w:tcPr>
          <w:p w14:paraId="08483693" w14:textId="02BF9FC4" w:rsidR="00FF1C8D" w:rsidRPr="00916B3A" w:rsidRDefault="003B45FB" w:rsidP="003266B6">
            <w:pPr>
              <w:pStyle w:val="afa"/>
              <w:jc w:val="both"/>
              <w:rPr>
                <w:rFonts w:ascii="Times New Roman" w:hAnsi="Times New Roman" w:cs="Times New Roman"/>
                <w:sz w:val="24"/>
                <w:szCs w:val="24"/>
              </w:rPr>
            </w:pPr>
            <w:r w:rsidRPr="00916B3A">
              <w:rPr>
                <w:rFonts w:ascii="Times New Roman" w:eastAsia="Arial Unicode MS" w:hAnsi="Times New Roman" w:cs="Times New Roman"/>
                <w:color w:val="000000"/>
                <w:sz w:val="24"/>
                <w:szCs w:val="24"/>
                <w:u w:color="000000"/>
                <w:bdr w:val="nil"/>
              </w:rPr>
              <w:t>53</w:t>
            </w:r>
            <w:r w:rsidR="00FF1C8D" w:rsidRPr="00916B3A">
              <w:rPr>
                <w:rFonts w:ascii="Times New Roman" w:eastAsia="Arial Unicode MS" w:hAnsi="Times New Roman" w:cs="Times New Roman"/>
                <w:color w:val="000000"/>
                <w:sz w:val="24"/>
                <w:szCs w:val="24"/>
                <w:u w:color="000000"/>
                <w:bdr w:val="nil"/>
              </w:rPr>
              <w:t xml:space="preserve"> женщин: </w:t>
            </w:r>
            <w:r w:rsidRPr="00916B3A">
              <w:rPr>
                <w:rFonts w:ascii="Times New Roman" w:hAnsi="Times New Roman" w:cs="Times New Roman"/>
                <w:sz w:val="24"/>
                <w:szCs w:val="24"/>
              </w:rPr>
              <w:t>20 пациентов РНИ, 19 - РПБ и 14 фертильных женщин</w:t>
            </w:r>
          </w:p>
        </w:tc>
      </w:tr>
      <w:tr w:rsidR="00FF1C8D" w:rsidRPr="00916B3A" w14:paraId="3E565721" w14:textId="77777777" w:rsidTr="002635DA">
        <w:trPr>
          <w:trHeight w:val="290"/>
          <w:jc w:val="center"/>
        </w:trPr>
        <w:tc>
          <w:tcPr>
            <w:tcW w:w="2268" w:type="dxa"/>
            <w:tcBorders>
              <w:top w:val="single" w:sz="4" w:space="0" w:color="auto"/>
              <w:bottom w:val="nil"/>
            </w:tcBorders>
          </w:tcPr>
          <w:p w14:paraId="36E79935" w14:textId="77777777" w:rsidR="00FF1C8D" w:rsidRPr="00916B3A" w:rsidRDefault="00FF1C8D" w:rsidP="003266B6">
            <w:pPr>
              <w:pStyle w:val="afa"/>
              <w:jc w:val="both"/>
              <w:rPr>
                <w:rFonts w:ascii="Times New Roman" w:hAnsi="Times New Roman" w:cs="Times New Roman"/>
                <w:sz w:val="24"/>
                <w:szCs w:val="24"/>
              </w:rPr>
            </w:pPr>
            <w:r w:rsidRPr="00916B3A">
              <w:rPr>
                <w:rFonts w:ascii="Times New Roman" w:hAnsi="Times New Roman" w:cs="Times New Roman"/>
                <w:sz w:val="24"/>
                <w:szCs w:val="24"/>
              </w:rPr>
              <w:t>3.</w:t>
            </w:r>
            <w:r w:rsidRPr="00916B3A">
              <w:rPr>
                <w:rFonts w:ascii="Times New Roman" w:hAnsi="Times New Roman" w:cs="Times New Roman"/>
                <w:bCs/>
                <w:sz w:val="24"/>
                <w:szCs w:val="24"/>
                <w:lang w:val="kk-KZ"/>
              </w:rPr>
              <w:t xml:space="preserve"> </w:t>
            </w:r>
            <w:r w:rsidRPr="00916B3A">
              <w:rPr>
                <w:rFonts w:ascii="Times New Roman" w:eastAsia="Times New Roman" w:hAnsi="Times New Roman" w:cs="Times New Roman"/>
                <w:sz w:val="24"/>
                <w:szCs w:val="24"/>
                <w:lang w:eastAsia="ru-RU"/>
              </w:rPr>
              <w:t>Провести транскрипционный анализ активности генов иммунного ответа у пациенток РПБ и РНИ</w:t>
            </w:r>
          </w:p>
        </w:tc>
        <w:tc>
          <w:tcPr>
            <w:tcW w:w="1843" w:type="dxa"/>
            <w:tcBorders>
              <w:top w:val="single" w:sz="4" w:space="0" w:color="auto"/>
              <w:bottom w:val="nil"/>
            </w:tcBorders>
          </w:tcPr>
          <w:p w14:paraId="6DED56A6" w14:textId="77777777" w:rsidR="00FF1C8D" w:rsidRPr="00916B3A" w:rsidRDefault="00FF1C8D"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hAnsi="Times New Roman" w:cs="Times New Roman"/>
                <w:sz w:val="24"/>
                <w:szCs w:val="24"/>
              </w:rPr>
              <w:t>Проспективное исследование</w:t>
            </w:r>
          </w:p>
        </w:tc>
        <w:tc>
          <w:tcPr>
            <w:tcW w:w="1984" w:type="dxa"/>
            <w:tcBorders>
              <w:top w:val="single" w:sz="4" w:space="0" w:color="auto"/>
              <w:bottom w:val="nil"/>
            </w:tcBorders>
          </w:tcPr>
          <w:p w14:paraId="45221AB0" w14:textId="77777777" w:rsidR="00FF1C8D" w:rsidRPr="00916B3A" w:rsidRDefault="00FF1C8D" w:rsidP="003266B6">
            <w:pPr>
              <w:pStyle w:val="afa"/>
              <w:ind w:firstLine="5"/>
              <w:jc w:val="both"/>
              <w:rPr>
                <w:rFonts w:ascii="Times New Roman" w:hAnsi="Times New Roman" w:cs="Times New Roman"/>
                <w:i/>
                <w:iCs/>
              </w:rPr>
            </w:pPr>
            <w:r w:rsidRPr="00916B3A">
              <w:rPr>
                <w:rFonts w:ascii="Times New Roman" w:hAnsi="Times New Roman" w:cs="Times New Roman"/>
                <w:color w:val="151833"/>
                <w:sz w:val="24"/>
                <w:szCs w:val="24"/>
                <w:shd w:val="clear" w:color="auto" w:fill="FFFFFF"/>
                <w:lang w:val="kk-KZ"/>
              </w:rPr>
              <w:t xml:space="preserve">транскриптомный анализ </w:t>
            </w:r>
            <w:r w:rsidRPr="00916B3A">
              <w:rPr>
                <w:rFonts w:ascii="Times New Roman" w:hAnsi="Times New Roman" w:cs="Times New Roman"/>
                <w:sz w:val="24"/>
                <w:szCs w:val="24"/>
                <w:lang w:val="kk-KZ"/>
              </w:rPr>
              <w:t xml:space="preserve">экспрессии генов </w:t>
            </w:r>
            <w:r w:rsidRPr="00916B3A">
              <w:rPr>
                <w:rFonts w:ascii="Times New Roman" w:hAnsi="Times New Roman" w:cs="Times New Roman"/>
                <w:i/>
                <w:iCs/>
              </w:rPr>
              <w:t>C4BPA, IL15, HAND2, VEGFB, CXCL1.</w:t>
            </w:r>
          </w:p>
          <w:p w14:paraId="4866997E" w14:textId="77777777" w:rsidR="00FF1C8D" w:rsidRPr="00916B3A" w:rsidRDefault="00FF1C8D"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hAnsi="Times New Roman" w:cs="Times New Roman"/>
                <w:i/>
                <w:iCs/>
                <w:sz w:val="24"/>
                <w:szCs w:val="24"/>
                <w:lang w:val="kk-KZ"/>
              </w:rPr>
              <w:t xml:space="preserve"> </w:t>
            </w:r>
            <w:r w:rsidRPr="00916B3A">
              <w:rPr>
                <w:rFonts w:ascii="Times New Roman" w:hAnsi="Times New Roman" w:cs="Times New Roman"/>
                <w:sz w:val="24"/>
                <w:szCs w:val="24"/>
                <w:lang w:val="kk-KZ"/>
              </w:rPr>
              <w:t>(ПЦР реал-тайм)</w:t>
            </w:r>
          </w:p>
        </w:tc>
        <w:tc>
          <w:tcPr>
            <w:tcW w:w="1701" w:type="dxa"/>
            <w:tcBorders>
              <w:top w:val="single" w:sz="4" w:space="0" w:color="auto"/>
              <w:bottom w:val="nil"/>
            </w:tcBorders>
          </w:tcPr>
          <w:p w14:paraId="231B6286" w14:textId="77777777" w:rsidR="00FF1C8D" w:rsidRPr="00916B3A" w:rsidRDefault="00FF1C8D"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Методы исследования: аналитический и  статистический.</w:t>
            </w:r>
          </w:p>
          <w:p w14:paraId="6C9F69CC" w14:textId="77777777" w:rsidR="00FF1C8D" w:rsidRPr="00916B3A" w:rsidRDefault="00FF1C8D"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eastAsia="Andale Sans UI" w:hAnsi="Times New Roman" w:cs="Times New Roman"/>
                <w:bCs/>
                <w:kern w:val="1"/>
                <w:sz w:val="24"/>
                <w:szCs w:val="24"/>
                <w:lang w:val="kk-KZ"/>
              </w:rPr>
              <w:t>Дизайн исследования: обсервационное исследование случай-контроль.</w:t>
            </w:r>
          </w:p>
        </w:tc>
        <w:tc>
          <w:tcPr>
            <w:tcW w:w="1843" w:type="dxa"/>
            <w:tcBorders>
              <w:top w:val="single" w:sz="4" w:space="0" w:color="auto"/>
              <w:bottom w:val="nil"/>
            </w:tcBorders>
          </w:tcPr>
          <w:p w14:paraId="3AAA9D03" w14:textId="77777777" w:rsidR="00FF1C8D" w:rsidRPr="00916B3A" w:rsidRDefault="00FF1C8D" w:rsidP="003266B6">
            <w:pPr>
              <w:pStyle w:val="afa"/>
              <w:jc w:val="both"/>
              <w:rPr>
                <w:rFonts w:ascii="Times New Roman" w:hAnsi="Times New Roman" w:cs="Times New Roman"/>
                <w:sz w:val="24"/>
                <w:szCs w:val="24"/>
                <w:lang w:val="kk-KZ"/>
              </w:rPr>
            </w:pPr>
            <w:r w:rsidRPr="00916B3A">
              <w:rPr>
                <w:rFonts w:ascii="Times New Roman" w:hAnsi="Times New Roman" w:cs="Times New Roman"/>
                <w:sz w:val="24"/>
                <w:szCs w:val="24"/>
              </w:rPr>
              <w:t>Образцы эндометрия у 20 пациентов РНИ, 19 - РПБ и 14 фертильных женщин</w:t>
            </w:r>
          </w:p>
        </w:tc>
      </w:tr>
    </w:tbl>
    <w:p w14:paraId="7F559D9C" w14:textId="77777777" w:rsidR="00FE7F79" w:rsidRDefault="00FE7F79"/>
    <w:p w14:paraId="6153A06C" w14:textId="77777777" w:rsidR="00FE7F79" w:rsidRDefault="00FE7F79" w:rsidP="00FE7F79">
      <w:pPr>
        <w:spacing w:after="0" w:line="240" w:lineRule="auto"/>
        <w:rPr>
          <w:rFonts w:ascii="Times New Roman" w:hAnsi="Times New Roman" w:cs="Times New Roman"/>
          <w:sz w:val="28"/>
          <w:szCs w:val="28"/>
        </w:rPr>
      </w:pPr>
      <w:r w:rsidRPr="00FE7F79">
        <w:rPr>
          <w:rFonts w:ascii="Times New Roman" w:hAnsi="Times New Roman" w:cs="Times New Roman"/>
          <w:sz w:val="28"/>
          <w:szCs w:val="28"/>
        </w:rPr>
        <w:t>Продолжение таблицы 1</w:t>
      </w:r>
    </w:p>
    <w:p w14:paraId="128C6B27" w14:textId="77777777" w:rsidR="00FE7F79" w:rsidRDefault="00FE7F79"/>
    <w:tbl>
      <w:tblPr>
        <w:tblStyle w:val="ae"/>
        <w:tblW w:w="9639" w:type="dxa"/>
        <w:jc w:val="center"/>
        <w:tblLayout w:type="fixed"/>
        <w:tblLook w:val="04A0" w:firstRow="1" w:lastRow="0" w:firstColumn="1" w:lastColumn="0" w:noHBand="0" w:noVBand="1"/>
      </w:tblPr>
      <w:tblGrid>
        <w:gridCol w:w="2268"/>
        <w:gridCol w:w="1843"/>
        <w:gridCol w:w="1984"/>
        <w:gridCol w:w="1701"/>
        <w:gridCol w:w="1843"/>
      </w:tblGrid>
      <w:tr w:rsidR="00FE7F79" w:rsidRPr="00916B3A" w14:paraId="2EB69C25" w14:textId="77777777" w:rsidTr="00FE7F79">
        <w:trPr>
          <w:trHeight w:val="290"/>
          <w:jc w:val="center"/>
        </w:trPr>
        <w:tc>
          <w:tcPr>
            <w:tcW w:w="2268" w:type="dxa"/>
            <w:tcBorders>
              <w:top w:val="single" w:sz="4" w:space="0" w:color="auto"/>
              <w:bottom w:val="single" w:sz="4" w:space="0" w:color="auto"/>
            </w:tcBorders>
          </w:tcPr>
          <w:p w14:paraId="7B0B3A9B" w14:textId="2E910AEA" w:rsidR="00FE7F79" w:rsidRPr="00916B3A" w:rsidRDefault="00FE7F79" w:rsidP="00FE7F79">
            <w:pPr>
              <w:pStyle w:val="afa"/>
              <w:jc w:val="center"/>
              <w:rPr>
                <w:rFonts w:ascii="Times New Roman" w:hAnsi="Times New Roman" w:cs="Times New Roman"/>
                <w:bCs/>
                <w:sz w:val="24"/>
                <w:szCs w:val="24"/>
              </w:rPr>
            </w:pPr>
            <w:r>
              <w:rPr>
                <w:rFonts w:ascii="Times New Roman" w:hAnsi="Times New Roman" w:cs="Times New Roman"/>
                <w:bCs/>
                <w:sz w:val="24"/>
                <w:szCs w:val="24"/>
              </w:rPr>
              <w:t>1</w:t>
            </w:r>
          </w:p>
        </w:tc>
        <w:tc>
          <w:tcPr>
            <w:tcW w:w="1843" w:type="dxa"/>
            <w:tcBorders>
              <w:top w:val="single" w:sz="4" w:space="0" w:color="auto"/>
              <w:bottom w:val="single" w:sz="4" w:space="0" w:color="auto"/>
            </w:tcBorders>
          </w:tcPr>
          <w:p w14:paraId="78D457F9" w14:textId="0D5C73D3" w:rsidR="00FE7F79" w:rsidRPr="00916B3A" w:rsidRDefault="00FE7F79" w:rsidP="00FE7F79">
            <w:pPr>
              <w:pStyle w:val="afa"/>
              <w:ind w:firstLine="5"/>
              <w:jc w:val="center"/>
              <w:rPr>
                <w:rFonts w:ascii="Times New Roman" w:eastAsia="Andale Sans UI" w:hAnsi="Times New Roman" w:cs="Times New Roman"/>
                <w:kern w:val="1"/>
                <w:sz w:val="24"/>
                <w:szCs w:val="24"/>
              </w:rPr>
            </w:pPr>
            <w:r>
              <w:rPr>
                <w:rFonts w:ascii="Times New Roman" w:eastAsia="Andale Sans UI" w:hAnsi="Times New Roman" w:cs="Times New Roman"/>
                <w:kern w:val="1"/>
                <w:sz w:val="24"/>
                <w:szCs w:val="24"/>
              </w:rPr>
              <w:t>2</w:t>
            </w:r>
          </w:p>
        </w:tc>
        <w:tc>
          <w:tcPr>
            <w:tcW w:w="1984" w:type="dxa"/>
            <w:tcBorders>
              <w:top w:val="single" w:sz="4" w:space="0" w:color="auto"/>
              <w:bottom w:val="single" w:sz="4" w:space="0" w:color="auto"/>
            </w:tcBorders>
          </w:tcPr>
          <w:p w14:paraId="053FDB7B" w14:textId="2ED41DB3" w:rsidR="00FE7F79" w:rsidRPr="00916B3A" w:rsidRDefault="00FE7F79" w:rsidP="00FE7F79">
            <w:pPr>
              <w:pStyle w:val="afa"/>
              <w:ind w:firstLine="5"/>
              <w:jc w:val="center"/>
              <w:rPr>
                <w:rFonts w:ascii="Times New Roman" w:eastAsia="Andale Sans UI" w:hAnsi="Times New Roman" w:cs="Times New Roman"/>
                <w:bCs/>
                <w:kern w:val="1"/>
                <w:sz w:val="24"/>
                <w:szCs w:val="24"/>
                <w:lang w:val="kk-KZ"/>
              </w:rPr>
            </w:pPr>
            <w:r>
              <w:rPr>
                <w:rFonts w:ascii="Times New Roman" w:eastAsia="Andale Sans UI" w:hAnsi="Times New Roman" w:cs="Times New Roman"/>
                <w:bCs/>
                <w:kern w:val="1"/>
                <w:sz w:val="24"/>
                <w:szCs w:val="24"/>
                <w:lang w:val="kk-KZ"/>
              </w:rPr>
              <w:t>3</w:t>
            </w:r>
          </w:p>
        </w:tc>
        <w:tc>
          <w:tcPr>
            <w:tcW w:w="1701" w:type="dxa"/>
            <w:tcBorders>
              <w:top w:val="single" w:sz="4" w:space="0" w:color="auto"/>
              <w:bottom w:val="single" w:sz="4" w:space="0" w:color="auto"/>
            </w:tcBorders>
          </w:tcPr>
          <w:p w14:paraId="7DD3A012" w14:textId="1A8430C6" w:rsidR="00FE7F79" w:rsidRPr="00916B3A" w:rsidRDefault="00FE7F79" w:rsidP="00FE7F79">
            <w:pPr>
              <w:pStyle w:val="afa"/>
              <w:ind w:firstLine="5"/>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Borders>
              <w:top w:val="single" w:sz="4" w:space="0" w:color="auto"/>
              <w:bottom w:val="single" w:sz="4" w:space="0" w:color="auto"/>
            </w:tcBorders>
          </w:tcPr>
          <w:p w14:paraId="3AB0E10E" w14:textId="5C4FE01D" w:rsidR="00FE7F79" w:rsidRPr="00916B3A" w:rsidRDefault="00FE7F79" w:rsidP="00FE7F79">
            <w:pPr>
              <w:pStyle w:val="afa"/>
              <w:jc w:val="center"/>
              <w:rPr>
                <w:rFonts w:ascii="Times New Roman" w:hAnsi="Times New Roman" w:cs="Times New Roman"/>
                <w:sz w:val="24"/>
                <w:szCs w:val="24"/>
              </w:rPr>
            </w:pPr>
            <w:r>
              <w:rPr>
                <w:rFonts w:ascii="Times New Roman" w:hAnsi="Times New Roman" w:cs="Times New Roman"/>
                <w:sz w:val="24"/>
                <w:szCs w:val="24"/>
              </w:rPr>
              <w:t>5</w:t>
            </w:r>
          </w:p>
        </w:tc>
      </w:tr>
      <w:tr w:rsidR="00FF1C8D" w:rsidRPr="00916B3A" w14:paraId="6604CEF5" w14:textId="77777777" w:rsidTr="00FE7F79">
        <w:trPr>
          <w:trHeight w:val="290"/>
          <w:jc w:val="center"/>
        </w:trPr>
        <w:tc>
          <w:tcPr>
            <w:tcW w:w="2268" w:type="dxa"/>
            <w:tcBorders>
              <w:top w:val="single" w:sz="4" w:space="0" w:color="auto"/>
              <w:bottom w:val="single" w:sz="4" w:space="0" w:color="auto"/>
            </w:tcBorders>
          </w:tcPr>
          <w:p w14:paraId="11595B11" w14:textId="3A24796A" w:rsidR="00FF1C8D" w:rsidRPr="00916B3A" w:rsidRDefault="00FF1C8D" w:rsidP="003B45FB">
            <w:pPr>
              <w:pStyle w:val="afa"/>
              <w:jc w:val="both"/>
              <w:rPr>
                <w:rFonts w:ascii="Times New Roman" w:hAnsi="Times New Roman" w:cs="Times New Roman"/>
                <w:sz w:val="24"/>
                <w:szCs w:val="24"/>
              </w:rPr>
            </w:pPr>
            <w:r w:rsidRPr="00916B3A">
              <w:rPr>
                <w:rFonts w:ascii="Times New Roman" w:hAnsi="Times New Roman" w:cs="Times New Roman"/>
                <w:bCs/>
                <w:sz w:val="24"/>
                <w:szCs w:val="24"/>
              </w:rPr>
              <w:t xml:space="preserve">4. Разработать </w:t>
            </w:r>
            <w:r w:rsidR="003B45FB" w:rsidRPr="00916B3A">
              <w:rPr>
                <w:rFonts w:ascii="Times New Roman" w:hAnsi="Times New Roman" w:cs="Times New Roman"/>
                <w:bCs/>
                <w:sz w:val="24"/>
                <w:szCs w:val="24"/>
              </w:rPr>
              <w:t>алгоритм</w:t>
            </w:r>
            <w:r w:rsidRPr="00916B3A">
              <w:rPr>
                <w:rFonts w:ascii="Times New Roman" w:hAnsi="Times New Roman" w:cs="Times New Roman"/>
                <w:bCs/>
                <w:sz w:val="24"/>
                <w:szCs w:val="24"/>
              </w:rPr>
              <w:t xml:space="preserve"> по ведению пациентов с репродуктивными потерями на основе изучения анализа факторов риска репродуктивных потерь и </w:t>
            </w:r>
            <w:r w:rsidRPr="00916B3A">
              <w:rPr>
                <w:rFonts w:ascii="Times New Roman" w:hAnsi="Times New Roman" w:cs="Times New Roman"/>
                <w:sz w:val="24"/>
                <w:szCs w:val="24"/>
              </w:rPr>
              <w:t>иммуногенетических маркеров нарушения рецептивности эндометрия</w:t>
            </w:r>
          </w:p>
        </w:tc>
        <w:tc>
          <w:tcPr>
            <w:tcW w:w="1843" w:type="dxa"/>
            <w:tcBorders>
              <w:top w:val="single" w:sz="4" w:space="0" w:color="auto"/>
              <w:bottom w:val="single" w:sz="4" w:space="0" w:color="auto"/>
            </w:tcBorders>
          </w:tcPr>
          <w:p w14:paraId="2C0758FE" w14:textId="10AE8913" w:rsidR="00FF1C8D" w:rsidRPr="00916B3A" w:rsidRDefault="00FF1C8D" w:rsidP="00B20B12">
            <w:pPr>
              <w:pStyle w:val="afa"/>
              <w:ind w:firstLine="5"/>
              <w:jc w:val="both"/>
              <w:rPr>
                <w:rFonts w:ascii="Times New Roman" w:hAnsi="Times New Roman" w:cs="Times New Roman"/>
                <w:sz w:val="24"/>
                <w:szCs w:val="24"/>
              </w:rPr>
            </w:pPr>
            <w:r w:rsidRPr="00916B3A">
              <w:rPr>
                <w:rFonts w:ascii="Times New Roman" w:eastAsia="Andale Sans UI" w:hAnsi="Times New Roman" w:cs="Times New Roman"/>
                <w:kern w:val="1"/>
                <w:sz w:val="24"/>
                <w:szCs w:val="24"/>
              </w:rPr>
              <w:t xml:space="preserve">Создание </w:t>
            </w:r>
            <w:r w:rsidR="00B20B12" w:rsidRPr="00916B3A">
              <w:rPr>
                <w:rFonts w:ascii="Times New Roman" w:eastAsia="Andale Sans UI" w:hAnsi="Times New Roman" w:cs="Times New Roman"/>
                <w:kern w:val="1"/>
                <w:sz w:val="24"/>
                <w:szCs w:val="24"/>
              </w:rPr>
              <w:t>алгоритма прогнозирования наступления беременности у</w:t>
            </w:r>
            <w:r w:rsidRPr="00916B3A">
              <w:rPr>
                <w:rFonts w:ascii="Times New Roman" w:eastAsia="Andale Sans UI" w:hAnsi="Times New Roman" w:cs="Times New Roman"/>
                <w:kern w:val="1"/>
                <w:sz w:val="24"/>
                <w:szCs w:val="24"/>
              </w:rPr>
              <w:t xml:space="preserve"> пациентов с различными нарушениями рецептивности эндометрия</w:t>
            </w:r>
          </w:p>
        </w:tc>
        <w:tc>
          <w:tcPr>
            <w:tcW w:w="1984" w:type="dxa"/>
            <w:tcBorders>
              <w:top w:val="single" w:sz="4" w:space="0" w:color="auto"/>
              <w:bottom w:val="single" w:sz="4" w:space="0" w:color="auto"/>
            </w:tcBorders>
          </w:tcPr>
          <w:p w14:paraId="30EDDC7E" w14:textId="77777777" w:rsidR="00FF1C8D" w:rsidRPr="00916B3A" w:rsidRDefault="00FF1C8D" w:rsidP="003266B6">
            <w:pPr>
              <w:pStyle w:val="afa"/>
              <w:ind w:firstLine="5"/>
              <w:jc w:val="both"/>
              <w:rPr>
                <w:rFonts w:ascii="Times New Roman" w:hAnsi="Times New Roman" w:cs="Times New Roman"/>
                <w:color w:val="151833"/>
                <w:sz w:val="24"/>
                <w:szCs w:val="24"/>
                <w:shd w:val="clear" w:color="auto" w:fill="FFFFFF"/>
                <w:lang w:val="kk-KZ"/>
              </w:rPr>
            </w:pPr>
            <w:r w:rsidRPr="00916B3A">
              <w:rPr>
                <w:rFonts w:ascii="Times New Roman" w:eastAsia="Andale Sans UI" w:hAnsi="Times New Roman" w:cs="Times New Roman"/>
                <w:bCs/>
                <w:kern w:val="1"/>
                <w:sz w:val="24"/>
                <w:szCs w:val="24"/>
                <w:lang w:val="kk-KZ"/>
              </w:rPr>
              <w:t>Результаты этапов 1-4 диссертационной работы</w:t>
            </w:r>
          </w:p>
        </w:tc>
        <w:tc>
          <w:tcPr>
            <w:tcW w:w="1701" w:type="dxa"/>
            <w:tcBorders>
              <w:top w:val="single" w:sz="4" w:space="0" w:color="auto"/>
              <w:bottom w:val="single" w:sz="4" w:space="0" w:color="auto"/>
            </w:tcBorders>
          </w:tcPr>
          <w:p w14:paraId="3030ADE8" w14:textId="77777777" w:rsidR="00FF1C8D" w:rsidRPr="00916B3A" w:rsidRDefault="00FF1C8D" w:rsidP="003266B6">
            <w:pPr>
              <w:pStyle w:val="afa"/>
              <w:ind w:firstLine="5"/>
              <w:jc w:val="both"/>
              <w:rPr>
                <w:rFonts w:ascii="Times New Roman" w:eastAsia="Andale Sans UI" w:hAnsi="Times New Roman" w:cs="Times New Roman"/>
                <w:bCs/>
                <w:kern w:val="1"/>
                <w:sz w:val="24"/>
                <w:szCs w:val="24"/>
                <w:lang w:val="kk-KZ"/>
              </w:rPr>
            </w:pPr>
            <w:r w:rsidRPr="00916B3A">
              <w:rPr>
                <w:rFonts w:ascii="Times New Roman" w:hAnsi="Times New Roman" w:cs="Times New Roman"/>
                <w:sz w:val="24"/>
                <w:szCs w:val="24"/>
              </w:rPr>
              <w:t>Методы исследования: экспертная оценка, систематизация информации, аналитический подход.</w:t>
            </w:r>
          </w:p>
        </w:tc>
        <w:tc>
          <w:tcPr>
            <w:tcW w:w="1843" w:type="dxa"/>
            <w:tcBorders>
              <w:top w:val="single" w:sz="4" w:space="0" w:color="auto"/>
              <w:bottom w:val="single" w:sz="4" w:space="0" w:color="auto"/>
            </w:tcBorders>
          </w:tcPr>
          <w:p w14:paraId="568C78D8" w14:textId="77777777" w:rsidR="00FF1C8D" w:rsidRPr="00916B3A" w:rsidRDefault="00FF1C8D" w:rsidP="003266B6">
            <w:pPr>
              <w:pStyle w:val="afa"/>
              <w:jc w:val="both"/>
              <w:rPr>
                <w:rFonts w:ascii="Times New Roman" w:hAnsi="Times New Roman" w:cs="Times New Roman"/>
                <w:sz w:val="24"/>
                <w:szCs w:val="24"/>
              </w:rPr>
            </w:pPr>
            <w:r w:rsidRPr="00916B3A">
              <w:rPr>
                <w:rFonts w:ascii="Times New Roman" w:hAnsi="Times New Roman" w:cs="Times New Roman"/>
                <w:sz w:val="24"/>
                <w:szCs w:val="24"/>
              </w:rPr>
              <w:t xml:space="preserve">Портреты  </w:t>
            </w:r>
            <w:r w:rsidRPr="00916B3A">
              <w:rPr>
                <w:rFonts w:ascii="Times New Roman" w:eastAsia="Andale Sans UI" w:hAnsi="Times New Roman" w:cs="Times New Roman"/>
                <w:kern w:val="1"/>
                <w:sz w:val="24"/>
                <w:szCs w:val="24"/>
              </w:rPr>
              <w:t>пациентов с различными нарушениями рецептивности эндометрия</w:t>
            </w:r>
          </w:p>
        </w:tc>
      </w:tr>
    </w:tbl>
    <w:p w14:paraId="458A4B53" w14:textId="77777777" w:rsidR="0038219A" w:rsidRPr="00916B3A" w:rsidRDefault="0038219A" w:rsidP="000B7B11">
      <w:pPr>
        <w:spacing w:after="0" w:line="240" w:lineRule="auto"/>
        <w:ind w:firstLine="567"/>
        <w:jc w:val="both"/>
        <w:rPr>
          <w:rFonts w:ascii="Times New Roman" w:hAnsi="Times New Roman" w:cs="Times New Roman"/>
          <w:b/>
          <w:bCs/>
          <w:sz w:val="28"/>
          <w:szCs w:val="28"/>
          <w:lang w:val="kk-KZ"/>
        </w:rPr>
      </w:pPr>
    </w:p>
    <w:p w14:paraId="1D5973F7" w14:textId="7826C501" w:rsidR="0046192A" w:rsidRPr="00FE7F79" w:rsidRDefault="0046192A" w:rsidP="000B7B11">
      <w:pPr>
        <w:spacing w:after="0" w:line="240" w:lineRule="auto"/>
        <w:ind w:firstLine="567"/>
        <w:jc w:val="both"/>
        <w:rPr>
          <w:rFonts w:ascii="Times New Roman" w:hAnsi="Times New Roman" w:cs="Times New Roman"/>
          <w:sz w:val="28"/>
          <w:szCs w:val="28"/>
          <w:lang w:val="kk-KZ"/>
        </w:rPr>
      </w:pPr>
      <w:r w:rsidRPr="00FE7F79">
        <w:rPr>
          <w:rFonts w:ascii="Times New Roman" w:hAnsi="Times New Roman" w:cs="Times New Roman"/>
          <w:sz w:val="28"/>
          <w:szCs w:val="28"/>
          <w:lang w:val="kk-KZ"/>
        </w:rPr>
        <w:t>По первой задаче:</w:t>
      </w:r>
    </w:p>
    <w:p w14:paraId="0BC29058" w14:textId="403EEB72" w:rsidR="0046192A" w:rsidRPr="00916B3A" w:rsidRDefault="00AC6EDE" w:rsidP="000B7B11">
      <w:pPr>
        <w:spacing w:after="0" w:line="240" w:lineRule="auto"/>
        <w:ind w:firstLine="567"/>
        <w:jc w:val="both"/>
        <w:rPr>
          <w:rFonts w:ascii="Times New Roman" w:hAnsi="Times New Roman" w:cs="Times New Roman"/>
          <w:sz w:val="28"/>
          <w:szCs w:val="28"/>
          <w:lang w:val="kk-KZ"/>
        </w:rPr>
      </w:pPr>
      <w:r w:rsidRPr="00916B3A">
        <w:rPr>
          <w:rFonts w:ascii="Times New Roman" w:hAnsi="Times New Roman" w:cs="Times New Roman"/>
          <w:sz w:val="28"/>
          <w:szCs w:val="28"/>
          <w:lang w:val="kk-KZ"/>
        </w:rPr>
        <w:t>1.</w:t>
      </w:r>
      <w:r w:rsidR="0046192A" w:rsidRPr="00916B3A">
        <w:rPr>
          <w:rFonts w:ascii="Times New Roman" w:hAnsi="Times New Roman" w:cs="Times New Roman"/>
          <w:sz w:val="28"/>
          <w:szCs w:val="28"/>
          <w:lang w:val="kk-KZ"/>
        </w:rPr>
        <w:t xml:space="preserve"> </w:t>
      </w:r>
      <w:r w:rsidRPr="00916B3A">
        <w:rPr>
          <w:rFonts w:ascii="Times New Roman" w:hAnsi="Times New Roman" w:cs="Times New Roman"/>
          <w:sz w:val="28"/>
          <w:szCs w:val="28"/>
          <w:lang w:val="kk-KZ"/>
        </w:rPr>
        <w:t>П</w:t>
      </w:r>
      <w:r w:rsidR="0046192A" w:rsidRPr="00916B3A">
        <w:rPr>
          <w:rFonts w:ascii="Times New Roman" w:hAnsi="Times New Roman" w:cs="Times New Roman"/>
          <w:sz w:val="28"/>
          <w:szCs w:val="28"/>
          <w:lang w:val="kk-KZ"/>
        </w:rPr>
        <w:t xml:space="preserve">роведен систематический обзор по </w:t>
      </w:r>
      <w:r w:rsidR="0046192A" w:rsidRPr="00916B3A">
        <w:rPr>
          <w:rFonts w:ascii="Times New Roman" w:hAnsi="Times New Roman" w:cs="Times New Roman"/>
          <w:sz w:val="28"/>
          <w:szCs w:val="28"/>
        </w:rPr>
        <w:t>оценке толщины эндометрия на исходы ЭКО/ЭКСИ по методологии</w:t>
      </w:r>
      <w:r w:rsidR="0046192A" w:rsidRPr="00916B3A">
        <w:rPr>
          <w:rFonts w:ascii="Times New Roman" w:hAnsi="Times New Roman" w:cs="Times New Roman"/>
          <w:sz w:val="28"/>
          <w:szCs w:val="28"/>
          <w:lang w:val="kk-KZ"/>
        </w:rPr>
        <w:t xml:space="preserve"> PRISMA (Preferred Reporting Items for Systematic Reviews and Meta-Analyzes) с регистрацией исследования в Международном проспективном регистре систематических обзоров PROSPERO (ID:CRD42022359149). Поиск проводился в базах данных PubMed, Web of Science, ScienceDirect, Google Scholar и Open Grey с июля 2022 по октябрь 2022 года. </w:t>
      </w:r>
    </w:p>
    <w:p w14:paraId="422829A1" w14:textId="77777777" w:rsidR="0046192A" w:rsidRPr="00916B3A" w:rsidRDefault="0046192A" w:rsidP="000B7B11">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lang w:val="kk-KZ"/>
        </w:rPr>
        <w:t xml:space="preserve">Критериями включения исследований были: 1) когортные исследования или рандомизированные клинические испытания; 2) субфертильные женщины, проходящие ЭКО или ИКСИ (в возрасте ≥18 лет); 3) толщина эндометрия измерялась с помощью трансвагинального УЗИ; 4) сообщалось о доле или количестве пациенток с интересующими исходами: 5) были опубликованы на английском языке с января 2014 по октябрь 2022 года. </w:t>
      </w:r>
    </w:p>
    <w:p w14:paraId="19D1DF08" w14:textId="77777777" w:rsidR="0046192A" w:rsidRPr="00916B3A" w:rsidRDefault="0046192A" w:rsidP="000B7B11">
      <w:pPr>
        <w:spacing w:after="0" w:line="240" w:lineRule="auto"/>
        <w:ind w:firstLine="567"/>
        <w:jc w:val="both"/>
        <w:rPr>
          <w:rFonts w:ascii="Times New Roman" w:hAnsi="Times New Roman" w:cs="Times New Roman"/>
          <w:sz w:val="28"/>
          <w:szCs w:val="28"/>
          <w:lang w:val="kk-KZ"/>
        </w:rPr>
      </w:pPr>
      <w:r w:rsidRPr="00916B3A">
        <w:rPr>
          <w:rFonts w:ascii="Times New Roman" w:hAnsi="Times New Roman" w:cs="Times New Roman"/>
          <w:sz w:val="28"/>
          <w:szCs w:val="28"/>
          <w:lang w:val="kk-KZ"/>
        </w:rPr>
        <w:t>Критерии исключения: 1) публикации, в которых отсутствовала необходимая информация; 2) публикации, в которых повторялись ранее представленные результаты исследований; 3) высокий риск необъективности; 4) в исследовании использовались донорские ооциты.</w:t>
      </w:r>
    </w:p>
    <w:p w14:paraId="2365EBB5" w14:textId="75B509FD" w:rsidR="0046192A" w:rsidRPr="00916B3A" w:rsidRDefault="0046192A" w:rsidP="000B7B11">
      <w:pPr>
        <w:spacing w:after="0" w:line="240" w:lineRule="auto"/>
        <w:ind w:firstLine="567"/>
        <w:jc w:val="both"/>
        <w:rPr>
          <w:rFonts w:ascii="Times New Roman" w:hAnsi="Times New Roman" w:cs="Times New Roman"/>
          <w:sz w:val="28"/>
          <w:szCs w:val="28"/>
          <w:lang w:val="kk-KZ"/>
        </w:rPr>
      </w:pPr>
      <w:r w:rsidRPr="00916B3A">
        <w:rPr>
          <w:rFonts w:ascii="Times New Roman" w:hAnsi="Times New Roman" w:cs="Times New Roman"/>
          <w:sz w:val="28"/>
          <w:szCs w:val="28"/>
          <w:lang w:val="kk-KZ"/>
        </w:rPr>
        <w:t>В результате всестороннего поиска в Pubmed, Web of Science, ScienceDirect, Scopus и Google Scholar было найдено 1939 недублирующих друг друга названий. Дальнейший отбор релевантных статей на основе названия и аннотации дал 837 записей. 81 полнотекстовая статья была проверена на пригодность к использованию, и 20 статей были включены в систематический обзор. Блок-схема отбора исслед</w:t>
      </w:r>
      <w:r w:rsidR="00CD5DCC" w:rsidRPr="00916B3A">
        <w:rPr>
          <w:rFonts w:ascii="Times New Roman" w:hAnsi="Times New Roman" w:cs="Times New Roman"/>
          <w:sz w:val="28"/>
          <w:szCs w:val="28"/>
          <w:lang w:val="kk-KZ"/>
        </w:rPr>
        <w:t>ований представлена на рисунке 3</w:t>
      </w:r>
      <w:r w:rsidRPr="00916B3A">
        <w:rPr>
          <w:rFonts w:ascii="Times New Roman" w:hAnsi="Times New Roman" w:cs="Times New Roman"/>
          <w:sz w:val="28"/>
          <w:szCs w:val="28"/>
          <w:lang w:val="kk-KZ"/>
        </w:rPr>
        <w:t xml:space="preserve">. </w:t>
      </w:r>
    </w:p>
    <w:p w14:paraId="18104244" w14:textId="0F8856AB" w:rsidR="0046192A" w:rsidRPr="00916B3A" w:rsidRDefault="0046192A" w:rsidP="000B7B11">
      <w:pPr>
        <w:spacing w:after="0" w:line="240" w:lineRule="auto"/>
        <w:ind w:firstLine="567"/>
        <w:jc w:val="both"/>
        <w:rPr>
          <w:rFonts w:ascii="Times New Roman" w:hAnsi="Times New Roman" w:cs="Times New Roman"/>
          <w:sz w:val="28"/>
          <w:szCs w:val="28"/>
          <w:lang w:val="kk-KZ"/>
        </w:rPr>
      </w:pPr>
      <w:r w:rsidRPr="00916B3A">
        <w:rPr>
          <w:rFonts w:ascii="Times New Roman" w:hAnsi="Times New Roman" w:cs="Times New Roman"/>
          <w:sz w:val="28"/>
          <w:szCs w:val="28"/>
          <w:lang w:val="kk-KZ"/>
        </w:rPr>
        <w:t xml:space="preserve">Большинство исследований проводилось в Китае (одиннадцать). Мы также включили исследования из Турции </w:t>
      </w:r>
      <w:r w:rsidR="00EC5D7C" w:rsidRPr="00916B3A">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{"citationItems":[{"id":"ITEM-1","itemData":{"DOI":"10.5152/eurjther.2021.20102","author":[{"dropping-particle":"","family":"Yurci","given":"Arzu","non-dropping-particle":"","parse-names":false,"suffix":""},{"dropping-particle":"","family":"Dokuzeylul Gungor","given":"Nur","non-dropping-particle":"","parse-names":false,"suffix":""},{"dropping-particle":"","family":"Gurbuz","given":"Tugba","non-dropping-particle":"","parse-names":false,"suffix":""}],"container-title":"European Journal of Therapeutics","id":"ITEM-1","issue":"1","issued":{"date-parts":[["2021"]]},"page":"94-98","title":"High Endometrial Thickness Does not Affect IVF/ICSI Outcomes","type":"article-journal","volume":"27"},"uris":["http://www.mendeley.com/documents/?uuid=ae4204af-8f08-4f73-95dc-da9421c696cd"]}],"mendeley":{"formattedCitation":"[105]","plainTextFormattedCitation":"[105]","previouslyFormattedCitation":"(105)"},"properties":{"noteIndex":0},"schema":"https://github.com/citation-style-language/schema/raw/master/csl-citation.json"}</w:instrText>
      </w:r>
      <w:r w:rsidR="00EC5D7C"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[105]</w:t>
      </w:r>
      <w:r w:rsidR="00EC5D7C" w:rsidRPr="00916B3A">
        <w:rPr>
          <w:rFonts w:ascii="Times New Roman" w:hAnsi="Times New Roman" w:cs="Times New Roman"/>
          <w:sz w:val="28"/>
          <w:szCs w:val="28"/>
          <w:lang w:val="kk-KZ"/>
        </w:rPr>
        <w:fldChar w:fldCharType="end"/>
      </w:r>
      <w:r w:rsidR="00EC5D7C" w:rsidRPr="00916B3A">
        <w:rPr>
          <w:rFonts w:ascii="Times New Roman" w:hAnsi="Times New Roman" w:cs="Times New Roman"/>
          <w:sz w:val="28"/>
          <w:szCs w:val="28"/>
        </w:rPr>
        <w:t>,</w:t>
      </w:r>
      <w:r w:rsidRPr="00916B3A">
        <w:rPr>
          <w:rFonts w:ascii="Times New Roman" w:hAnsi="Times New Roman" w:cs="Times New Roman"/>
          <w:sz w:val="28"/>
          <w:szCs w:val="28"/>
          <w:lang w:val="kk-KZ"/>
        </w:rPr>
        <w:t xml:space="preserve"> Португалии</w:t>
      </w:r>
      <w:r w:rsidR="00EC5D7C" w:rsidRPr="00916B3A">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{"citationItems":[{"id":"ITEM-1","itemData":{"ISSN":"1472-6483","author":[{"dropping-particle":"","family":"Ribeiro","given":"Vânia Costa","non-dropping-particle":"","parse-names":false,"suffix":""},{"dropping-particle":"","family":"Santos-Ribeiro","given":"Samuel","non-dropping-particle":"","parse-names":false,"suffix":""},{"dropping-particle":"","family":"Munck","given":"Neelke","non-dropping-particle":"De","parse-names":false,"suffix":""},{"dropping-particle":"","family":"Drakopoulos","given":"Panagiotis","non-dropping-particle":"","parse-names":false,"suffix":""},{"dropping-particle":"","family":"Polyzos","given":"Nikolaos P","non-dropping-particle":"","parse-names":false,"suffix":""},{"dropping-particle":"","family":"Schutyser","given":"Valerie","non-dropping-particle":"","parse-names":false,"suffix":""},{"dropping-particle":"","family":"Verheyen","given":"Greta","non-dropping-particle":"","parse-names":false,"suffix":""},{"dropping-particle":"","family":"Tournaye","given":"Herman","non-dropping-particle":"","parse-names":false,"suffix":""},{"dropping-particle":"","family":"Blockeel","given":"Christophe","non-dropping-particle":"","parse-names":false,"suffix":""}],"container-title":"Reproductive biomedicine online","id":"ITEM-1","issue":"4","issued":{"date-parts":[["2018"]]},"page":"416-426","publisher":"Elsevier","title":"Should we continue to measure endometrial thickness in modern-day medicine? The effect on live birth rates and birth weight","type":"article-journal","volume":"36"},"uris":["http://www.mendeley.com/documents/?uuid=f96c8e3f-3af9-4e0e-b585-f79b456695b7"]}],"mendeley":{"formattedCitation":"[106]","plainTextFormattedCitation":"[106]","previouslyFormattedCitation":"(106)"},"properties":{"noteIndex":0},"schema":"https://github.com/citation-style-language/schema/raw/master/csl-citation.json"}</w:instrText>
      </w:r>
      <w:r w:rsidR="00EC5D7C"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[106]</w:t>
      </w:r>
      <w:r w:rsidR="00EC5D7C" w:rsidRPr="00916B3A">
        <w:rPr>
          <w:rFonts w:ascii="Times New Roman" w:hAnsi="Times New Roman" w:cs="Times New Roman"/>
          <w:sz w:val="28"/>
          <w:szCs w:val="28"/>
          <w:lang w:val="kk-KZ"/>
        </w:rPr>
        <w:fldChar w:fldCharType="end"/>
      </w:r>
      <w:r w:rsidRPr="00916B3A">
        <w:rPr>
          <w:rFonts w:ascii="Times New Roman" w:hAnsi="Times New Roman" w:cs="Times New Roman"/>
          <w:sz w:val="28"/>
          <w:szCs w:val="28"/>
          <w:lang w:val="kk-KZ"/>
        </w:rPr>
        <w:t>, Аргентины</w:t>
      </w:r>
      <w:r w:rsidR="00EC5D7C" w:rsidRPr="00916B3A">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{"citationItems":[{"id":"ITEM-1","itemData":{"DOI":"10.5935/1518-0557.20190061","ISSN":"15180557","PMID":"31589391","abstract":"Objective: Our primary objective was to evaluate the endometrial changes before and after the transfer of endo-metrial mesenchymal stem cells (enMSCs) in a population of thinned endometrium women, with absence or hypo-re-sponsiveness to estrogen and repeated implantation failure (RIF). The secondary objective was to evaluate the clinical outcomes of the intervention in terms of clinical pregnancy (CP), early abortions, ongoing pregnancy and live birth delivery rate (LBDR) per in vitro fertilization (IVF) cycle. Methods: A longitudinal and experimental study. The intervention was defined as \"subendometrial inoculation of enMSCs,\" and the post-intervention changes were evaluated by the following variables: endometrial thickness (Eth), endometrial flow cytometry (enFC), endometrial histopa-thology (enHP) and endometrial immunohistochemistry (enIHQ). The variables were analyzed after the intervention (Post-treatment) regarding previous values (Pretreat-ment). Results: Eth values before and after treatment with enMSCs were 5.24±1.24 mm vs. 9.93±0.77 (p=0.000), respectively. Endometrial Flow Cytometry showed significant differences in favor of Normalized variables in the post-treatment assessment, associated with the pre-treatment, LT/Li, LB/Li, NK/Li, CD8/CD3+ and CD4/CD8 (p≤0.015), respectively. Only two variables Li/PC and CD4/ CD3 had NS (p=0.167 and 0.118). A similar analysis was performed on enHP with an HP increase post-treatment (p=0.007). The CP rate was 79.31% (23/29), a live birth delivery rate per embryo transfer was 45.45% (10/22) and ongoing pregnancy 7/29 (24.14%). Conclusion: Subendometrial enMSCs inoculation produces a significant increase in endometrial thickness; normalize the enHP, enIHQ and enFC. As a result, IVF after treatment with enMSCs yields a higher rate of CP and LBDR.","author":[{"dropping-particle":"","family":"Tersoglio","given":"Alberto E.","non-dropping-particle":"","parse-names":false,"suffix":""},{"dropping-particle":"","family":"Tersoglio","given":"Sebastian","non-dropping-particle":"","parse-names":false,"suffix":""},{"dropping-particle":"","family":"Salatino","given":"Dante R.","non-dropping-particle":"","parse-names":false,"suffix":""},{"dropping-particle":"","family":"Castro","given":"Matías","non-dropping-particle":"","parse-names":false,"suffix":""},{"dropping-particle":"","family":"Gonzalez","given":"Adriana","non-dropping-particle":"","parse-names":false,"suffix":""},{"dropping-particle":"","family":"Hinojosa","given":"Mariana","non-dropping-particle":"","parse-names":false,"suffix":""},{"dropping-particle":"","family":"Castellano","given":"Onias","non-dropping-particle":"","parse-names":false,"suffix":""}],"container-title":"Jornal Brasileiro de Reproducao Assistida","id":"ITEM-1","issue":"2","issued":{"date-parts":[["2020"]]},"page":"118-127","title":"Regenerative therapy by endometrial mesenchymal stem cells in thin endometrium with repeated implantation failure. A novel strategy","type":"article-journal","volume":"24"},"uris":["http://www.mendeley.com/documents/?uuid=b627ae19-0af0-4499-8648-0e14daa5ea3e"]}],"mendeley":{"formattedCitation":"[31]","plainTextFormattedCitation":"[31]","previouslyFormattedCitation":"(31)"},"properties":{"noteIndex":0},"schema":"https://github.com/citation-style-language/schema/raw/master/csl-citation.json"}</w:instrText>
      </w:r>
      <w:r w:rsidR="00EC5D7C"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[31</w:t>
      </w:r>
      <w:r w:rsidR="00404317">
        <w:rPr>
          <w:rFonts w:ascii="Times New Roman" w:hAnsi="Times New Roman" w:cs="Times New Roman"/>
          <w:noProof/>
          <w:sz w:val="28"/>
          <w:szCs w:val="28"/>
          <w:lang w:val="kk-KZ"/>
        </w:rPr>
        <w:t>, с. 118</w:t>
      </w:r>
      <w:r w:rsidR="008C6800" w:rsidRPr="008C6800">
        <w:rPr>
          <w:rFonts w:ascii="Times New Roman" w:hAnsi="Times New Roman" w:cs="Times New Roman"/>
          <w:noProof/>
          <w:sz w:val="28"/>
          <w:szCs w:val="28"/>
          <w:lang w:val="kk-KZ"/>
        </w:rPr>
        <w:t>]</w:t>
      </w:r>
      <w:r w:rsidR="00EC5D7C" w:rsidRPr="00916B3A">
        <w:rPr>
          <w:rFonts w:ascii="Times New Roman" w:hAnsi="Times New Roman" w:cs="Times New Roman"/>
          <w:sz w:val="28"/>
          <w:szCs w:val="28"/>
          <w:lang w:val="kk-KZ"/>
        </w:rPr>
        <w:fldChar w:fldCharType="end"/>
      </w:r>
      <w:r w:rsidRPr="00916B3A">
        <w:rPr>
          <w:rFonts w:ascii="Times New Roman" w:hAnsi="Times New Roman" w:cs="Times New Roman"/>
          <w:sz w:val="28"/>
          <w:szCs w:val="28"/>
          <w:lang w:val="kk-KZ"/>
        </w:rPr>
        <w:t>, Израиля</w:t>
      </w:r>
      <w:r w:rsidR="00EC5D7C" w:rsidRPr="00916B3A">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ISSN":"1472-6483","author":[{"dropping-particle":"","family":"Simeonov","given":"Monica","non-dropping-particle":"","parse-names":false,"suffix":""},{"dropping-particle":"","family":"Sapir","given":"Onit","non-dropping-particle":"","parse-names":false,"suffix":""},{"dropping-particle":"","family":"Lande","given":"Yechezkel","non-dropping-particle":"","parse-names":false,"suffix":""},{"dropping-particle":"","family":"Ben-Haroush","given":"Avi","non-dropping-particle":"","parse-names":false,"suffix":""},{"dropping-particle":"","family":"Oron","given":"Galia","non-dropping-particle":"","parse-names":false,"suffix":""},{"dropping-particle":"","family":"Shlush","given":"Ekaterina","non-dropping-particle":"","parse-names":false,"suffix":""},{"dropping-particle":"","family":"Altman","given":"Eran","non-dropping-particle":"","parse-names":false,"suffix":""},{"dropping-particle":"","family":"Wertheimer","given":"Avital","non-dropping-particle":"","parse-names":false,"suffix":""},{"dropping-particle":"","family":"Shochat","given":"Tzippy","non-dropping-particle":"","parse-names":false,"suffix":""},{"dropping-particle":"","family":"Shufaro","given":"Yoel","non-dropping-particle":"","parse-names":false,"suffix":""}],"container-title":"Reproductive BioMedicine Online","id":"ITEM-1","issue":"2","issued":{"date-parts":[["2020"]]},"page":"239-247","publisher":"Elsevier","title":"The entire range of trigger-day endometrial thickness in fresh IVF cycles is independently correlated with live birth rate","type":"article-journal","volume":"41"},"uris":["http://www.mendeley.com/documents/?uuid=6b45923f-5bc2-41a4-9fc7-6bad8cd0e166"]}],"mendeley":{"formattedCitation":"[107]","plainTextFormattedCitation":"[107]","previouslyFormattedCitation":"(107)"},"properties":{"noteIndex":0},"schema":"https://github.com/citation-style-language/schema/raw/master/csl-citation.json"}</w:instrText>
      </w:r>
      <w:r w:rsidR="00EC5D7C"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[107]</w:t>
      </w:r>
      <w:r w:rsidR="00EC5D7C" w:rsidRPr="00916B3A">
        <w:rPr>
          <w:rFonts w:ascii="Times New Roman" w:hAnsi="Times New Roman" w:cs="Times New Roman"/>
          <w:sz w:val="28"/>
          <w:szCs w:val="28"/>
          <w:lang w:val="kk-KZ"/>
        </w:rPr>
        <w:fldChar w:fldCharType="end"/>
      </w:r>
      <w:r w:rsidRPr="00916B3A">
        <w:rPr>
          <w:rFonts w:ascii="Times New Roman" w:hAnsi="Times New Roman" w:cs="Times New Roman"/>
          <w:sz w:val="28"/>
          <w:szCs w:val="28"/>
          <w:lang w:val="kk-KZ"/>
        </w:rPr>
        <w:t>, Швейцарии</w:t>
      </w:r>
      <w:r w:rsidR="00EC5D7C" w:rsidRPr="00916B3A">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ISSN":"1664-2392","author":[{"dropping-particle":"","family":"Wolff","given":"Michael","non-dropping-particle":"Von","parse-names":false,"suffix":""},{"dropping-particle":"","family":"Fäh","given":"Monika","non-dropping-particle":"","parse-names":false,"suffix":""},{"dropping-particle":"","family":"Roumet","given":"Marie","non-dropping-particle":"","parse-names":false,"suffix":""},{"dropping-particle":"","family":"Mitter","given":"Vera","non-dropping-particle":"","parse-names":false,"suffix":""},{"dropping-particle":"","family":"Stute","given":"Petra","non-dropping-particle":"","parse-names":false,"suffix":""},{"dropping-particle":"","family":"Griesinger","given":"Georg","non-dropping-particle":"","parse-names":false,"suffix":""},{"dropping-particle":"","family":"Kohl Schwartz","given":"Alexandra","non-dropping-particle":"","parse-names":false,"suffix":""}],"container-title":"Frontiers in endocrinology","id":"ITEM-1","issued":{"date-parts":[["2018"]]},"page":"776","publisher":"Frontiers Media SA","title":"Thin endometrium is also associated with lower clinical pregnancy rate in unstimulated menstrual cycles: a study based on natural cycle IVF","type":"article-journal","volume":"9"},"uris":["http://www.mendeley.com/documents/?uuid=8865ed06-7d20-44e4-9f90-d0b36efca8e3"]}],"mendeley":{"formattedCitation":"[108]","plainTextFormattedCitation":"[108]","previouslyFormattedCitation":"(108)"},"properties":{"noteIndex":0},"schema":"https://github.com/citation-style-language/schema/raw/master/csl-citation.json"}</w:instrText>
      </w:r>
      <w:r w:rsidR="00EC5D7C"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[108]</w:t>
      </w:r>
      <w:r w:rsidR="00EC5D7C" w:rsidRPr="00916B3A">
        <w:rPr>
          <w:rFonts w:ascii="Times New Roman" w:hAnsi="Times New Roman" w:cs="Times New Roman"/>
          <w:sz w:val="28"/>
          <w:szCs w:val="28"/>
          <w:lang w:val="kk-KZ"/>
        </w:rPr>
        <w:fldChar w:fldCharType="end"/>
      </w:r>
      <w:r w:rsidRPr="00916B3A">
        <w:rPr>
          <w:rFonts w:ascii="Times New Roman" w:hAnsi="Times New Roman" w:cs="Times New Roman"/>
          <w:sz w:val="28"/>
          <w:szCs w:val="28"/>
          <w:lang w:val="kk-KZ"/>
        </w:rPr>
        <w:t>, Канады</w:t>
      </w:r>
      <w:r w:rsidR="00EC5D7C" w:rsidRPr="00916B3A">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{"citationItems":[{"id":"ITEM-1","itemData":{"ISSN":"1058-0468","author":[{"dropping-particle":"","family":"Russell","given":"Stewart J","non-dropping-particle":"","parse-names":false,"suffix":""},{"dropping-particle":"","family":"Kwok","given":"Yat Sze Sheila","non-dropping-particle":"","parse-names":false,"suffix":""},{"dropping-particle":"","family":"Nguyen","given":"Tina Tu-Thu Ngoc","non-dropping-particle":"","parse-names":false,"suffix":""},{"dropping-particle":"","family":"Librach","given":"Clifford","non-dropping-particle":"","parse-names":false,"suffix":""}],"container-title":"Journal of Assisted Reproduction and Genetics","id":"ITEM-1","issue":"6","issued":{"date-parts":[["2022"]]},"page":"1305-1312","publisher":"Springer","title":"Autologous platelet-rich plasma improves the endometrial thickness and live birth rate in patients with recurrent implantation failure and thin endometrium","type":"article-journal","volume":"39"},"uris":["http://www.mendeley.com/documents/?uuid=50b5bee0-4760-4f1f-87f6-5e5395339201"]}],"mendeley":{"formattedCitation":"[109]","plainTextFormattedCitation":"[109]","previouslyFormattedCitation":"(109)"},"properties":{"noteIndex":0},"schema":"https://github.com/citation-style-language/schema/raw/master/csl-citation.json"}</w:instrText>
      </w:r>
      <w:r w:rsidR="00EC5D7C"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[109]</w:t>
      </w:r>
      <w:r w:rsidR="00EC5D7C" w:rsidRPr="00916B3A">
        <w:rPr>
          <w:rFonts w:ascii="Times New Roman" w:hAnsi="Times New Roman" w:cs="Times New Roman"/>
          <w:sz w:val="28"/>
          <w:szCs w:val="28"/>
          <w:lang w:val="kk-KZ"/>
        </w:rPr>
        <w:fldChar w:fldCharType="end"/>
      </w:r>
      <w:r w:rsidRPr="00916B3A">
        <w:rPr>
          <w:rFonts w:ascii="Times New Roman" w:hAnsi="Times New Roman" w:cs="Times New Roman"/>
          <w:sz w:val="28"/>
          <w:szCs w:val="28"/>
          <w:lang w:val="kk-KZ"/>
        </w:rPr>
        <w:t>, Южной Кореи</w:t>
      </w:r>
      <w:r w:rsidR="00EC5D7C" w:rsidRPr="00916B3A">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{"citationItems":[{"id":"ITEM-1","itemData":{"DOI":"10.3389/fendo.2019.00061","ISSN":"16642392","abstract":"Objective: Thin or damaged endometrium remains to be an unsolved problem in the treatment of patients with infertility. The empirical preference for endometrial thickness (EMT) among clinicians is &gt;7 mm, and the refractory thin endometrium, which doesn’t respond to standard medical therapies, can be the etiology of recurrent implantation failure (RIF). Autologous platelet-rich plasma (PRP) is known to help tissue regeneration and is widely used in various fields. In the present study, we conducted PRP treatment and investigated its effect on the refractory thin endometrium. Design: Prospective interventional study (https://cris.nih.go.kr/cris, clinical trial registration number: KCT0003375). Methods: Women who had a history of two or more failed IVF cycles and refractory thin endometrium were enrolled in this study. The main inclusion criteria were EMT of &lt;7 mm after more than 2 cycles of previous medical therapy for increasing the EMT. Twenty-four women were enrolled in this study. The subjects were treated with intrauterine infusion of autologous PRP 2 or 3 times from menstrual cycle day 10 of their frozen-thawed embryo transfer (FET) cycle, and ET was performed 3 days after the final autologous PRP infusion. 22 patients underwent FET, and 2 patients were lost to follow up. Results: The ongoing pregnancy rate and LBR were both 20%. The implantation and clinical pregnancy rates were 12.7 and 30%, respectively, and the difference was statistically significant. The average increase in the EMT was 0.6 mm compared with the EMT of their previous cycle. However, this difference was not statistically significant. Further, EMT of 12 patients increased (mean difference: 1.3 mm), while that of seven patients decreased (mean difference: 0.7 mm); the EMT of one patient did not change. There were no adverse effects reported by the patients who were treated with autologous PRP. Conclusions: The use of autologous PRP improved the implantation, pregnancy, and live birth rates (LBR) of the patients with refractory thin endometrium. We assume that the ability of autologous PRP to restore the endometrial receptivity of damaged endometrium has some aspects other than increasing the EMT. The molecular basis of the treatment needs to be revealed in future studies.","author":[{"dropping-particle":"","family":"Kim","given":"Hounyoung","non-dropping-particle":"","parse-names":false,"suffix":""},{"dropping-particle":"","family":"Shin","given":"Ji Eun","non-dropping-particle":"","parse-names":false,"suffix":""},{"dropping-particle":"","family":"Koo","given":"Hwa Seon","non-dropping-particle":"","parse-names":false,"suffix":""},{"dropping-particle":"","family":"Kwon","given":"Hwang","non-dropping-particle":"","parse-names":false,"suffix":""},{"dropping-particle":"","family":"Choi","given":"Dong Hee","non-dropping-particle":"","parse-names":false,"suffix":""},{"dropping-particle":"","family":"Kim","given":"Ji Hyang","non-dropping-particle":"","parse-names":false,"suffix":""}],"container-title":"Frontiers in Endocrinology","id":"ITEM-1","issue":"FEB","issued":{"date-parts":[["2019"]]},"page":"1-9","title":"Effect of autologous platelet-rich plasma treatment on refractory thin endometrium during the frozen embryo transfer cycle: A pilot study","type":"article-journal","volume":"10"},"uris":["http://www.mendeley.com/documents/?uuid=0e180e0f-7caa-4eae-9200-678e3e843694"]}],"mendeley":{"formattedCitation":"[47]","plainTextFormattedCitation":"[47]","previouslyFormattedCitation":"(47)"},"properties":{"noteIndex":0},"schema":"https://github.com/citation-style-language/schema/raw/master/csl-citation.json"}</w:instrText>
      </w:r>
      <w:r w:rsidR="00EC5D7C"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[47</w:t>
      </w:r>
      <w:r w:rsidR="00404317">
        <w:rPr>
          <w:rFonts w:ascii="Times New Roman" w:hAnsi="Times New Roman" w:cs="Times New Roman"/>
          <w:noProof/>
          <w:sz w:val="28"/>
          <w:szCs w:val="28"/>
          <w:lang w:val="kk-KZ"/>
        </w:rPr>
        <w:t>, с. 1</w:t>
      </w:r>
      <w:r w:rsidR="008C6800" w:rsidRPr="008C6800">
        <w:rPr>
          <w:rFonts w:ascii="Times New Roman" w:hAnsi="Times New Roman" w:cs="Times New Roman"/>
          <w:noProof/>
          <w:sz w:val="28"/>
          <w:szCs w:val="28"/>
          <w:lang w:val="kk-KZ"/>
        </w:rPr>
        <w:t>]</w:t>
      </w:r>
      <w:r w:rsidR="00EC5D7C" w:rsidRPr="00916B3A">
        <w:rPr>
          <w:rFonts w:ascii="Times New Roman" w:hAnsi="Times New Roman" w:cs="Times New Roman"/>
          <w:sz w:val="28"/>
          <w:szCs w:val="28"/>
          <w:lang w:val="kk-KZ"/>
        </w:rPr>
        <w:fldChar w:fldCharType="end"/>
      </w:r>
      <w:r w:rsidRPr="00916B3A">
        <w:rPr>
          <w:rFonts w:ascii="Times New Roman" w:hAnsi="Times New Roman" w:cs="Times New Roman"/>
          <w:sz w:val="28"/>
          <w:szCs w:val="28"/>
          <w:lang w:val="kk-KZ"/>
        </w:rPr>
        <w:t>, Великобритании</w:t>
      </w:r>
      <w:r w:rsidR="00EC5D7C" w:rsidRPr="00916B3A">
        <w:rPr>
          <w:rFonts w:ascii="Times New Roman" w:hAnsi="Times New Roman" w:cs="Times New Roman"/>
          <w:sz w:val="28"/>
          <w:szCs w:val="28"/>
        </w:rPr>
        <w:t xml:space="preserve"> </w:t>
      </w:r>
      <w:r w:rsidR="00EC5D7C" w:rsidRPr="00916B3A">
        <w:rPr>
          <w:rFonts w:ascii="Times New Roman" w:hAnsi="Times New Roman" w:cs="Times New Roman"/>
          <w:sz w:val="28"/>
          <w:szCs w:val="28"/>
          <w:lang w:val="en-US"/>
        </w:rPr>
        <w:fldChar w:fldCharType="begin" w:fldLock="1"/>
      </w:r>
      <w:r w:rsidR="008C6800">
        <w:rPr>
          <w:rFonts w:ascii="Times New Roman" w:hAnsi="Times New Roman" w:cs="Times New Roman"/>
          <w:sz w:val="28"/>
          <w:szCs w:val="28"/>
          <w:lang w:val="en-US"/>
        </w:rPr>
        <w:instrText>ADDIN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CSL</w:instrText>
      </w:r>
      <w:r w:rsidR="008C6800" w:rsidRPr="008C6800">
        <w:rPr>
          <w:rFonts w:ascii="Times New Roman" w:hAnsi="Times New Roman" w:cs="Times New Roman"/>
          <w:sz w:val="28"/>
          <w:szCs w:val="28"/>
        </w:rPr>
        <w:instrText>_</w:instrText>
      </w:r>
      <w:r w:rsidR="008C6800">
        <w:rPr>
          <w:rFonts w:ascii="Times New Roman" w:hAnsi="Times New Roman" w:cs="Times New Roman"/>
          <w:sz w:val="28"/>
          <w:szCs w:val="28"/>
          <w:lang w:val="en-US"/>
        </w:rPr>
        <w:instrText>CITATION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citationItems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id</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ITEM</w:instrText>
      </w:r>
      <w:r w:rsidR="008C6800" w:rsidRPr="008C6800">
        <w:rPr>
          <w:rFonts w:ascii="Times New Roman" w:hAnsi="Times New Roman" w:cs="Times New Roman"/>
          <w:sz w:val="28"/>
          <w:szCs w:val="28"/>
        </w:rPr>
        <w:instrText>-1","</w:instrText>
      </w:r>
      <w:r w:rsidR="008C6800">
        <w:rPr>
          <w:rFonts w:ascii="Times New Roman" w:hAnsi="Times New Roman" w:cs="Times New Roman"/>
          <w:sz w:val="28"/>
          <w:szCs w:val="28"/>
          <w:lang w:val="en-US"/>
        </w:rPr>
        <w:instrText>itemData</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DOI</w:instrText>
      </w:r>
      <w:r w:rsidR="008C6800" w:rsidRPr="008C6800">
        <w:rPr>
          <w:rFonts w:ascii="Times New Roman" w:hAnsi="Times New Roman" w:cs="Times New Roman"/>
          <w:sz w:val="28"/>
          <w:szCs w:val="28"/>
        </w:rPr>
        <w:instrText>":"10.3109/09513590.2015.1136616","</w:instrText>
      </w:r>
      <w:r w:rsidR="008C6800">
        <w:rPr>
          <w:rFonts w:ascii="Times New Roman" w:hAnsi="Times New Roman" w:cs="Times New Roman"/>
          <w:sz w:val="28"/>
          <w:szCs w:val="28"/>
          <w:lang w:val="en-US"/>
        </w:rPr>
        <w:instrText>ISBN</w:instrText>
      </w:r>
      <w:r w:rsidR="008C6800" w:rsidRPr="008C6800">
        <w:rPr>
          <w:rFonts w:ascii="Times New Roman" w:hAnsi="Times New Roman" w:cs="Times New Roman"/>
          <w:sz w:val="28"/>
          <w:szCs w:val="28"/>
        </w:rPr>
        <w:instrText>":"8637166913114","</w:instrText>
      </w:r>
      <w:r w:rsidR="008C6800">
        <w:rPr>
          <w:rFonts w:ascii="Times New Roman" w:hAnsi="Times New Roman" w:cs="Times New Roman"/>
          <w:sz w:val="28"/>
          <w:szCs w:val="28"/>
          <w:lang w:val="en-US"/>
        </w:rPr>
        <w:instrText>ISSN</w:instrText>
      </w:r>
      <w:r w:rsidR="008C6800" w:rsidRPr="008C6800">
        <w:rPr>
          <w:rFonts w:ascii="Times New Roman" w:hAnsi="Times New Roman" w:cs="Times New Roman"/>
          <w:sz w:val="28"/>
          <w:szCs w:val="28"/>
        </w:rPr>
        <w:instrText>":"14730766","</w:instrText>
      </w:r>
      <w:r w:rsidR="008C6800">
        <w:rPr>
          <w:rFonts w:ascii="Times New Roman" w:hAnsi="Times New Roman" w:cs="Times New Roman"/>
          <w:sz w:val="28"/>
          <w:szCs w:val="28"/>
          <w:lang w:val="en-US"/>
        </w:rPr>
        <w:instrText>PMID</w:instrText>
      </w:r>
      <w:r w:rsidR="008C6800" w:rsidRPr="008C6800">
        <w:rPr>
          <w:rFonts w:ascii="Times New Roman" w:hAnsi="Times New Roman" w:cs="Times New Roman"/>
          <w:sz w:val="28"/>
          <w:szCs w:val="28"/>
        </w:rPr>
        <w:instrText>":"26942778","</w:instrText>
      </w:r>
      <w:r w:rsidR="008C6800">
        <w:rPr>
          <w:rFonts w:ascii="Times New Roman" w:hAnsi="Times New Roman" w:cs="Times New Roman"/>
          <w:sz w:val="28"/>
          <w:szCs w:val="28"/>
          <w:lang w:val="en-US"/>
        </w:rPr>
        <w:instrText>abstract</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In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order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explore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relationship</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between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endometrial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thickness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day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of</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embryo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transfer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and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pregnancy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outcomes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frozen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thawed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embryo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transfer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FET</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cycles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we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retrospectively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analyzed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data</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from</w:instrText>
      </w:r>
      <w:r w:rsidR="008C6800" w:rsidRPr="008C6800">
        <w:rPr>
          <w:rFonts w:ascii="Times New Roman" w:hAnsi="Times New Roman" w:cs="Times New Roman"/>
          <w:sz w:val="28"/>
          <w:szCs w:val="28"/>
        </w:rPr>
        <w:instrText xml:space="preserve"> 2997 </w:instrText>
      </w:r>
      <w:r w:rsidR="008C6800">
        <w:rPr>
          <w:rFonts w:ascii="Times New Roman" w:hAnsi="Times New Roman" w:cs="Times New Roman"/>
          <w:sz w:val="28"/>
          <w:szCs w:val="28"/>
          <w:lang w:val="en-US"/>
        </w:rPr>
        <w:instrText>patients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undergoing</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their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first</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FET</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cycles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from</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January</w:instrText>
      </w:r>
      <w:r w:rsidR="008C6800" w:rsidRPr="008C6800">
        <w:rPr>
          <w:rFonts w:ascii="Times New Roman" w:hAnsi="Times New Roman" w:cs="Times New Roman"/>
          <w:sz w:val="28"/>
          <w:szCs w:val="28"/>
        </w:rPr>
        <w:instrText xml:space="preserve"> 2010 </w:instrText>
      </w:r>
      <w:r w:rsidR="008C6800">
        <w:rPr>
          <w:rFonts w:ascii="Times New Roman" w:hAnsi="Times New Roman" w:cs="Times New Roman"/>
          <w:sz w:val="28"/>
          <w:szCs w:val="28"/>
          <w:lang w:val="en-US"/>
        </w:rPr>
        <w:instrText>to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December</w:instrText>
      </w:r>
      <w:r w:rsidR="008C6800" w:rsidRPr="008C6800">
        <w:rPr>
          <w:rFonts w:ascii="Times New Roman" w:hAnsi="Times New Roman" w:cs="Times New Roman"/>
          <w:sz w:val="28"/>
          <w:szCs w:val="28"/>
        </w:rPr>
        <w:instrText xml:space="preserve"> 2012. </w:instrText>
      </w:r>
      <w:r w:rsidR="008C6800">
        <w:rPr>
          <w:rFonts w:ascii="Times New Roman" w:hAnsi="Times New Roman" w:cs="Times New Roman"/>
          <w:sz w:val="28"/>
          <w:szCs w:val="28"/>
          <w:lang w:val="en-US"/>
        </w:rPr>
        <w:instrText>All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patients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were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divided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into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three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groups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Group</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w:instrText>
      </w:r>
      <w:r w:rsidR="008C6800" w:rsidRPr="008C6800">
        <w:rPr>
          <w:rFonts w:ascii="Times New Roman" w:hAnsi="Times New Roman" w:cs="Times New Roman"/>
          <w:sz w:val="28"/>
          <w:szCs w:val="28"/>
        </w:rPr>
        <w:instrText xml:space="preserve">, ≤8 </w:instrText>
      </w:r>
      <w:r w:rsidR="008C6800">
        <w:rPr>
          <w:rFonts w:ascii="Times New Roman" w:hAnsi="Times New Roman" w:cs="Times New Roman"/>
          <w:sz w:val="28"/>
          <w:szCs w:val="28"/>
          <w:lang w:val="en-US"/>
        </w:rPr>
        <w:instrText>mm</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Group</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w:instrText>
      </w:r>
      <w:r w:rsidR="008C6800" w:rsidRPr="008C6800">
        <w:rPr>
          <w:rFonts w:ascii="Times New Roman" w:hAnsi="Times New Roman" w:cs="Times New Roman"/>
          <w:sz w:val="28"/>
          <w:szCs w:val="28"/>
        </w:rPr>
        <w:instrText xml:space="preserve">, 9–13 </w:instrText>
      </w:r>
      <w:r w:rsidR="008C6800">
        <w:rPr>
          <w:rFonts w:ascii="Times New Roman" w:hAnsi="Times New Roman" w:cs="Times New Roman"/>
          <w:sz w:val="28"/>
          <w:szCs w:val="28"/>
          <w:lang w:val="en-US"/>
        </w:rPr>
        <w:instrText>mm</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Group</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w:instrText>
      </w:r>
      <w:r w:rsidR="008C6800" w:rsidRPr="008C6800">
        <w:rPr>
          <w:rFonts w:ascii="Times New Roman" w:hAnsi="Times New Roman" w:cs="Times New Roman"/>
          <w:sz w:val="28"/>
          <w:szCs w:val="28"/>
        </w:rPr>
        <w:instrText xml:space="preserve">, ≥14 </w:instrText>
      </w:r>
      <w:r w:rsidR="008C6800">
        <w:rPr>
          <w:rFonts w:ascii="Times New Roman" w:hAnsi="Times New Roman" w:cs="Times New Roman"/>
          <w:sz w:val="28"/>
          <w:szCs w:val="28"/>
          <w:lang w:val="en-US"/>
        </w:rPr>
        <w:instrText>mm</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according</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endometrial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thickness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embryo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transfer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day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Compared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with</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patients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other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two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groups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patients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with</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thin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endometrial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thickness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Group</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had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significantly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lower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clinical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pregnancy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rate</w:instrText>
      </w:r>
      <w:r w:rsidR="008C6800" w:rsidRPr="008C6800">
        <w:rPr>
          <w:rFonts w:ascii="Times New Roman" w:hAnsi="Times New Roman" w:cs="Times New Roman"/>
          <w:sz w:val="28"/>
          <w:szCs w:val="28"/>
        </w:rPr>
        <w:instrText xml:space="preserve"> (33.4%, 41.3% </w:instrText>
      </w:r>
      <w:r w:rsidR="008C6800">
        <w:rPr>
          <w:rFonts w:ascii="Times New Roman" w:hAnsi="Times New Roman" w:cs="Times New Roman"/>
          <w:sz w:val="28"/>
          <w:szCs w:val="28"/>
          <w:lang w:val="en-US"/>
        </w:rPr>
        <w:instrText>and</w:instrText>
      </w:r>
      <w:r w:rsidR="008C6800" w:rsidRPr="008C6800">
        <w:rPr>
          <w:rFonts w:ascii="Times New Roman" w:hAnsi="Times New Roman" w:cs="Times New Roman"/>
          <w:sz w:val="28"/>
          <w:szCs w:val="28"/>
        </w:rPr>
        <w:instrText xml:space="preserve"> 45.4%, </w:instrText>
      </w:r>
      <w:r w:rsidR="008C6800">
        <w:rPr>
          <w:rFonts w:ascii="Times New Roman" w:hAnsi="Times New Roman" w:cs="Times New Roman"/>
          <w:sz w:val="28"/>
          <w:szCs w:val="28"/>
          <w:lang w:val="en-US"/>
        </w:rPr>
        <w:instrText>p</w:instrText>
      </w:r>
      <w:r w:rsidR="008C6800" w:rsidRPr="008C6800">
        <w:rPr>
          <w:rFonts w:ascii="Times New Roman" w:hAnsi="Times New Roman" w:cs="Times New Roman"/>
          <w:sz w:val="28"/>
          <w:szCs w:val="28"/>
        </w:rPr>
        <w:instrText xml:space="preserve"> &lt; 0.01) </w:instrText>
      </w:r>
      <w:r w:rsidR="008C6800">
        <w:rPr>
          <w:rFonts w:ascii="Times New Roman" w:hAnsi="Times New Roman" w:cs="Times New Roman"/>
          <w:sz w:val="28"/>
          <w:szCs w:val="28"/>
          <w:lang w:val="en-US"/>
        </w:rPr>
        <w:instrText>and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live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birth</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rate</w:instrText>
      </w:r>
      <w:r w:rsidR="008C6800" w:rsidRPr="008C6800">
        <w:rPr>
          <w:rFonts w:ascii="Times New Roman" w:hAnsi="Times New Roman" w:cs="Times New Roman"/>
          <w:sz w:val="28"/>
          <w:szCs w:val="28"/>
        </w:rPr>
        <w:instrText xml:space="preserve"> (23.8%, 32.2% </w:instrText>
      </w:r>
      <w:r w:rsidR="008C6800">
        <w:rPr>
          <w:rFonts w:ascii="Times New Roman" w:hAnsi="Times New Roman" w:cs="Times New Roman"/>
          <w:sz w:val="28"/>
          <w:szCs w:val="28"/>
          <w:lang w:val="en-US"/>
        </w:rPr>
        <w:instrText>and</w:instrText>
      </w:r>
      <w:r w:rsidR="008C6800" w:rsidRPr="008C6800">
        <w:rPr>
          <w:rFonts w:ascii="Times New Roman" w:hAnsi="Times New Roman" w:cs="Times New Roman"/>
          <w:sz w:val="28"/>
          <w:szCs w:val="28"/>
        </w:rPr>
        <w:instrText xml:space="preserve"> 34.0%, </w:instrText>
      </w:r>
      <w:r w:rsidR="008C6800">
        <w:rPr>
          <w:rFonts w:ascii="Times New Roman" w:hAnsi="Times New Roman" w:cs="Times New Roman"/>
          <w:sz w:val="28"/>
          <w:szCs w:val="28"/>
          <w:lang w:val="en-US"/>
        </w:rPr>
        <w:instrText>p</w:instrText>
      </w:r>
      <w:r w:rsidR="008C6800" w:rsidRPr="008C6800">
        <w:rPr>
          <w:rFonts w:ascii="Times New Roman" w:hAnsi="Times New Roman" w:cs="Times New Roman"/>
          <w:sz w:val="28"/>
          <w:szCs w:val="28"/>
        </w:rPr>
        <w:instrText xml:space="preserve"> &lt; 0.01). </w:instrText>
      </w:r>
      <w:r w:rsidR="008C6800">
        <w:rPr>
          <w:rFonts w:ascii="Times New Roman" w:hAnsi="Times New Roman" w:cs="Times New Roman"/>
          <w:sz w:val="28"/>
          <w:szCs w:val="28"/>
          <w:lang w:val="en-US"/>
        </w:rPr>
        <w:instrText>After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adjusting</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for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age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body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mass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index</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BMI</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baseline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follicle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stimulating</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hormone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FSH</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FET</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protocol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and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number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of</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embryos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transferred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associations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between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medium</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endometrial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thickness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Group</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and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clinical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pregnancy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rate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adjusted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odds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ratio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aOR</w:instrText>
      </w:r>
      <w:r w:rsidR="008C6800" w:rsidRPr="008C6800">
        <w:rPr>
          <w:rFonts w:ascii="Times New Roman" w:hAnsi="Times New Roman" w:cs="Times New Roman"/>
          <w:sz w:val="28"/>
          <w:szCs w:val="28"/>
        </w:rPr>
        <w:instrText xml:space="preserve">): 1.39; 95% </w:instrText>
      </w:r>
      <w:r w:rsidR="008C6800">
        <w:rPr>
          <w:rFonts w:ascii="Times New Roman" w:hAnsi="Times New Roman" w:cs="Times New Roman"/>
          <w:sz w:val="28"/>
          <w:szCs w:val="28"/>
          <w:lang w:val="en-US"/>
        </w:rPr>
        <w:instrText>confidence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interval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CI</w:instrText>
      </w:r>
      <w:r w:rsidR="008C6800" w:rsidRPr="008C6800">
        <w:rPr>
          <w:rFonts w:ascii="Times New Roman" w:hAnsi="Times New Roman" w:cs="Times New Roman"/>
          <w:sz w:val="28"/>
          <w:szCs w:val="28"/>
        </w:rPr>
        <w:instrText xml:space="preserve">): 1.10–1.77, </w:instrText>
      </w:r>
      <w:r w:rsidR="008C6800">
        <w:rPr>
          <w:rFonts w:ascii="Times New Roman" w:hAnsi="Times New Roman" w:cs="Times New Roman"/>
          <w:sz w:val="28"/>
          <w:szCs w:val="28"/>
          <w:lang w:val="en-US"/>
        </w:rPr>
        <w:instrText>p</w:instrText>
      </w:r>
      <w:r w:rsidR="008C6800" w:rsidRPr="008C6800">
        <w:rPr>
          <w:rFonts w:ascii="Times New Roman" w:hAnsi="Times New Roman" w:cs="Times New Roman"/>
          <w:sz w:val="28"/>
          <w:szCs w:val="28"/>
        </w:rPr>
        <w:instrText xml:space="preserve"> &lt; 0.01] </w:instrText>
      </w:r>
      <w:r w:rsidR="008C6800">
        <w:rPr>
          <w:rFonts w:ascii="Times New Roman" w:hAnsi="Times New Roman" w:cs="Times New Roman"/>
          <w:sz w:val="28"/>
          <w:szCs w:val="28"/>
          <w:lang w:val="en-US"/>
        </w:rPr>
        <w:instrText>and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live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birth</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rate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aOR</w:instrText>
      </w:r>
      <w:r w:rsidR="008C6800" w:rsidRPr="008C6800">
        <w:rPr>
          <w:rFonts w:ascii="Times New Roman" w:hAnsi="Times New Roman" w:cs="Times New Roman"/>
          <w:sz w:val="28"/>
          <w:szCs w:val="28"/>
        </w:rPr>
        <w:instrText xml:space="preserve">: 1.50; 95% </w:instrText>
      </w:r>
      <w:r w:rsidR="008C6800">
        <w:rPr>
          <w:rFonts w:ascii="Times New Roman" w:hAnsi="Times New Roman" w:cs="Times New Roman"/>
          <w:sz w:val="28"/>
          <w:szCs w:val="28"/>
          <w:lang w:val="en-US"/>
        </w:rPr>
        <w:instrText>CI</w:instrText>
      </w:r>
      <w:r w:rsidR="008C6800" w:rsidRPr="008C6800">
        <w:rPr>
          <w:rFonts w:ascii="Times New Roman" w:hAnsi="Times New Roman" w:cs="Times New Roman"/>
          <w:sz w:val="28"/>
          <w:szCs w:val="28"/>
        </w:rPr>
        <w:instrText xml:space="preserve">: 1.16–1.95, </w:instrText>
      </w:r>
      <w:r w:rsidR="008C6800">
        <w:rPr>
          <w:rFonts w:ascii="Times New Roman" w:hAnsi="Times New Roman" w:cs="Times New Roman"/>
          <w:sz w:val="28"/>
          <w:szCs w:val="28"/>
          <w:lang w:val="en-US"/>
        </w:rPr>
        <w:instrText>p</w:instrText>
      </w:r>
      <w:r w:rsidR="008C6800" w:rsidRPr="008C6800">
        <w:rPr>
          <w:rFonts w:ascii="Times New Roman" w:hAnsi="Times New Roman" w:cs="Times New Roman"/>
          <w:sz w:val="28"/>
          <w:szCs w:val="28"/>
        </w:rPr>
        <w:instrText xml:space="preserve"> &lt; 0.01) </w:instrText>
      </w:r>
      <w:r w:rsidR="008C6800">
        <w:rPr>
          <w:rFonts w:ascii="Times New Roman" w:hAnsi="Times New Roman" w:cs="Times New Roman"/>
          <w:sz w:val="28"/>
          <w:szCs w:val="28"/>
          <w:lang w:val="en-US"/>
        </w:rPr>
        <w:instrText>were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significant</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We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conclude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that</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for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patients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undergoing</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FET</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endometrial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thickness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embryo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transfer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day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significantly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affects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IVF</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outcomes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cleavage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embryo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transfer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cycles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independent</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of</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other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factors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author</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dropping</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particle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family</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Bu</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given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Zhiqin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non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dropping</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particle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parse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names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false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suffix</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dropping</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particle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family</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Wang</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given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Keyan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non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dropping</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particle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parse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names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false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suffix</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dropping</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particle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family</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Dai</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given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Wei</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non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dropping</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particle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parse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names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false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suffix</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dropping</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particle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family</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Sun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given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Yingpu</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non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dropping</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particle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parse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names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false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suffix</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container</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title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Gynecological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Endocrinology</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id</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ITEM</w:instrText>
      </w:r>
      <w:r w:rsidR="008C6800" w:rsidRPr="008C6800">
        <w:rPr>
          <w:rFonts w:ascii="Times New Roman" w:hAnsi="Times New Roman" w:cs="Times New Roman"/>
          <w:sz w:val="28"/>
          <w:szCs w:val="28"/>
        </w:rPr>
        <w:instrText>-1","</w:instrText>
      </w:r>
      <w:r w:rsidR="008C6800">
        <w:rPr>
          <w:rFonts w:ascii="Times New Roman" w:hAnsi="Times New Roman" w:cs="Times New Roman"/>
          <w:sz w:val="28"/>
          <w:szCs w:val="28"/>
          <w:lang w:val="en-US"/>
        </w:rPr>
        <w:instrText>issue</w:instrText>
      </w:r>
      <w:r w:rsidR="008C6800" w:rsidRPr="008C6800">
        <w:rPr>
          <w:rFonts w:ascii="Times New Roman" w:hAnsi="Times New Roman" w:cs="Times New Roman"/>
          <w:sz w:val="28"/>
          <w:szCs w:val="28"/>
        </w:rPr>
        <w:instrText>":"7","</w:instrText>
      </w:r>
      <w:r w:rsidR="008C6800">
        <w:rPr>
          <w:rFonts w:ascii="Times New Roman" w:hAnsi="Times New Roman" w:cs="Times New Roman"/>
          <w:sz w:val="28"/>
          <w:szCs w:val="28"/>
          <w:lang w:val="en-US"/>
        </w:rPr>
        <w:instrText>issued</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date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parts</w:instrText>
      </w:r>
      <w:r w:rsidR="008C6800" w:rsidRPr="008C6800">
        <w:rPr>
          <w:rFonts w:ascii="Times New Roman" w:hAnsi="Times New Roman" w:cs="Times New Roman"/>
          <w:sz w:val="28"/>
          <w:szCs w:val="28"/>
        </w:rPr>
        <w:instrText>":[["2016"]]},"</w:instrText>
      </w:r>
      <w:r w:rsidR="008C6800">
        <w:rPr>
          <w:rFonts w:ascii="Times New Roman" w:hAnsi="Times New Roman" w:cs="Times New Roman"/>
          <w:sz w:val="28"/>
          <w:szCs w:val="28"/>
          <w:lang w:val="en-US"/>
        </w:rPr>
        <w:instrText>page</w:instrText>
      </w:r>
      <w:r w:rsidR="008C6800" w:rsidRPr="008C6800">
        <w:rPr>
          <w:rFonts w:ascii="Times New Roman" w:hAnsi="Times New Roman" w:cs="Times New Roman"/>
          <w:sz w:val="28"/>
          <w:szCs w:val="28"/>
        </w:rPr>
        <w:instrText>":"524-528","</w:instrText>
      </w:r>
      <w:r w:rsidR="008C6800">
        <w:rPr>
          <w:rFonts w:ascii="Times New Roman" w:hAnsi="Times New Roman" w:cs="Times New Roman"/>
          <w:sz w:val="28"/>
          <w:szCs w:val="28"/>
          <w:lang w:val="en-US"/>
        </w:rPr>
        <w:instrText>title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Endometrial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thickness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significantly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affects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clinical</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pregnancy</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and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live</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birth</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rates</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in</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frozen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thawed</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embryo</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transfer</w:instrText>
      </w:r>
      <w:r w:rsidR="008C6800" w:rsidRPr="008C6800">
        <w:rPr>
          <w:rFonts w:ascii="Times New Roman" w:hAnsi="Times New Roman" w:cs="Times New Roman"/>
          <w:sz w:val="28"/>
          <w:szCs w:val="28"/>
        </w:rPr>
        <w:instrText xml:space="preserve"> </w:instrText>
      </w:r>
      <w:r w:rsidR="008C6800">
        <w:rPr>
          <w:rFonts w:ascii="Times New Roman" w:hAnsi="Times New Roman" w:cs="Times New Roman"/>
          <w:sz w:val="28"/>
          <w:szCs w:val="28"/>
          <w:lang w:val="en-US"/>
        </w:rPr>
        <w:instrText>cycles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type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article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journal</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volume</w:instrText>
      </w:r>
      <w:r w:rsidR="008C6800" w:rsidRPr="008C6800">
        <w:rPr>
          <w:rFonts w:ascii="Times New Roman" w:hAnsi="Times New Roman" w:cs="Times New Roman"/>
          <w:sz w:val="28"/>
          <w:szCs w:val="28"/>
        </w:rPr>
        <w:instrText>":"32"},"</w:instrText>
      </w:r>
      <w:r w:rsidR="008C6800">
        <w:rPr>
          <w:rFonts w:ascii="Times New Roman" w:hAnsi="Times New Roman" w:cs="Times New Roman"/>
          <w:sz w:val="28"/>
          <w:szCs w:val="28"/>
          <w:lang w:val="en-US"/>
        </w:rPr>
        <w:instrText>uris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http</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www</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mendeley</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com</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documents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uuid</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b</w:instrText>
      </w:r>
      <w:r w:rsidR="008C6800" w:rsidRPr="008C6800">
        <w:rPr>
          <w:rFonts w:ascii="Times New Roman" w:hAnsi="Times New Roman" w:cs="Times New Roman"/>
          <w:sz w:val="28"/>
          <w:szCs w:val="28"/>
        </w:rPr>
        <w:instrText>4</w:instrText>
      </w:r>
      <w:r w:rsidR="008C6800">
        <w:rPr>
          <w:rFonts w:ascii="Times New Roman" w:hAnsi="Times New Roman" w:cs="Times New Roman"/>
          <w:sz w:val="28"/>
          <w:szCs w:val="28"/>
          <w:lang w:val="en-US"/>
        </w:rPr>
        <w:instrText>a</w:instrText>
      </w:r>
      <w:r w:rsidR="008C6800" w:rsidRPr="008C6800">
        <w:rPr>
          <w:rFonts w:ascii="Times New Roman" w:hAnsi="Times New Roman" w:cs="Times New Roman"/>
          <w:sz w:val="28"/>
          <w:szCs w:val="28"/>
        </w:rPr>
        <w:instrText>3</w:instrText>
      </w:r>
      <w:r w:rsidR="008C6800">
        <w:rPr>
          <w:rFonts w:ascii="Times New Roman" w:hAnsi="Times New Roman" w:cs="Times New Roman"/>
          <w:sz w:val="28"/>
          <w:szCs w:val="28"/>
          <w:lang w:val="en-US"/>
        </w:rPr>
        <w:instrText>ad</w:instrText>
      </w:r>
      <w:r w:rsidR="008C6800" w:rsidRPr="008C6800">
        <w:rPr>
          <w:rFonts w:ascii="Times New Roman" w:hAnsi="Times New Roman" w:cs="Times New Roman"/>
          <w:sz w:val="28"/>
          <w:szCs w:val="28"/>
        </w:rPr>
        <w:instrText>1</w:instrText>
      </w:r>
      <w:r w:rsidR="008C6800">
        <w:rPr>
          <w:rFonts w:ascii="Times New Roman" w:hAnsi="Times New Roman" w:cs="Times New Roman"/>
          <w:sz w:val="28"/>
          <w:szCs w:val="28"/>
          <w:lang w:val="en-US"/>
        </w:rPr>
        <w:instrText>f</w:instrText>
      </w:r>
      <w:r w:rsidR="008C6800" w:rsidRPr="008C6800">
        <w:rPr>
          <w:rFonts w:ascii="Times New Roman" w:hAnsi="Times New Roman" w:cs="Times New Roman"/>
          <w:sz w:val="28"/>
          <w:szCs w:val="28"/>
        </w:rPr>
        <w:instrText>-39</w:instrText>
      </w:r>
      <w:r w:rsidR="008C6800">
        <w:rPr>
          <w:rFonts w:ascii="Times New Roman" w:hAnsi="Times New Roman" w:cs="Times New Roman"/>
          <w:sz w:val="28"/>
          <w:szCs w:val="28"/>
          <w:lang w:val="en-US"/>
        </w:rPr>
        <w:instrText>de</w:instrText>
      </w:r>
      <w:r w:rsidR="008C6800" w:rsidRPr="008C6800">
        <w:rPr>
          <w:rFonts w:ascii="Times New Roman" w:hAnsi="Times New Roman" w:cs="Times New Roman"/>
          <w:sz w:val="28"/>
          <w:szCs w:val="28"/>
        </w:rPr>
        <w:instrText>-48</w:instrText>
      </w:r>
      <w:r w:rsidR="008C6800">
        <w:rPr>
          <w:rFonts w:ascii="Times New Roman" w:hAnsi="Times New Roman" w:cs="Times New Roman"/>
          <w:sz w:val="28"/>
          <w:szCs w:val="28"/>
          <w:lang w:val="en-US"/>
        </w:rPr>
        <w:instrText>fe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a</w:instrText>
      </w:r>
      <w:r w:rsidR="008C6800" w:rsidRPr="008C6800">
        <w:rPr>
          <w:rFonts w:ascii="Times New Roman" w:hAnsi="Times New Roman" w:cs="Times New Roman"/>
          <w:sz w:val="28"/>
          <w:szCs w:val="28"/>
        </w:rPr>
        <w:instrText>48</w:instrText>
      </w:r>
      <w:r w:rsidR="008C6800">
        <w:rPr>
          <w:rFonts w:ascii="Times New Roman" w:hAnsi="Times New Roman" w:cs="Times New Roman"/>
          <w:sz w:val="28"/>
          <w:szCs w:val="28"/>
          <w:lang w:val="en-US"/>
        </w:rPr>
        <w:instrText>f</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w:instrText>
      </w:r>
      <w:r w:rsidR="008C6800" w:rsidRPr="008C6800">
        <w:rPr>
          <w:rFonts w:ascii="Times New Roman" w:hAnsi="Times New Roman" w:cs="Times New Roman"/>
          <w:sz w:val="28"/>
          <w:szCs w:val="28"/>
        </w:rPr>
        <w:instrText>80832</w:instrText>
      </w:r>
      <w:r w:rsidR="008C6800">
        <w:rPr>
          <w:rFonts w:ascii="Times New Roman" w:hAnsi="Times New Roman" w:cs="Times New Roman"/>
          <w:sz w:val="28"/>
          <w:szCs w:val="28"/>
          <w:lang w:val="en-US"/>
        </w:rPr>
        <w:instrText>ede</w:instrText>
      </w:r>
      <w:r w:rsidR="008C6800" w:rsidRPr="008C6800">
        <w:rPr>
          <w:rFonts w:ascii="Times New Roman" w:hAnsi="Times New Roman" w:cs="Times New Roman"/>
          <w:sz w:val="28"/>
          <w:szCs w:val="28"/>
        </w:rPr>
        <w:instrText>4</w:instrText>
      </w:r>
      <w:r w:rsidR="008C6800">
        <w:rPr>
          <w:rFonts w:ascii="Times New Roman" w:hAnsi="Times New Roman" w:cs="Times New Roman"/>
          <w:sz w:val="28"/>
          <w:szCs w:val="28"/>
          <w:lang w:val="en-US"/>
        </w:rPr>
        <w:instrText>a</w:instrText>
      </w:r>
      <w:r w:rsidR="008C6800" w:rsidRPr="008C6800">
        <w:rPr>
          <w:rFonts w:ascii="Times New Roman" w:hAnsi="Times New Roman" w:cs="Times New Roman"/>
          <w:sz w:val="28"/>
          <w:szCs w:val="28"/>
        </w:rPr>
        <w:instrText>0"]}],"</w:instrText>
      </w:r>
      <w:r w:rsidR="008C6800">
        <w:rPr>
          <w:rFonts w:ascii="Times New Roman" w:hAnsi="Times New Roman" w:cs="Times New Roman"/>
          <w:sz w:val="28"/>
          <w:szCs w:val="28"/>
          <w:lang w:val="en-US"/>
        </w:rPr>
        <w:instrText>mendeley</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formattedCitation</w:instrText>
      </w:r>
      <w:r w:rsidR="008C6800" w:rsidRPr="008C6800">
        <w:rPr>
          <w:rFonts w:ascii="Times New Roman" w:hAnsi="Times New Roman" w:cs="Times New Roman"/>
          <w:sz w:val="28"/>
          <w:szCs w:val="28"/>
        </w:rPr>
        <w:instrText>":"[55]","</w:instrText>
      </w:r>
      <w:r w:rsidR="008C6800">
        <w:rPr>
          <w:rFonts w:ascii="Times New Roman" w:hAnsi="Times New Roman" w:cs="Times New Roman"/>
          <w:sz w:val="28"/>
          <w:szCs w:val="28"/>
          <w:lang w:val="en-US"/>
        </w:rPr>
        <w:instrText>plainTextFormattedCitation</w:instrText>
      </w:r>
      <w:r w:rsidR="008C6800" w:rsidRPr="008C6800">
        <w:rPr>
          <w:rFonts w:ascii="Times New Roman" w:hAnsi="Times New Roman" w:cs="Times New Roman"/>
          <w:sz w:val="28"/>
          <w:szCs w:val="28"/>
        </w:rPr>
        <w:instrText>":"[55]","</w:instrText>
      </w:r>
      <w:r w:rsidR="008C6800">
        <w:rPr>
          <w:rFonts w:ascii="Times New Roman" w:hAnsi="Times New Roman" w:cs="Times New Roman"/>
          <w:sz w:val="28"/>
          <w:szCs w:val="28"/>
          <w:lang w:val="en-US"/>
        </w:rPr>
        <w:instrText>previouslyFormattedCitation</w:instrText>
      </w:r>
      <w:r w:rsidR="008C6800" w:rsidRPr="008C6800">
        <w:rPr>
          <w:rFonts w:ascii="Times New Roman" w:hAnsi="Times New Roman" w:cs="Times New Roman"/>
          <w:sz w:val="28"/>
          <w:szCs w:val="28"/>
        </w:rPr>
        <w:instrText>":"(55)"},"</w:instrText>
      </w:r>
      <w:r w:rsidR="008C6800">
        <w:rPr>
          <w:rFonts w:ascii="Times New Roman" w:hAnsi="Times New Roman" w:cs="Times New Roman"/>
          <w:sz w:val="28"/>
          <w:szCs w:val="28"/>
          <w:lang w:val="en-US"/>
        </w:rPr>
        <w:instrText>properties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noteIndex</w:instrText>
      </w:r>
      <w:r w:rsidR="008C6800" w:rsidRPr="008C6800">
        <w:rPr>
          <w:rFonts w:ascii="Times New Roman" w:hAnsi="Times New Roman" w:cs="Times New Roman"/>
          <w:sz w:val="28"/>
          <w:szCs w:val="28"/>
        </w:rPr>
        <w:instrText>":0},"</w:instrText>
      </w:r>
      <w:r w:rsidR="008C6800">
        <w:rPr>
          <w:rFonts w:ascii="Times New Roman" w:hAnsi="Times New Roman" w:cs="Times New Roman"/>
          <w:sz w:val="28"/>
          <w:szCs w:val="28"/>
          <w:lang w:val="en-US"/>
        </w:rPr>
        <w:instrText>schema</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https</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github</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com</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citation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style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language</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schema</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raw</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master</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csl</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citation</w:instrText>
      </w:r>
      <w:r w:rsidR="008C6800" w:rsidRPr="008C6800">
        <w:rPr>
          <w:rFonts w:ascii="Times New Roman" w:hAnsi="Times New Roman" w:cs="Times New Roman"/>
          <w:sz w:val="28"/>
          <w:szCs w:val="28"/>
        </w:rPr>
        <w:instrText>.</w:instrText>
      </w:r>
      <w:r w:rsidR="008C6800">
        <w:rPr>
          <w:rFonts w:ascii="Times New Roman" w:hAnsi="Times New Roman" w:cs="Times New Roman"/>
          <w:sz w:val="28"/>
          <w:szCs w:val="28"/>
          <w:lang w:val="en-US"/>
        </w:rPr>
        <w:instrText>json</w:instrText>
      </w:r>
      <w:r w:rsidR="008C6800" w:rsidRPr="008C6800">
        <w:rPr>
          <w:rFonts w:ascii="Times New Roman" w:hAnsi="Times New Roman" w:cs="Times New Roman"/>
          <w:sz w:val="28"/>
          <w:szCs w:val="28"/>
        </w:rPr>
        <w:instrText>"}</w:instrText>
      </w:r>
      <w:r w:rsidR="00EC5D7C" w:rsidRPr="00916B3A">
        <w:rPr>
          <w:rFonts w:ascii="Times New Roman" w:hAnsi="Times New Roman" w:cs="Times New Roman"/>
          <w:sz w:val="28"/>
          <w:szCs w:val="28"/>
          <w:lang w:val="en-US"/>
        </w:rPr>
        <w:fldChar w:fldCharType="separate"/>
      </w:r>
      <w:r w:rsidR="008C6800" w:rsidRPr="008C6800">
        <w:rPr>
          <w:rFonts w:ascii="Times New Roman" w:hAnsi="Times New Roman" w:cs="Times New Roman"/>
          <w:noProof/>
          <w:sz w:val="28"/>
          <w:szCs w:val="28"/>
        </w:rPr>
        <w:t>[55</w:t>
      </w:r>
      <w:r w:rsidR="00404317">
        <w:rPr>
          <w:rFonts w:ascii="Times New Roman" w:hAnsi="Times New Roman" w:cs="Times New Roman"/>
          <w:noProof/>
          <w:sz w:val="28"/>
          <w:szCs w:val="28"/>
        </w:rPr>
        <w:t>, с. 524</w:t>
      </w:r>
      <w:r w:rsidR="008C6800" w:rsidRPr="008C6800">
        <w:rPr>
          <w:rFonts w:ascii="Times New Roman" w:hAnsi="Times New Roman" w:cs="Times New Roman"/>
          <w:noProof/>
          <w:sz w:val="28"/>
          <w:szCs w:val="28"/>
        </w:rPr>
        <w:t>]</w:t>
      </w:r>
      <w:r w:rsidR="00EC5D7C" w:rsidRPr="00916B3A">
        <w:rPr>
          <w:rFonts w:ascii="Times New Roman" w:hAnsi="Times New Roman" w:cs="Times New Roman"/>
          <w:sz w:val="28"/>
          <w:szCs w:val="28"/>
          <w:lang w:val="en-US"/>
        </w:rPr>
        <w:fldChar w:fldCharType="end"/>
      </w:r>
      <w:r w:rsidR="00EC5D7C" w:rsidRPr="00916B3A">
        <w:rPr>
          <w:rFonts w:ascii="Times New Roman" w:hAnsi="Times New Roman" w:cs="Times New Roman"/>
          <w:sz w:val="28"/>
          <w:szCs w:val="28"/>
        </w:rPr>
        <w:t xml:space="preserve"> </w:t>
      </w:r>
      <w:r w:rsidRPr="00916B3A">
        <w:rPr>
          <w:rFonts w:ascii="Times New Roman" w:hAnsi="Times New Roman" w:cs="Times New Roman"/>
          <w:sz w:val="28"/>
          <w:szCs w:val="28"/>
          <w:lang w:val="kk-KZ"/>
        </w:rPr>
        <w:t xml:space="preserve">и Индии </w:t>
      </w:r>
      <w:r w:rsidR="00EC5D7C" w:rsidRPr="00916B3A">
        <w:rPr>
          <w:rFonts w:ascii="Times New Roman" w:hAnsi="Times New Roman" w:cs="Times New Roman"/>
          <w:sz w:val="28"/>
          <w:szCs w:val="28"/>
          <w:lang w:val="kk-KZ"/>
        </w:rPr>
        <w:fldChar w:fldCharType="begin" w:fldLock="1"/>
      </w:r>
      <w:r w:rsidR="008C6800">
        <w:rPr>
          <w:rFonts w:ascii="Times New Roman" w:hAnsi="Times New Roman" w:cs="Times New Roman"/>
          <w:sz w:val="28"/>
          <w:szCs w:val="28"/>
          <w:lang w:val="kk-KZ"/>
        </w:rPr>
        <w:instrText>ADDIN CSL_CITATION {"citationItems":[{"id":"ITEM-1","itemData":{"author":[{"dropping-particle":"","family":"Dogra","given":"Yogita","non-dropping-particle":"","parse-names":false,"suffix":""},{"dropping-particle":"","family":"Singh","given":"Neeta","non-dropping-particle":"","parse-names":false,"suffix":""},{"dropping-particle":"","family":"Vanamail","given":"Perumal","non-dropping-particle":"","parse-names":false,"suffix":""}],"container-title":"JBRA Assisted Reproduction","id":"ITEM-1","issue":"1","issued":{"date-parts":[["2022"]]},"page":"13","publisher":"Brazilian Society of Assisted Reproduction","title":"Autologous platelet-rich plasma optimizes endometrial thickness and pregnancy outcomes in women with refractory thin endometrium of varied aetiology during fresh and frozen-thawed embryo transfer cycles","type":"article-journal","volume":"26"},"uris":["http://www.mendeley.com/documents/?uuid=9767fce3-7146-409a-83c3-b6dd14c80646"]}],"mendeley":{"formattedCitation":"[110]","plainTextFormattedCitation":"[110]","previouslyFormattedCitation":"(110)"},"properties":{"noteIndex":0},"schema":"https://github.com/citation-style-language/schema/raw/master/csl-citation.json"}</w:instrText>
      </w:r>
      <w:r w:rsidR="00EC5D7C" w:rsidRPr="00916B3A">
        <w:rPr>
          <w:rFonts w:ascii="Times New Roman" w:hAnsi="Times New Roman" w:cs="Times New Roman"/>
          <w:sz w:val="28"/>
          <w:szCs w:val="28"/>
          <w:lang w:val="kk-KZ"/>
        </w:rPr>
        <w:fldChar w:fldCharType="separate"/>
      </w:r>
      <w:r w:rsidR="008C6800" w:rsidRPr="008C6800">
        <w:rPr>
          <w:rFonts w:ascii="Times New Roman" w:hAnsi="Times New Roman" w:cs="Times New Roman"/>
          <w:noProof/>
          <w:sz w:val="28"/>
          <w:szCs w:val="28"/>
          <w:lang w:val="kk-KZ"/>
        </w:rPr>
        <w:t>[110]</w:t>
      </w:r>
      <w:r w:rsidR="00EC5D7C" w:rsidRPr="00916B3A">
        <w:rPr>
          <w:rFonts w:ascii="Times New Roman" w:hAnsi="Times New Roman" w:cs="Times New Roman"/>
          <w:sz w:val="28"/>
          <w:szCs w:val="28"/>
          <w:lang w:val="kk-KZ"/>
        </w:rPr>
        <w:fldChar w:fldCharType="end"/>
      </w:r>
      <w:r w:rsidR="00EC5D7C" w:rsidRPr="00916B3A">
        <w:rPr>
          <w:rFonts w:ascii="Times New Roman" w:hAnsi="Times New Roman" w:cs="Times New Roman"/>
          <w:sz w:val="28"/>
          <w:szCs w:val="28"/>
        </w:rPr>
        <w:t xml:space="preserve">. </w:t>
      </w:r>
      <w:r w:rsidRPr="00916B3A">
        <w:rPr>
          <w:rFonts w:ascii="Times New Roman" w:hAnsi="Times New Roman" w:cs="Times New Roman"/>
          <w:sz w:val="28"/>
          <w:szCs w:val="28"/>
          <w:lang w:val="kk-KZ"/>
        </w:rPr>
        <w:t>Семь исследований были ретроспективными когортными, семь - ретроспективными, два - проспективно-интервенционными, два - проспективными, одно - продольно-экспериментальным и одно - проспективно-интервенционным. В шести исследованиях сообщалось о переносе свежих эмбрионов, а в 11 исследованиях - о переносе замороженных эмбрионов. В трех исследованиях сообщалось о переносе как свежих, так и замороженных эмбрионов. Все исследования имели низкий риск необъективности.</w:t>
      </w:r>
    </w:p>
    <w:p w14:paraId="42CAF76E" w14:textId="77777777" w:rsidR="0046192A" w:rsidRPr="00916B3A" w:rsidRDefault="0046192A" w:rsidP="000B7B11">
      <w:pPr>
        <w:spacing w:after="0" w:line="240" w:lineRule="auto"/>
        <w:ind w:firstLine="567"/>
        <w:jc w:val="both"/>
        <w:rPr>
          <w:rFonts w:ascii="Times New Roman" w:hAnsi="Times New Roman" w:cs="Times New Roman"/>
          <w:sz w:val="28"/>
          <w:szCs w:val="28"/>
          <w:lang w:val="kk-KZ"/>
        </w:rPr>
      </w:pPr>
    </w:p>
    <w:p w14:paraId="7F8310CC" w14:textId="45CA5D50" w:rsidR="0046192A" w:rsidRPr="00916B3A" w:rsidRDefault="00021B57" w:rsidP="002635DA">
      <w:pPr>
        <w:spacing w:after="0" w:line="240" w:lineRule="auto"/>
        <w:jc w:val="center"/>
        <w:rPr>
          <w:rFonts w:ascii="Times New Roman" w:hAnsi="Times New Roman" w:cs="Times New Roman"/>
          <w:sz w:val="28"/>
          <w:szCs w:val="28"/>
          <w:lang w:val="kk-KZ"/>
        </w:rPr>
      </w:pPr>
      <w:r w:rsidRPr="00916B3A">
        <w:rPr>
          <w:rFonts w:ascii="Times New Roman" w:hAnsi="Times New Roman" w:cs="Times New Roman"/>
          <w:noProof/>
          <w:sz w:val="28"/>
          <w:szCs w:val="28"/>
          <w:lang w:eastAsia="ru-RU"/>
        </w:rPr>
        <w:drawing>
          <wp:inline distT="0" distB="0" distL="0" distR="0" wp14:anchorId="7F6AA78A" wp14:editId="4AEB1157">
            <wp:extent cx="5504507" cy="4227969"/>
            <wp:effectExtent l="0" t="0" r="1270" b="127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5509168" cy="4231549"/>
                    </a:xfrm>
                    <a:prstGeom prst="rect">
                      <a:avLst/>
                    </a:prstGeom>
                  </pic:spPr>
                </pic:pic>
              </a:graphicData>
            </a:graphic>
          </wp:inline>
        </w:drawing>
      </w:r>
    </w:p>
    <w:p w14:paraId="62285A25" w14:textId="77777777" w:rsidR="0046192A" w:rsidRPr="00916B3A" w:rsidRDefault="0046192A" w:rsidP="000B7B11">
      <w:pPr>
        <w:spacing w:after="0" w:line="240" w:lineRule="auto"/>
        <w:ind w:firstLine="567"/>
        <w:jc w:val="both"/>
        <w:rPr>
          <w:rFonts w:ascii="Times New Roman" w:hAnsi="Times New Roman" w:cs="Times New Roman"/>
          <w:sz w:val="28"/>
          <w:szCs w:val="28"/>
          <w:lang w:val="kk-KZ"/>
        </w:rPr>
      </w:pPr>
    </w:p>
    <w:p w14:paraId="411716FB" w14:textId="2121B588" w:rsidR="0046192A" w:rsidRPr="00916B3A" w:rsidRDefault="00CD5DCC" w:rsidP="000B7B11">
      <w:pPr>
        <w:spacing w:after="0" w:line="240" w:lineRule="auto"/>
        <w:jc w:val="center"/>
        <w:rPr>
          <w:rFonts w:ascii="Times New Roman" w:hAnsi="Times New Roman" w:cs="Times New Roman"/>
          <w:sz w:val="28"/>
          <w:szCs w:val="28"/>
          <w:lang w:val="kk-KZ"/>
        </w:rPr>
      </w:pPr>
      <w:r w:rsidRPr="00916B3A">
        <w:rPr>
          <w:rFonts w:ascii="Times New Roman" w:hAnsi="Times New Roman" w:cs="Times New Roman"/>
          <w:sz w:val="28"/>
          <w:szCs w:val="28"/>
          <w:lang w:val="kk-KZ"/>
        </w:rPr>
        <w:t>Рисунок 3</w:t>
      </w:r>
      <w:r w:rsidR="00F17116" w:rsidRPr="00916B3A">
        <w:rPr>
          <w:rFonts w:ascii="Times New Roman" w:hAnsi="Times New Roman" w:cs="Times New Roman"/>
          <w:sz w:val="28"/>
          <w:szCs w:val="28"/>
          <w:lang w:val="kk-KZ"/>
        </w:rPr>
        <w:t xml:space="preserve"> - </w:t>
      </w:r>
      <w:r w:rsidR="0046192A" w:rsidRPr="00916B3A">
        <w:rPr>
          <w:rFonts w:ascii="Times New Roman" w:hAnsi="Times New Roman" w:cs="Times New Roman"/>
          <w:sz w:val="28"/>
          <w:szCs w:val="28"/>
          <w:lang w:val="kk-KZ"/>
        </w:rPr>
        <w:t>Блок-схема отбора исследований</w:t>
      </w:r>
    </w:p>
    <w:p w14:paraId="2DD97759" w14:textId="77777777" w:rsidR="0046192A" w:rsidRPr="00916B3A" w:rsidRDefault="0046192A" w:rsidP="000B7B11">
      <w:pPr>
        <w:spacing w:after="0" w:line="240" w:lineRule="auto"/>
        <w:ind w:firstLine="567"/>
        <w:jc w:val="both"/>
        <w:rPr>
          <w:rFonts w:ascii="Times New Roman" w:hAnsi="Times New Roman" w:cs="Times New Roman"/>
          <w:b/>
          <w:sz w:val="28"/>
          <w:szCs w:val="28"/>
        </w:rPr>
      </w:pPr>
    </w:p>
    <w:p w14:paraId="28F7AF32" w14:textId="05907BEF" w:rsidR="0046192A" w:rsidRPr="00916B3A" w:rsidRDefault="0046192A" w:rsidP="000B7B11">
      <w:pPr>
        <w:spacing w:after="0" w:line="240" w:lineRule="auto"/>
        <w:ind w:firstLine="567"/>
        <w:jc w:val="both"/>
        <w:rPr>
          <w:rFonts w:ascii="Times New Roman" w:hAnsi="Times New Roman" w:cs="Times New Roman"/>
          <w:sz w:val="28"/>
          <w:szCs w:val="28"/>
        </w:rPr>
      </w:pPr>
      <w:r w:rsidRPr="00916B3A">
        <w:rPr>
          <w:rFonts w:ascii="Times New Roman" w:eastAsia="Arial Unicode MS" w:hAnsi="Times New Roman" w:cs="Times New Roman"/>
          <w:color w:val="000000"/>
          <w:sz w:val="28"/>
          <w:szCs w:val="28"/>
          <w:u w:color="000000"/>
          <w:bdr w:val="nil"/>
        </w:rPr>
        <w:t xml:space="preserve">Мониторинг качества программы ЭКО проведен </w:t>
      </w:r>
      <w:r w:rsidRPr="00916B3A">
        <w:rPr>
          <w:rFonts w:ascii="Times New Roman" w:hAnsi="Times New Roman" w:cs="Times New Roman"/>
          <w:sz w:val="28"/>
          <w:szCs w:val="28"/>
          <w:u w:color="000000"/>
        </w:rPr>
        <w:t xml:space="preserve">в </w:t>
      </w:r>
      <w:r w:rsidRPr="00916B3A">
        <w:rPr>
          <w:rFonts w:ascii="Times New Roman" w:eastAsia="Arial Unicode MS" w:hAnsi="Times New Roman" w:cs="Times New Roman"/>
          <w:color w:val="000000"/>
          <w:sz w:val="28"/>
          <w:szCs w:val="28"/>
          <w:u w:color="000000"/>
          <w:bdr w:val="nil"/>
        </w:rPr>
        <w:t>Научно</w:t>
      </w:r>
      <w:r w:rsidRPr="00916B3A">
        <w:rPr>
          <w:rFonts w:ascii="Times New Roman" w:hAnsi="Times New Roman" w:cs="Times New Roman"/>
          <w:sz w:val="28"/>
          <w:szCs w:val="28"/>
          <w:u w:color="000000"/>
        </w:rPr>
        <w:t>м</w:t>
      </w:r>
      <w:r w:rsidRPr="00916B3A">
        <w:rPr>
          <w:rFonts w:ascii="Times New Roman" w:eastAsia="Arial Unicode MS" w:hAnsi="Times New Roman" w:cs="Times New Roman"/>
          <w:color w:val="000000"/>
          <w:sz w:val="28"/>
          <w:szCs w:val="28"/>
          <w:u w:color="000000"/>
          <w:bdr w:val="nil"/>
        </w:rPr>
        <w:t xml:space="preserve"> центр</w:t>
      </w:r>
      <w:r w:rsidRPr="00916B3A">
        <w:rPr>
          <w:rFonts w:ascii="Times New Roman" w:hAnsi="Times New Roman" w:cs="Times New Roman"/>
          <w:sz w:val="28"/>
          <w:szCs w:val="28"/>
          <w:u w:color="000000"/>
        </w:rPr>
        <w:t>е</w:t>
      </w:r>
      <w:r w:rsidRPr="00916B3A">
        <w:rPr>
          <w:rFonts w:ascii="Times New Roman" w:eastAsia="Arial Unicode MS" w:hAnsi="Times New Roman" w:cs="Times New Roman"/>
          <w:color w:val="000000"/>
          <w:sz w:val="28"/>
          <w:szCs w:val="28"/>
          <w:u w:color="000000"/>
          <w:bdr w:val="nil"/>
        </w:rPr>
        <w:t xml:space="preserve"> акушерства, гинекологии и перинатологии</w:t>
      </w:r>
      <w:r w:rsidRPr="00916B3A">
        <w:rPr>
          <w:rFonts w:ascii="Times New Roman" w:hAnsi="Times New Roman" w:cs="Times New Roman"/>
          <w:sz w:val="28"/>
          <w:szCs w:val="28"/>
          <w:u w:color="000000"/>
        </w:rPr>
        <w:t xml:space="preserve"> (</w:t>
      </w:r>
      <w:r w:rsidRPr="00916B3A">
        <w:rPr>
          <w:rFonts w:ascii="Times New Roman" w:eastAsia="Arial Unicode MS" w:hAnsi="Times New Roman" w:cs="Times New Roman"/>
          <w:color w:val="000000"/>
          <w:sz w:val="28"/>
          <w:szCs w:val="28"/>
          <w:u w:color="000000"/>
          <w:bdr w:val="nil"/>
        </w:rPr>
        <w:t>НЦАГП</w:t>
      </w:r>
      <w:r w:rsidRPr="00916B3A">
        <w:rPr>
          <w:rFonts w:ascii="Times New Roman" w:hAnsi="Times New Roman" w:cs="Times New Roman"/>
          <w:sz w:val="28"/>
          <w:szCs w:val="28"/>
          <w:u w:color="000000"/>
        </w:rPr>
        <w:t>) г. Алматы, Казахстан</w:t>
      </w:r>
      <w:r w:rsidRPr="00916B3A">
        <w:rPr>
          <w:rFonts w:ascii="Times New Roman" w:eastAsia="Arial Unicode MS" w:hAnsi="Times New Roman" w:cs="Times New Roman"/>
          <w:color w:val="000000"/>
          <w:sz w:val="28"/>
          <w:szCs w:val="28"/>
          <w:u w:color="000000"/>
          <w:bdr w:val="nil"/>
        </w:rPr>
        <w:t xml:space="preserve"> у 401 пациентки в 2020-2022 гг., в том числе в 2020 г – у </w:t>
      </w:r>
      <w:r w:rsidRPr="00916B3A">
        <w:rPr>
          <w:rFonts w:ascii="Times New Roman" w:hAnsi="Times New Roman" w:cs="Times New Roman"/>
          <w:sz w:val="28"/>
          <w:szCs w:val="28"/>
          <w:u w:color="000000"/>
        </w:rPr>
        <w:t xml:space="preserve">58, </w:t>
      </w:r>
      <w:r w:rsidRPr="00916B3A">
        <w:rPr>
          <w:rFonts w:ascii="Times New Roman" w:eastAsia="Arial Unicode MS" w:hAnsi="Times New Roman" w:cs="Times New Roman"/>
          <w:color w:val="000000"/>
          <w:sz w:val="28"/>
          <w:szCs w:val="28"/>
          <w:u w:color="000000"/>
          <w:bdr w:val="nil"/>
        </w:rPr>
        <w:t xml:space="preserve">2021 г. - </w:t>
      </w:r>
      <w:r w:rsidRPr="00916B3A">
        <w:rPr>
          <w:rFonts w:ascii="Times New Roman" w:hAnsi="Times New Roman" w:cs="Times New Roman"/>
          <w:sz w:val="28"/>
          <w:szCs w:val="28"/>
          <w:u w:color="000000"/>
        </w:rPr>
        <w:t>у 133, 2022 г. – у 210 пациенток</w:t>
      </w:r>
      <w:r w:rsidRPr="00916B3A">
        <w:rPr>
          <w:rFonts w:ascii="Times New Roman" w:eastAsia="Arial Unicode MS" w:hAnsi="Times New Roman" w:cs="Times New Roman"/>
          <w:color w:val="000000"/>
          <w:sz w:val="28"/>
          <w:szCs w:val="28"/>
          <w:u w:color="000000"/>
          <w:bdr w:val="nil"/>
        </w:rPr>
        <w:t>. Мониторинг проводили по чек-листу, включающему следующие параметры: возраст, причина бесплодия, данны</w:t>
      </w:r>
      <w:r w:rsidRPr="00916B3A">
        <w:rPr>
          <w:rFonts w:ascii="Times New Roman" w:hAnsi="Times New Roman" w:cs="Times New Roman"/>
          <w:sz w:val="28"/>
          <w:szCs w:val="28"/>
          <w:u w:color="000000"/>
        </w:rPr>
        <w:t>е</w:t>
      </w:r>
      <w:r w:rsidRPr="00916B3A">
        <w:rPr>
          <w:rFonts w:ascii="Times New Roman" w:eastAsia="Arial Unicode MS" w:hAnsi="Times New Roman" w:cs="Times New Roman"/>
          <w:color w:val="000000"/>
          <w:sz w:val="28"/>
          <w:szCs w:val="28"/>
          <w:u w:color="000000"/>
          <w:bdr w:val="nil"/>
        </w:rPr>
        <w:t xml:space="preserve"> </w:t>
      </w:r>
      <w:r w:rsidRPr="00916B3A">
        <w:rPr>
          <w:rFonts w:ascii="Times New Roman" w:hAnsi="Times New Roman" w:cs="Times New Roman"/>
          <w:color w:val="333333"/>
          <w:sz w:val="28"/>
          <w:szCs w:val="28"/>
          <w:shd w:val="clear" w:color="auto" w:fill="FFFFFF"/>
        </w:rPr>
        <w:t xml:space="preserve">акушерско-гинекологического анамнеза, лабораторно-инструментального исследования, спермограммы, процедуры ЭКО, результативность программы ЭКО. </w:t>
      </w:r>
      <w:r w:rsidRPr="00916B3A">
        <w:rPr>
          <w:rFonts w:ascii="Times New Roman" w:hAnsi="Times New Roman" w:cs="Times New Roman"/>
          <w:sz w:val="28"/>
          <w:szCs w:val="28"/>
        </w:rPr>
        <w:t xml:space="preserve">Полученные результаты были обработаны c помощью программы </w:t>
      </w:r>
      <w:r w:rsidRPr="00916B3A">
        <w:rPr>
          <w:rFonts w:ascii="Times New Roman" w:hAnsi="Times New Roman" w:cs="Times New Roman"/>
          <w:sz w:val="28"/>
          <w:szCs w:val="28"/>
          <w:lang w:val="en-US"/>
        </w:rPr>
        <w:t>Microsoft</w:t>
      </w:r>
      <w:r w:rsidRPr="00916B3A">
        <w:rPr>
          <w:rFonts w:ascii="Times New Roman" w:hAnsi="Times New Roman" w:cs="Times New Roman"/>
          <w:sz w:val="28"/>
          <w:szCs w:val="28"/>
        </w:rPr>
        <w:t xml:space="preserve"> </w:t>
      </w:r>
      <w:r w:rsidRPr="00916B3A">
        <w:rPr>
          <w:rFonts w:ascii="Times New Roman" w:hAnsi="Times New Roman" w:cs="Times New Roman"/>
          <w:sz w:val="28"/>
          <w:szCs w:val="28"/>
          <w:lang w:val="en-US"/>
        </w:rPr>
        <w:t>Office</w:t>
      </w:r>
      <w:r w:rsidRPr="00916B3A">
        <w:rPr>
          <w:rFonts w:ascii="Times New Roman" w:hAnsi="Times New Roman" w:cs="Times New Roman"/>
          <w:sz w:val="28"/>
          <w:szCs w:val="28"/>
        </w:rPr>
        <w:t xml:space="preserve"> </w:t>
      </w:r>
      <w:r w:rsidRPr="00916B3A">
        <w:rPr>
          <w:rFonts w:ascii="Times New Roman" w:hAnsi="Times New Roman" w:cs="Times New Roman"/>
          <w:sz w:val="28"/>
          <w:szCs w:val="28"/>
          <w:lang w:val="en-US"/>
        </w:rPr>
        <w:t>Excel</w:t>
      </w:r>
      <w:r w:rsidRPr="00916B3A">
        <w:rPr>
          <w:rFonts w:ascii="Times New Roman" w:hAnsi="Times New Roman" w:cs="Times New Roman"/>
          <w:sz w:val="28"/>
          <w:szCs w:val="28"/>
        </w:rPr>
        <w:t xml:space="preserve"> 2016. Различия между относительными величинами сравниваемых групп оценивали с помощью критерия χ</w:t>
      </w:r>
      <w:r w:rsidRPr="00916B3A">
        <w:rPr>
          <w:rFonts w:ascii="Times New Roman" w:hAnsi="Times New Roman" w:cs="Times New Roman"/>
          <w:sz w:val="28"/>
          <w:szCs w:val="28"/>
          <w:vertAlign w:val="superscript"/>
        </w:rPr>
        <w:t>2</w:t>
      </w:r>
      <w:r w:rsidRPr="00916B3A">
        <w:rPr>
          <w:rFonts w:ascii="Times New Roman" w:hAnsi="Times New Roman" w:cs="Times New Roman"/>
          <w:sz w:val="28"/>
          <w:szCs w:val="28"/>
        </w:rPr>
        <w:t xml:space="preserve"> при уровне значимости </w:t>
      </w:r>
      <w:r w:rsidRPr="00916B3A">
        <w:rPr>
          <w:rFonts w:ascii="Times New Roman" w:eastAsia="Arial Unicode MS" w:hAnsi="Times New Roman" w:cs="Times New Roman"/>
          <w:color w:val="000000"/>
          <w:sz w:val="28"/>
          <w:szCs w:val="28"/>
          <w:u w:color="000000"/>
          <w:bdr w:val="nil"/>
        </w:rPr>
        <w:t>р-</w:t>
      </w:r>
      <w:r w:rsidRPr="00916B3A">
        <w:rPr>
          <w:rFonts w:ascii="Times New Roman" w:eastAsia="Arial Unicode MS" w:hAnsi="Times New Roman" w:cs="Times New Roman"/>
          <w:color w:val="000000"/>
          <w:sz w:val="28"/>
          <w:szCs w:val="28"/>
          <w:u w:color="000000"/>
          <w:bdr w:val="nil"/>
          <w:lang w:val="en-US"/>
        </w:rPr>
        <w:t>value</w:t>
      </w:r>
      <w:r w:rsidRPr="00916B3A">
        <w:rPr>
          <w:rFonts w:ascii="Times New Roman" w:eastAsia="Arial Unicode MS" w:hAnsi="Times New Roman" w:cs="Times New Roman"/>
          <w:color w:val="000000"/>
          <w:sz w:val="28"/>
          <w:szCs w:val="28"/>
          <w:u w:color="000000"/>
          <w:bdr w:val="nil"/>
        </w:rPr>
        <w:t xml:space="preserve"> </w:t>
      </w:r>
      <w:proofErr w:type="gramStart"/>
      <w:r w:rsidRPr="00916B3A">
        <w:rPr>
          <w:rFonts w:ascii="Times New Roman" w:eastAsia="Arial Unicode MS" w:hAnsi="Times New Roman" w:cs="Times New Roman"/>
          <w:color w:val="000000"/>
          <w:sz w:val="28"/>
          <w:szCs w:val="28"/>
          <w:u w:color="000000"/>
          <w:bdr w:val="nil"/>
        </w:rPr>
        <w:t xml:space="preserve">&lt; </w:t>
      </w:r>
      <w:r w:rsidRPr="00916B3A">
        <w:rPr>
          <w:rFonts w:ascii="Times New Roman" w:hAnsi="Times New Roman" w:cs="Times New Roman"/>
          <w:sz w:val="28"/>
          <w:szCs w:val="28"/>
        </w:rPr>
        <w:t>0</w:t>
      </w:r>
      <w:proofErr w:type="gramEnd"/>
      <w:r w:rsidRPr="00916B3A">
        <w:rPr>
          <w:rFonts w:ascii="Times New Roman" w:hAnsi="Times New Roman" w:cs="Times New Roman"/>
          <w:sz w:val="28"/>
          <w:szCs w:val="28"/>
        </w:rPr>
        <w:t>,05.</w:t>
      </w:r>
    </w:p>
    <w:p w14:paraId="4108EB01" w14:textId="3BF1AE15" w:rsidR="0046192A" w:rsidRPr="00916B3A" w:rsidRDefault="0046192A" w:rsidP="000B7B11">
      <w:pPr>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Р</w:t>
      </w:r>
      <w:r w:rsidRPr="00916B3A">
        <w:rPr>
          <w:rFonts w:ascii="Times New Roman" w:hAnsi="Times New Roman" w:cs="Times New Roman"/>
          <w:bCs/>
          <w:color w:val="000000" w:themeColor="text1"/>
          <w:sz w:val="28"/>
          <w:szCs w:val="28"/>
        </w:rPr>
        <w:t>етроспективный анализ 279 женщин, которым были проведены процедуры ЭКО-ИКСИ в свежем цикле в НЦАГП г. Алматы, Казахстан в период с 1 января 2021 года по 30 июня 2023 года. Пациентки были набраны в рамках расширения государственной программы обязательного социального медицинского страхования «Ансаган саби».</w:t>
      </w:r>
      <w:r w:rsidRPr="00916B3A">
        <w:rPr>
          <w:rFonts w:ascii="Times New Roman" w:hAnsi="Times New Roman" w:cs="Times New Roman"/>
          <w:b/>
          <w:bCs/>
          <w:color w:val="000000" w:themeColor="text1"/>
          <w:sz w:val="28"/>
          <w:szCs w:val="28"/>
        </w:rPr>
        <w:t xml:space="preserve"> </w:t>
      </w:r>
      <w:r w:rsidRPr="00916B3A">
        <w:rPr>
          <w:rFonts w:ascii="Times New Roman" w:hAnsi="Times New Roman" w:cs="Times New Roman"/>
          <w:color w:val="000000" w:themeColor="text1"/>
          <w:sz w:val="28"/>
          <w:szCs w:val="28"/>
        </w:rPr>
        <w:t xml:space="preserve">Критерии отбора на амбулаторном этапе включали строгую оценку возраста, истории болезни, овариального резерва и других факторов риска (таблица 2). </w:t>
      </w:r>
    </w:p>
    <w:p w14:paraId="0E2C570A" w14:textId="77777777" w:rsidR="0046192A" w:rsidRPr="00916B3A" w:rsidRDefault="0046192A" w:rsidP="000B7B11">
      <w:pPr>
        <w:spacing w:after="0" w:line="240" w:lineRule="auto"/>
        <w:ind w:firstLine="567"/>
        <w:jc w:val="both"/>
        <w:rPr>
          <w:rFonts w:ascii="Times New Roman" w:hAnsi="Times New Roman" w:cs="Times New Roman"/>
          <w:color w:val="000000" w:themeColor="text1"/>
          <w:sz w:val="28"/>
          <w:szCs w:val="28"/>
        </w:rPr>
      </w:pPr>
    </w:p>
    <w:p w14:paraId="5613CDA8" w14:textId="727490B3" w:rsidR="0046192A" w:rsidRPr="00916B3A" w:rsidRDefault="0046192A" w:rsidP="000B7B11">
      <w:pPr>
        <w:spacing w:after="0" w:line="240" w:lineRule="auto"/>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Таблица 2</w:t>
      </w:r>
      <w:r w:rsidR="00FE7F79">
        <w:rPr>
          <w:rFonts w:ascii="Times New Roman" w:hAnsi="Times New Roman" w:cs="Times New Roman"/>
          <w:color w:val="000000" w:themeColor="text1"/>
          <w:sz w:val="28"/>
          <w:szCs w:val="28"/>
        </w:rPr>
        <w:t xml:space="preserve"> -</w:t>
      </w:r>
      <w:r w:rsidRPr="00916B3A">
        <w:rPr>
          <w:rFonts w:ascii="Times New Roman" w:hAnsi="Times New Roman" w:cs="Times New Roman"/>
          <w:color w:val="000000" w:themeColor="text1"/>
          <w:sz w:val="28"/>
          <w:szCs w:val="28"/>
        </w:rPr>
        <w:t xml:space="preserve"> Критерии включения в программу </w:t>
      </w:r>
    </w:p>
    <w:p w14:paraId="5E7EF428" w14:textId="77777777" w:rsidR="00AC6EDE" w:rsidRPr="00916B3A" w:rsidRDefault="00AC6EDE" w:rsidP="000B7B11">
      <w:pPr>
        <w:spacing w:after="0" w:line="240" w:lineRule="auto"/>
        <w:jc w:val="both"/>
        <w:rPr>
          <w:rFonts w:ascii="Times New Roman" w:hAnsi="Times New Roman" w:cs="Times New Roman"/>
          <w:color w:val="000000" w:themeColor="text1"/>
          <w:sz w:val="28"/>
          <w:szCs w:val="28"/>
        </w:rPr>
      </w:pPr>
    </w:p>
    <w:tbl>
      <w:tblPr>
        <w:tblStyle w:val="ae"/>
        <w:tblW w:w="9634" w:type="dxa"/>
        <w:tblLook w:val="04A0" w:firstRow="1" w:lastRow="0" w:firstColumn="1" w:lastColumn="0" w:noHBand="0" w:noVBand="1"/>
      </w:tblPr>
      <w:tblGrid>
        <w:gridCol w:w="3823"/>
        <w:gridCol w:w="5811"/>
      </w:tblGrid>
      <w:tr w:rsidR="0046192A" w:rsidRPr="00FE7F79" w14:paraId="1AE040EF" w14:textId="77777777" w:rsidTr="00FE7F79">
        <w:tc>
          <w:tcPr>
            <w:tcW w:w="3823" w:type="dxa"/>
          </w:tcPr>
          <w:p w14:paraId="50C59A9E" w14:textId="77777777" w:rsidR="0046192A" w:rsidRPr="00FE7F79" w:rsidRDefault="0046192A" w:rsidP="000B7B11">
            <w:pPr>
              <w:pStyle w:val="a9"/>
              <w:spacing w:before="0" w:beforeAutospacing="0" w:after="0" w:afterAutospacing="0"/>
              <w:jc w:val="both"/>
              <w:rPr>
                <w:color w:val="000000" w:themeColor="text1"/>
                <w:lang w:eastAsia="en-US"/>
              </w:rPr>
            </w:pPr>
            <w:r w:rsidRPr="00FE7F79">
              <w:rPr>
                <w:color w:val="000000" w:themeColor="text1"/>
                <w:lang w:val="kk-KZ"/>
              </w:rPr>
              <w:t>Факторы</w:t>
            </w:r>
          </w:p>
        </w:tc>
        <w:tc>
          <w:tcPr>
            <w:tcW w:w="5811" w:type="dxa"/>
          </w:tcPr>
          <w:p w14:paraId="47C99184" w14:textId="77777777" w:rsidR="0046192A" w:rsidRPr="00FE7F79" w:rsidRDefault="0046192A" w:rsidP="000B7B11">
            <w:pPr>
              <w:pStyle w:val="a9"/>
              <w:spacing w:before="0" w:beforeAutospacing="0" w:after="0" w:afterAutospacing="0"/>
              <w:jc w:val="both"/>
              <w:rPr>
                <w:color w:val="000000" w:themeColor="text1"/>
                <w:lang w:eastAsia="en-US"/>
              </w:rPr>
            </w:pPr>
            <w:r w:rsidRPr="00FE7F79">
              <w:rPr>
                <w:color w:val="000000" w:themeColor="text1"/>
              </w:rPr>
              <w:t>Критерии отбора</w:t>
            </w:r>
          </w:p>
        </w:tc>
      </w:tr>
      <w:tr w:rsidR="0046192A" w:rsidRPr="00FE7F79" w14:paraId="2D48680E" w14:textId="77777777" w:rsidTr="00FE7F79">
        <w:tc>
          <w:tcPr>
            <w:tcW w:w="3823" w:type="dxa"/>
          </w:tcPr>
          <w:p w14:paraId="2827CB58"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rPr>
              <w:t>Возраст (лет)</w:t>
            </w:r>
          </w:p>
        </w:tc>
        <w:tc>
          <w:tcPr>
            <w:tcW w:w="5811" w:type="dxa"/>
          </w:tcPr>
          <w:p w14:paraId="19B0C37E"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lang w:val="it-IT"/>
              </w:rPr>
              <w:t>18-42</w:t>
            </w:r>
          </w:p>
        </w:tc>
      </w:tr>
      <w:tr w:rsidR="0046192A" w:rsidRPr="00FE7F79" w14:paraId="4D37CD7F" w14:textId="77777777" w:rsidTr="00FE7F79">
        <w:tc>
          <w:tcPr>
            <w:tcW w:w="3823" w:type="dxa"/>
          </w:tcPr>
          <w:p w14:paraId="4DCCAC2A" w14:textId="03C63E3D"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rPr>
              <w:t>АМГ, нг/мл</w:t>
            </w:r>
          </w:p>
        </w:tc>
        <w:tc>
          <w:tcPr>
            <w:tcW w:w="5811" w:type="dxa"/>
          </w:tcPr>
          <w:p w14:paraId="3FF5A13F"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lang w:val="it-IT"/>
              </w:rPr>
              <w:t xml:space="preserve">&gt;1.0 </w:t>
            </w:r>
          </w:p>
        </w:tc>
      </w:tr>
      <w:tr w:rsidR="0046192A" w:rsidRPr="00FE7F79" w14:paraId="408F91FF" w14:textId="77777777" w:rsidTr="00FE7F79">
        <w:tc>
          <w:tcPr>
            <w:tcW w:w="3823" w:type="dxa"/>
          </w:tcPr>
          <w:p w14:paraId="70D35248"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rPr>
              <w:t>ФСГ, на 2-5 день цикла, мМЕ/мл</w:t>
            </w:r>
          </w:p>
        </w:tc>
        <w:tc>
          <w:tcPr>
            <w:tcW w:w="5811" w:type="dxa"/>
          </w:tcPr>
          <w:p w14:paraId="7608897E"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lang w:val="it-IT"/>
              </w:rPr>
              <w:t>&lt;12</w:t>
            </w:r>
          </w:p>
        </w:tc>
      </w:tr>
      <w:tr w:rsidR="0046192A" w:rsidRPr="00FE7F79" w14:paraId="7E4B7F98" w14:textId="77777777" w:rsidTr="00FE7F79">
        <w:tc>
          <w:tcPr>
            <w:tcW w:w="3823" w:type="dxa"/>
          </w:tcPr>
          <w:p w14:paraId="5EE0BAC7"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rPr>
              <w:t>Количество антральных фолликулов в каждом яичнике (на 2-5 день цикла)</w:t>
            </w:r>
          </w:p>
        </w:tc>
        <w:tc>
          <w:tcPr>
            <w:tcW w:w="5811" w:type="dxa"/>
          </w:tcPr>
          <w:p w14:paraId="6E6A47A5"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lang w:val="it-IT"/>
              </w:rPr>
              <w:t>≥3</w:t>
            </w:r>
          </w:p>
        </w:tc>
      </w:tr>
      <w:tr w:rsidR="0046192A" w:rsidRPr="00FE7F79" w14:paraId="4164D814" w14:textId="77777777" w:rsidTr="00FE7F79">
        <w:tc>
          <w:tcPr>
            <w:tcW w:w="3823" w:type="dxa"/>
          </w:tcPr>
          <w:p w14:paraId="316AF7C2"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rPr>
              <w:t>Количество антральных фолликулов в яичниках, если есть только один (на 2-5 день цикла)</w:t>
            </w:r>
          </w:p>
        </w:tc>
        <w:tc>
          <w:tcPr>
            <w:tcW w:w="5811" w:type="dxa"/>
          </w:tcPr>
          <w:p w14:paraId="6FAFABF5"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lang w:val="it-IT"/>
              </w:rPr>
              <w:t>5-6</w:t>
            </w:r>
          </w:p>
        </w:tc>
      </w:tr>
      <w:tr w:rsidR="0046192A" w:rsidRPr="00FE7F79" w14:paraId="4157FDD5" w14:textId="77777777" w:rsidTr="00FE7F79">
        <w:tc>
          <w:tcPr>
            <w:tcW w:w="3823" w:type="dxa"/>
          </w:tcPr>
          <w:p w14:paraId="54C25DB1"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rPr>
              <w:t>Отсутствие следующих факторов риска, снижающих наступление беременности</w:t>
            </w:r>
          </w:p>
        </w:tc>
        <w:tc>
          <w:tcPr>
            <w:tcW w:w="5811" w:type="dxa"/>
          </w:tcPr>
          <w:p w14:paraId="3F9134C1" w14:textId="77777777" w:rsidR="0046192A" w:rsidRPr="00FE7F79" w:rsidRDefault="0046192A" w:rsidP="00FE7F79">
            <w:pPr>
              <w:pStyle w:val="a6"/>
              <w:numPr>
                <w:ilvl w:val="0"/>
                <w:numId w:val="14"/>
              </w:numPr>
              <w:tabs>
                <w:tab w:val="clear" w:pos="720"/>
                <w:tab w:val="num" w:pos="184"/>
              </w:tabs>
              <w:ind w:left="0" w:firstLine="0"/>
              <w:jc w:val="both"/>
              <w:rPr>
                <w:rFonts w:ascii="Times New Roman" w:hAnsi="Times New Roman" w:cs="Times New Roman"/>
                <w:sz w:val="24"/>
                <w:szCs w:val="24"/>
              </w:rPr>
            </w:pPr>
            <w:r w:rsidRPr="00FE7F79">
              <w:rPr>
                <w:rFonts w:ascii="Times New Roman" w:hAnsi="Times New Roman" w:cs="Times New Roman"/>
                <w:color w:val="000000" w:themeColor="text1"/>
                <w:sz w:val="24"/>
                <w:szCs w:val="24"/>
              </w:rPr>
              <w:t>аномалии развития внутренних репродуктивных органов, препятствующие имплантации или развитию беременности</w:t>
            </w:r>
          </w:p>
          <w:p w14:paraId="40A1A7B4" w14:textId="77777777" w:rsidR="0046192A" w:rsidRPr="00FE7F79" w:rsidRDefault="0046192A" w:rsidP="00FE7F79">
            <w:pPr>
              <w:pStyle w:val="a6"/>
              <w:numPr>
                <w:ilvl w:val="0"/>
                <w:numId w:val="14"/>
              </w:numPr>
              <w:tabs>
                <w:tab w:val="clear" w:pos="720"/>
                <w:tab w:val="num" w:pos="184"/>
              </w:tabs>
              <w:ind w:left="0" w:firstLine="0"/>
              <w:jc w:val="both"/>
              <w:rPr>
                <w:rFonts w:ascii="Times New Roman" w:hAnsi="Times New Roman" w:cs="Times New Roman"/>
                <w:sz w:val="24"/>
                <w:szCs w:val="24"/>
              </w:rPr>
            </w:pPr>
            <w:r w:rsidRPr="00FE7F79">
              <w:rPr>
                <w:rFonts w:ascii="Times New Roman" w:hAnsi="Times New Roman" w:cs="Times New Roman"/>
                <w:color w:val="000000" w:themeColor="text1"/>
                <w:sz w:val="24"/>
                <w:szCs w:val="24"/>
              </w:rPr>
              <w:t xml:space="preserve">Гидросальпинкс </w:t>
            </w:r>
          </w:p>
          <w:p w14:paraId="14AB8B32" w14:textId="77777777" w:rsidR="0046192A" w:rsidRPr="00FE7F79" w:rsidRDefault="0046192A" w:rsidP="00FE7F79">
            <w:pPr>
              <w:pStyle w:val="a6"/>
              <w:numPr>
                <w:ilvl w:val="0"/>
                <w:numId w:val="14"/>
              </w:numPr>
              <w:tabs>
                <w:tab w:val="clear" w:pos="720"/>
                <w:tab w:val="num" w:pos="184"/>
              </w:tabs>
              <w:ind w:left="0" w:firstLine="0"/>
              <w:jc w:val="both"/>
              <w:rPr>
                <w:rFonts w:ascii="Times New Roman" w:hAnsi="Times New Roman" w:cs="Times New Roman"/>
                <w:sz w:val="24"/>
                <w:szCs w:val="24"/>
              </w:rPr>
            </w:pPr>
            <w:r w:rsidRPr="00FE7F79">
              <w:rPr>
                <w:rFonts w:ascii="Times New Roman" w:hAnsi="Times New Roman" w:cs="Times New Roman"/>
                <w:color w:val="000000" w:themeColor="text1"/>
                <w:sz w:val="24"/>
                <w:szCs w:val="24"/>
              </w:rPr>
              <w:t xml:space="preserve">развитые спайки в полости матки </w:t>
            </w:r>
          </w:p>
          <w:p w14:paraId="1407B8BC" w14:textId="77777777" w:rsidR="0046192A" w:rsidRPr="00FE7F79" w:rsidRDefault="0046192A" w:rsidP="00FE7F79">
            <w:pPr>
              <w:pStyle w:val="a6"/>
              <w:numPr>
                <w:ilvl w:val="0"/>
                <w:numId w:val="14"/>
              </w:numPr>
              <w:tabs>
                <w:tab w:val="clear" w:pos="720"/>
                <w:tab w:val="num" w:pos="184"/>
              </w:tabs>
              <w:ind w:left="0" w:firstLine="0"/>
              <w:jc w:val="both"/>
              <w:rPr>
                <w:rFonts w:ascii="Times New Roman" w:hAnsi="Times New Roman" w:cs="Times New Roman"/>
                <w:color w:val="000000" w:themeColor="text1"/>
                <w:sz w:val="24"/>
                <w:szCs w:val="24"/>
              </w:rPr>
            </w:pPr>
            <w:r w:rsidRPr="00FE7F79">
              <w:rPr>
                <w:rFonts w:ascii="Times New Roman" w:hAnsi="Times New Roman" w:cs="Times New Roman"/>
                <w:color w:val="000000" w:themeColor="text1"/>
                <w:sz w:val="24"/>
                <w:szCs w:val="24"/>
              </w:rPr>
              <w:t>кисты яичников</w:t>
            </w:r>
          </w:p>
          <w:p w14:paraId="0746C749" w14:textId="77777777" w:rsidR="0046192A" w:rsidRPr="00FE7F79" w:rsidRDefault="0046192A" w:rsidP="00FE7F79">
            <w:pPr>
              <w:pStyle w:val="a6"/>
              <w:numPr>
                <w:ilvl w:val="0"/>
                <w:numId w:val="14"/>
              </w:numPr>
              <w:tabs>
                <w:tab w:val="clear" w:pos="720"/>
                <w:tab w:val="num" w:pos="184"/>
              </w:tabs>
              <w:ind w:left="0" w:firstLine="0"/>
              <w:jc w:val="both"/>
              <w:rPr>
                <w:rFonts w:ascii="Times New Roman" w:hAnsi="Times New Roman" w:cs="Times New Roman"/>
                <w:color w:val="000000" w:themeColor="text1"/>
                <w:sz w:val="24"/>
                <w:szCs w:val="24"/>
              </w:rPr>
            </w:pPr>
            <w:r w:rsidRPr="00FE7F79">
              <w:rPr>
                <w:rFonts w:ascii="Times New Roman" w:hAnsi="Times New Roman" w:cs="Times New Roman"/>
                <w:color w:val="000000" w:themeColor="text1"/>
                <w:sz w:val="24"/>
                <w:szCs w:val="24"/>
              </w:rPr>
              <w:t>необструктивная азооспермия</w:t>
            </w:r>
          </w:p>
        </w:tc>
      </w:tr>
      <w:tr w:rsidR="0046192A" w:rsidRPr="00FE7F79" w14:paraId="3D873819" w14:textId="77777777" w:rsidTr="00FE7F79">
        <w:tc>
          <w:tcPr>
            <w:tcW w:w="3823" w:type="dxa"/>
          </w:tcPr>
          <w:p w14:paraId="67B1A4B3" w14:textId="77777777" w:rsidR="0046192A" w:rsidRPr="00FE7F79" w:rsidRDefault="0046192A" w:rsidP="000B7B11">
            <w:pPr>
              <w:pStyle w:val="a9"/>
              <w:spacing w:before="0" w:beforeAutospacing="0" w:after="0" w:afterAutospacing="0"/>
              <w:contextualSpacing/>
              <w:jc w:val="both"/>
              <w:rPr>
                <w:color w:val="000000" w:themeColor="text1"/>
                <w:lang w:eastAsia="en-US"/>
              </w:rPr>
            </w:pPr>
            <w:r w:rsidRPr="00FE7F79">
              <w:rPr>
                <w:color w:val="000000" w:themeColor="text1"/>
              </w:rPr>
              <w:t>Бесплодие, вызванное мужскими факторами</w:t>
            </w:r>
          </w:p>
        </w:tc>
        <w:tc>
          <w:tcPr>
            <w:tcW w:w="5811" w:type="dxa"/>
          </w:tcPr>
          <w:p w14:paraId="25085C71" w14:textId="77777777" w:rsidR="0046192A" w:rsidRPr="00FE7F79" w:rsidRDefault="0046192A" w:rsidP="00FE7F79">
            <w:pPr>
              <w:pStyle w:val="a6"/>
              <w:numPr>
                <w:ilvl w:val="0"/>
                <w:numId w:val="15"/>
              </w:numPr>
              <w:tabs>
                <w:tab w:val="left" w:pos="184"/>
              </w:tabs>
              <w:ind w:left="0" w:firstLine="0"/>
              <w:jc w:val="both"/>
              <w:rPr>
                <w:rFonts w:ascii="Times New Roman" w:hAnsi="Times New Roman" w:cs="Times New Roman"/>
                <w:sz w:val="24"/>
                <w:szCs w:val="24"/>
              </w:rPr>
            </w:pPr>
            <w:r w:rsidRPr="00FE7F79">
              <w:rPr>
                <w:rFonts w:ascii="Times New Roman" w:hAnsi="Times New Roman" w:cs="Times New Roman"/>
                <w:color w:val="000000" w:themeColor="text1"/>
                <w:sz w:val="24"/>
                <w:szCs w:val="24"/>
              </w:rPr>
              <w:t>Олигозооспермия</w:t>
            </w:r>
          </w:p>
          <w:p w14:paraId="4CCF26BA" w14:textId="77777777" w:rsidR="0046192A" w:rsidRPr="00FE7F79" w:rsidRDefault="0046192A" w:rsidP="00FE7F79">
            <w:pPr>
              <w:pStyle w:val="a6"/>
              <w:numPr>
                <w:ilvl w:val="0"/>
                <w:numId w:val="15"/>
              </w:numPr>
              <w:tabs>
                <w:tab w:val="left" w:pos="184"/>
              </w:tabs>
              <w:ind w:left="0" w:firstLine="0"/>
              <w:jc w:val="both"/>
              <w:rPr>
                <w:rFonts w:ascii="Times New Roman" w:hAnsi="Times New Roman" w:cs="Times New Roman"/>
                <w:sz w:val="24"/>
                <w:szCs w:val="24"/>
              </w:rPr>
            </w:pPr>
            <w:r w:rsidRPr="00FE7F79">
              <w:rPr>
                <w:rFonts w:ascii="Times New Roman" w:hAnsi="Times New Roman" w:cs="Times New Roman"/>
                <w:color w:val="000000" w:themeColor="text1"/>
                <w:sz w:val="24"/>
                <w:szCs w:val="24"/>
              </w:rPr>
              <w:t>Астенозооспермия</w:t>
            </w:r>
          </w:p>
          <w:p w14:paraId="420D98F1" w14:textId="77777777" w:rsidR="0046192A" w:rsidRPr="00FE7F79" w:rsidRDefault="0046192A" w:rsidP="00FE7F79">
            <w:pPr>
              <w:pStyle w:val="a6"/>
              <w:numPr>
                <w:ilvl w:val="0"/>
                <w:numId w:val="15"/>
              </w:numPr>
              <w:tabs>
                <w:tab w:val="left" w:pos="184"/>
              </w:tabs>
              <w:ind w:left="0" w:firstLine="0"/>
              <w:jc w:val="both"/>
              <w:rPr>
                <w:rFonts w:ascii="Times New Roman" w:hAnsi="Times New Roman" w:cs="Times New Roman"/>
                <w:sz w:val="24"/>
                <w:szCs w:val="24"/>
              </w:rPr>
            </w:pPr>
            <w:r w:rsidRPr="00FE7F79">
              <w:rPr>
                <w:rFonts w:ascii="Times New Roman" w:hAnsi="Times New Roman" w:cs="Times New Roman"/>
                <w:color w:val="000000" w:themeColor="text1"/>
                <w:sz w:val="24"/>
                <w:szCs w:val="24"/>
              </w:rPr>
              <w:t>Тератозооспермия</w:t>
            </w:r>
          </w:p>
          <w:p w14:paraId="1EB13A8E" w14:textId="77777777" w:rsidR="0046192A" w:rsidRPr="00FE7F79" w:rsidRDefault="0046192A" w:rsidP="00FE7F79">
            <w:pPr>
              <w:pStyle w:val="a6"/>
              <w:numPr>
                <w:ilvl w:val="0"/>
                <w:numId w:val="15"/>
              </w:numPr>
              <w:tabs>
                <w:tab w:val="left" w:pos="184"/>
              </w:tabs>
              <w:ind w:left="0" w:firstLine="0"/>
              <w:jc w:val="both"/>
              <w:rPr>
                <w:rFonts w:ascii="Times New Roman" w:hAnsi="Times New Roman" w:cs="Times New Roman"/>
                <w:color w:val="000000" w:themeColor="text1"/>
                <w:sz w:val="24"/>
                <w:szCs w:val="24"/>
              </w:rPr>
            </w:pPr>
            <w:r w:rsidRPr="00FE7F79">
              <w:rPr>
                <w:rFonts w:ascii="Times New Roman" w:hAnsi="Times New Roman" w:cs="Times New Roman"/>
                <w:color w:val="000000" w:themeColor="text1"/>
                <w:sz w:val="24"/>
                <w:szCs w:val="24"/>
              </w:rPr>
              <w:t>сочетанная патология сперматозоидов</w:t>
            </w:r>
          </w:p>
          <w:p w14:paraId="10202DBC" w14:textId="77777777" w:rsidR="0046192A" w:rsidRPr="00FE7F79" w:rsidRDefault="0046192A" w:rsidP="00FE7F79">
            <w:pPr>
              <w:pStyle w:val="a6"/>
              <w:numPr>
                <w:ilvl w:val="0"/>
                <w:numId w:val="15"/>
              </w:numPr>
              <w:tabs>
                <w:tab w:val="left" w:pos="184"/>
              </w:tabs>
              <w:ind w:left="0" w:firstLine="0"/>
              <w:jc w:val="both"/>
              <w:rPr>
                <w:rFonts w:ascii="Times New Roman" w:hAnsi="Times New Roman" w:cs="Times New Roman"/>
                <w:color w:val="000000" w:themeColor="text1"/>
                <w:sz w:val="24"/>
                <w:szCs w:val="24"/>
              </w:rPr>
            </w:pPr>
            <w:r w:rsidRPr="00FE7F79">
              <w:rPr>
                <w:rFonts w:ascii="Times New Roman" w:hAnsi="Times New Roman" w:cs="Times New Roman"/>
                <w:color w:val="000000" w:themeColor="text1"/>
                <w:sz w:val="24"/>
                <w:szCs w:val="24"/>
              </w:rPr>
              <w:t>наличие антиспермальных антител в эякуляте</w:t>
            </w:r>
          </w:p>
        </w:tc>
      </w:tr>
      <w:tr w:rsidR="00FE7F79" w:rsidRPr="00FE7F79" w14:paraId="70B3BACE" w14:textId="77777777" w:rsidTr="001A5AC8">
        <w:tc>
          <w:tcPr>
            <w:tcW w:w="9634" w:type="dxa"/>
            <w:gridSpan w:val="2"/>
          </w:tcPr>
          <w:p w14:paraId="1774A391" w14:textId="4E4AAC49" w:rsidR="00FE7F79" w:rsidRPr="00FE7F79" w:rsidRDefault="00FE7F79" w:rsidP="00FE7F79">
            <w:pPr>
              <w:pStyle w:val="a9"/>
              <w:shd w:val="clear" w:color="auto" w:fill="FFFFFF"/>
              <w:spacing w:before="0" w:beforeAutospacing="0" w:after="0" w:afterAutospacing="0"/>
              <w:contextualSpacing/>
              <w:jc w:val="both"/>
              <w:rPr>
                <w:color w:val="000000" w:themeColor="text1"/>
                <w:lang w:eastAsia="en-US"/>
              </w:rPr>
            </w:pPr>
            <w:r w:rsidRPr="00FE7F79">
              <w:rPr>
                <w:color w:val="000000" w:themeColor="text1"/>
                <w:lang w:eastAsia="en-US"/>
              </w:rPr>
              <w:t>Сокращения: АМГ: антимюллеров гормон; ФСГ: фолликулостимулирующий гормон.</w:t>
            </w:r>
          </w:p>
        </w:tc>
      </w:tr>
    </w:tbl>
    <w:p w14:paraId="42BBDB49" w14:textId="77777777" w:rsidR="00DB2C61" w:rsidRPr="00916B3A" w:rsidRDefault="00DB2C61" w:rsidP="00526EDF">
      <w:pPr>
        <w:pStyle w:val="a9"/>
        <w:shd w:val="clear" w:color="auto" w:fill="FFFFFF"/>
        <w:spacing w:before="0" w:beforeAutospacing="0" w:after="0" w:afterAutospacing="0"/>
        <w:ind w:firstLine="567"/>
        <w:jc w:val="both"/>
        <w:rPr>
          <w:b/>
          <w:bCs/>
          <w:sz w:val="28"/>
          <w:szCs w:val="28"/>
          <w:lang w:val="kk-KZ"/>
        </w:rPr>
      </w:pPr>
    </w:p>
    <w:p w14:paraId="491EAD18" w14:textId="674E5265" w:rsidR="00526EDF" w:rsidRPr="00FE7F79" w:rsidRDefault="00526EDF" w:rsidP="00526EDF">
      <w:pPr>
        <w:pStyle w:val="a9"/>
        <w:shd w:val="clear" w:color="auto" w:fill="FFFFFF"/>
        <w:spacing w:before="0" w:beforeAutospacing="0" w:after="0" w:afterAutospacing="0"/>
        <w:ind w:firstLine="567"/>
        <w:jc w:val="both"/>
        <w:rPr>
          <w:sz w:val="28"/>
          <w:szCs w:val="28"/>
          <w:lang w:val="kk-KZ"/>
        </w:rPr>
      </w:pPr>
      <w:r w:rsidRPr="00FE7F79">
        <w:rPr>
          <w:sz w:val="28"/>
          <w:szCs w:val="28"/>
          <w:lang w:val="kk-KZ"/>
        </w:rPr>
        <w:t>По второй задаче:</w:t>
      </w:r>
    </w:p>
    <w:p w14:paraId="1D39FC0D" w14:textId="01C2D023" w:rsidR="00526EDF" w:rsidRPr="00916B3A" w:rsidRDefault="0046192A" w:rsidP="001F46C5">
      <w:pPr>
        <w:pStyle w:val="a9"/>
        <w:shd w:val="clear" w:color="auto" w:fill="FFFFFF"/>
        <w:spacing w:before="0" w:beforeAutospacing="0" w:after="0" w:afterAutospacing="0"/>
        <w:ind w:firstLine="567"/>
        <w:contextualSpacing/>
        <w:jc w:val="both"/>
        <w:rPr>
          <w:color w:val="000000" w:themeColor="text1"/>
          <w:sz w:val="28"/>
          <w:szCs w:val="28"/>
          <w:lang w:eastAsia="en-US"/>
        </w:rPr>
      </w:pPr>
      <w:r w:rsidRPr="00916B3A">
        <w:rPr>
          <w:color w:val="000000" w:themeColor="text1"/>
          <w:sz w:val="28"/>
          <w:szCs w:val="28"/>
          <w:lang w:eastAsia="en-US"/>
        </w:rPr>
        <w:t xml:space="preserve">Все пациентки были отобраны для участия в программе на основании оценки всех критериев отбора для обеспечения единообразия. Для этого анализа были собраны демографические данные и характеристики пациенток, включая возраст, индекс массы тела (ИМТ), длительность и тип бесплодия, исходы предыдущих беременностей, историю репродуктивных потерь, гинекологические заболевания, толщину эндометрия и уровни фолликулостимулирующего гормона (ФСГ), лютеинизирующего гормона (ЛГ) и антимюллерова гормона (АМГ). Исходной переменной данного исследования является наступление клинической беременности, которая определялась как беременность с положительным результатом, подтвержденным с помощью УЗИ с использованием ультразвуковых аппаратов </w:t>
      </w:r>
      <w:r w:rsidRPr="00916B3A">
        <w:rPr>
          <w:color w:val="000000" w:themeColor="text1"/>
          <w:sz w:val="28"/>
          <w:szCs w:val="28"/>
          <w:lang w:val="en-US" w:eastAsia="en-US"/>
        </w:rPr>
        <w:t>Voluson</w:t>
      </w:r>
      <w:r w:rsidRPr="00916B3A">
        <w:rPr>
          <w:color w:val="000000" w:themeColor="text1"/>
          <w:sz w:val="28"/>
          <w:szCs w:val="28"/>
          <w:lang w:eastAsia="en-US"/>
        </w:rPr>
        <w:t xml:space="preserve"> </w:t>
      </w:r>
      <w:r w:rsidRPr="00916B3A">
        <w:rPr>
          <w:color w:val="000000" w:themeColor="text1"/>
          <w:sz w:val="28"/>
          <w:szCs w:val="28"/>
          <w:lang w:val="en-US" w:eastAsia="en-US"/>
        </w:rPr>
        <w:t>E</w:t>
      </w:r>
      <w:r w:rsidRPr="00916B3A">
        <w:rPr>
          <w:color w:val="000000" w:themeColor="text1"/>
          <w:sz w:val="28"/>
          <w:szCs w:val="28"/>
          <w:lang w:eastAsia="en-US"/>
        </w:rPr>
        <w:t>10. Толщина и структура эндометрия оценивались в средне-сагиттальной плоскости тела матки в день введения хорионического гонадотропина человека (ХГЧ). Максимальная толщина измерялась от одной границы соединения эндометрия и миометрия до другой. Для настоящего анализа пациентки были разделены на три группы в зависимости от толщины эндометрия: Группа 1 (&gt;5 мм), Группа 2 (</w:t>
      </w:r>
      <w:r w:rsidR="001F46C5" w:rsidRPr="00916B3A">
        <w:rPr>
          <w:color w:val="000000" w:themeColor="text1"/>
          <w:sz w:val="28"/>
          <w:szCs w:val="28"/>
          <w:lang w:eastAsia="en-US"/>
        </w:rPr>
        <w:t>≥5 и &lt;7 мм) и Группа 3 (&lt;7 мм).</w:t>
      </w:r>
    </w:p>
    <w:p w14:paraId="76E12F1D" w14:textId="3BD85D41" w:rsidR="004279BA" w:rsidRPr="00FE7F79" w:rsidRDefault="00526EDF" w:rsidP="004279BA">
      <w:pPr>
        <w:pStyle w:val="a9"/>
        <w:shd w:val="clear" w:color="auto" w:fill="FFFFFF"/>
        <w:spacing w:before="0" w:beforeAutospacing="0" w:after="0" w:afterAutospacing="0"/>
        <w:ind w:firstLine="567"/>
        <w:jc w:val="both"/>
        <w:rPr>
          <w:sz w:val="28"/>
          <w:szCs w:val="28"/>
          <w:lang w:val="kk-KZ"/>
        </w:rPr>
      </w:pPr>
      <w:r w:rsidRPr="00FE7F79">
        <w:rPr>
          <w:sz w:val="28"/>
          <w:szCs w:val="28"/>
          <w:lang w:val="kk-KZ"/>
        </w:rPr>
        <w:t>По трет</w:t>
      </w:r>
      <w:r w:rsidR="00DB2C61" w:rsidRPr="00FE7F79">
        <w:rPr>
          <w:sz w:val="28"/>
          <w:szCs w:val="28"/>
          <w:lang w:val="kk-KZ"/>
        </w:rPr>
        <w:t>ь</w:t>
      </w:r>
      <w:r w:rsidRPr="00FE7F79">
        <w:rPr>
          <w:sz w:val="28"/>
          <w:szCs w:val="28"/>
          <w:lang w:val="kk-KZ"/>
        </w:rPr>
        <w:t>ей</w:t>
      </w:r>
      <w:r w:rsidR="004279BA" w:rsidRPr="00FE7F79">
        <w:rPr>
          <w:sz w:val="28"/>
          <w:szCs w:val="28"/>
          <w:lang w:val="kk-KZ"/>
        </w:rPr>
        <w:t xml:space="preserve"> задаче:</w:t>
      </w:r>
    </w:p>
    <w:p w14:paraId="13A9C007" w14:textId="14073ACD" w:rsidR="0046192A" w:rsidRPr="00FE7F79" w:rsidRDefault="0046192A" w:rsidP="000B7B11">
      <w:pPr>
        <w:pStyle w:val="a9"/>
        <w:shd w:val="clear" w:color="auto" w:fill="FFFFFF"/>
        <w:spacing w:before="0" w:beforeAutospacing="0" w:after="0" w:afterAutospacing="0"/>
        <w:ind w:firstLine="567"/>
        <w:contextualSpacing/>
        <w:jc w:val="both"/>
        <w:rPr>
          <w:color w:val="000000" w:themeColor="text1"/>
          <w:sz w:val="28"/>
          <w:szCs w:val="28"/>
          <w:lang w:eastAsia="en-US"/>
        </w:rPr>
      </w:pPr>
      <w:r w:rsidRPr="00FE7F79">
        <w:rPr>
          <w:color w:val="000000" w:themeColor="text1"/>
          <w:sz w:val="28"/>
          <w:szCs w:val="28"/>
          <w:lang w:eastAsia="en-US"/>
        </w:rPr>
        <w:t xml:space="preserve">Проспективное исследование </w:t>
      </w:r>
      <w:r w:rsidR="003C4851" w:rsidRPr="00FE7F79">
        <w:rPr>
          <w:rFonts w:eastAsia="Calibri"/>
          <w:color w:val="000000" w:themeColor="text1"/>
          <w:sz w:val="28"/>
          <w:szCs w:val="28"/>
          <w:lang w:eastAsia="en-US"/>
        </w:rPr>
        <w:t xml:space="preserve">транскрипционного анализа эндометрия отобраны 53 образца эндометрия (20 – у пациенток с РНИ, 19 – с РПБ и тонким эндометрием, 14 – у фертильных женщин) </w:t>
      </w:r>
      <w:r w:rsidRPr="00FE7F79">
        <w:rPr>
          <w:color w:val="000000" w:themeColor="text1"/>
          <w:sz w:val="28"/>
          <w:szCs w:val="28"/>
          <w:lang w:eastAsia="en-US"/>
        </w:rPr>
        <w:t>в период с сентября по декабрь 202</w:t>
      </w:r>
      <w:r w:rsidR="003C4851" w:rsidRPr="00FE7F79">
        <w:rPr>
          <w:color w:val="000000" w:themeColor="text1"/>
          <w:sz w:val="28"/>
          <w:szCs w:val="28"/>
          <w:lang w:eastAsia="en-US"/>
        </w:rPr>
        <w:t xml:space="preserve">3 года. Контрольная группа – 14 </w:t>
      </w:r>
      <w:r w:rsidRPr="00FE7F79">
        <w:rPr>
          <w:color w:val="000000" w:themeColor="text1"/>
          <w:sz w:val="28"/>
          <w:szCs w:val="28"/>
          <w:lang w:eastAsia="en-US"/>
        </w:rPr>
        <w:t>ферти</w:t>
      </w:r>
      <w:r w:rsidR="002B5C33">
        <w:rPr>
          <w:color w:val="000000" w:themeColor="text1"/>
          <w:sz w:val="28"/>
          <w:szCs w:val="28"/>
          <w:lang w:eastAsia="en-US"/>
        </w:rPr>
        <w:t>льные женщины</w:t>
      </w:r>
      <w:r w:rsidRPr="00FE7F79">
        <w:rPr>
          <w:color w:val="000000" w:themeColor="text1"/>
          <w:sz w:val="28"/>
          <w:szCs w:val="28"/>
          <w:lang w:eastAsia="en-US"/>
        </w:rPr>
        <w:t>.</w:t>
      </w:r>
    </w:p>
    <w:p w14:paraId="7F4BB230" w14:textId="77777777" w:rsidR="0046192A" w:rsidRPr="00FE7F79" w:rsidRDefault="0046192A" w:rsidP="000B7B11">
      <w:pPr>
        <w:pStyle w:val="MDPI31text"/>
        <w:spacing w:line="240" w:lineRule="auto"/>
        <w:ind w:left="0" w:firstLine="567"/>
        <w:rPr>
          <w:rFonts w:ascii="Times New Roman" w:hAnsi="Times New Roman"/>
          <w:sz w:val="28"/>
          <w:szCs w:val="28"/>
          <w:lang w:val="ru-RU"/>
        </w:rPr>
      </w:pPr>
      <w:r w:rsidRPr="00FE7F79">
        <w:rPr>
          <w:rFonts w:ascii="Times New Roman" w:hAnsi="Times New Roman"/>
          <w:sz w:val="28"/>
          <w:szCs w:val="28"/>
          <w:lang w:val="ru-RU"/>
        </w:rPr>
        <w:t>После завершения сбора образцов их отправляли в Институт молекулярной биологии и биохимии им. М. Айтхожина (Алматы, Казахстан).</w:t>
      </w:r>
    </w:p>
    <w:p w14:paraId="0946B86A" w14:textId="2FD4AED6" w:rsidR="004279BA" w:rsidRPr="00FE7F79" w:rsidRDefault="00526EDF" w:rsidP="000B7B11">
      <w:pPr>
        <w:pStyle w:val="a9"/>
        <w:shd w:val="clear" w:color="auto" w:fill="FFFFFF"/>
        <w:spacing w:before="0" w:beforeAutospacing="0" w:after="0" w:afterAutospacing="0"/>
        <w:ind w:firstLine="567"/>
        <w:jc w:val="both"/>
        <w:rPr>
          <w:sz w:val="28"/>
          <w:szCs w:val="28"/>
          <w:lang w:val="kk-KZ"/>
        </w:rPr>
      </w:pPr>
      <w:r w:rsidRPr="00FE7F79">
        <w:rPr>
          <w:sz w:val="28"/>
          <w:szCs w:val="28"/>
          <w:lang w:val="kk-KZ"/>
        </w:rPr>
        <w:t>По четвертой</w:t>
      </w:r>
      <w:r w:rsidR="004279BA" w:rsidRPr="00FE7F79">
        <w:rPr>
          <w:sz w:val="28"/>
          <w:szCs w:val="28"/>
          <w:lang w:val="kk-KZ"/>
        </w:rPr>
        <w:t xml:space="preserve"> задаче:</w:t>
      </w:r>
    </w:p>
    <w:p w14:paraId="16DE8E51" w14:textId="79C69D2E" w:rsidR="0046192A" w:rsidRPr="00FE7F79" w:rsidRDefault="0046192A" w:rsidP="000B7B11">
      <w:pPr>
        <w:pStyle w:val="a9"/>
        <w:shd w:val="clear" w:color="auto" w:fill="FFFFFF"/>
        <w:spacing w:before="0" w:beforeAutospacing="0" w:after="0" w:afterAutospacing="0"/>
        <w:ind w:firstLine="567"/>
        <w:jc w:val="both"/>
        <w:rPr>
          <w:sz w:val="28"/>
          <w:szCs w:val="28"/>
        </w:rPr>
      </w:pPr>
      <w:r w:rsidRPr="00FE7F79">
        <w:rPr>
          <w:sz w:val="28"/>
          <w:szCs w:val="28"/>
          <w:lang w:val="kk-KZ"/>
        </w:rPr>
        <w:t>На основании данных предыдущих этапов р</w:t>
      </w:r>
      <w:r w:rsidR="00420238" w:rsidRPr="00FE7F79">
        <w:rPr>
          <w:sz w:val="28"/>
          <w:szCs w:val="28"/>
        </w:rPr>
        <w:t xml:space="preserve">азработан прогностический алгоритм прогнозирания исходов программ ВРТ </w:t>
      </w:r>
      <w:r w:rsidRPr="00FE7F79">
        <w:rPr>
          <w:sz w:val="28"/>
          <w:szCs w:val="28"/>
        </w:rPr>
        <w:t>с применением информационного-аналитического метода.</w:t>
      </w:r>
    </w:p>
    <w:p w14:paraId="721EA5AC" w14:textId="77777777" w:rsidR="00AC6EDE" w:rsidRPr="00FE7F79" w:rsidRDefault="00AC6EDE" w:rsidP="000B7B11">
      <w:pPr>
        <w:numPr>
          <w:ilvl w:val="12"/>
          <w:numId w:val="0"/>
        </w:numPr>
        <w:spacing w:after="0" w:line="240" w:lineRule="auto"/>
        <w:ind w:firstLine="567"/>
        <w:jc w:val="both"/>
        <w:rPr>
          <w:rFonts w:ascii="Times New Roman" w:hAnsi="Times New Roman" w:cs="Times New Roman"/>
          <w:sz w:val="28"/>
          <w:szCs w:val="28"/>
        </w:rPr>
      </w:pPr>
    </w:p>
    <w:p w14:paraId="0AC8D695" w14:textId="18A1228D" w:rsidR="0046192A" w:rsidRPr="00916B3A" w:rsidRDefault="0046192A" w:rsidP="000B7B11">
      <w:pPr>
        <w:numPr>
          <w:ilvl w:val="12"/>
          <w:numId w:val="0"/>
        </w:numPr>
        <w:spacing w:after="0" w:line="240" w:lineRule="auto"/>
        <w:ind w:firstLine="567"/>
        <w:jc w:val="both"/>
        <w:rPr>
          <w:rFonts w:ascii="Times New Roman" w:hAnsi="Times New Roman" w:cs="Times New Roman"/>
          <w:b/>
          <w:bCs/>
          <w:sz w:val="28"/>
          <w:szCs w:val="28"/>
        </w:rPr>
      </w:pPr>
      <w:r w:rsidRPr="00916B3A">
        <w:rPr>
          <w:rFonts w:ascii="Times New Roman" w:hAnsi="Times New Roman" w:cs="Times New Roman"/>
          <w:b/>
          <w:bCs/>
          <w:sz w:val="28"/>
          <w:szCs w:val="28"/>
        </w:rPr>
        <w:t>2.1 Характеристика пациентов</w:t>
      </w:r>
    </w:p>
    <w:p w14:paraId="55DCB5CB" w14:textId="1CC69DFD" w:rsidR="0046192A" w:rsidRPr="00916B3A" w:rsidRDefault="0046192A" w:rsidP="000B7B11">
      <w:pPr>
        <w:pStyle w:val="MDPI31text"/>
        <w:spacing w:line="240" w:lineRule="auto"/>
        <w:ind w:left="0" w:firstLine="567"/>
        <w:rPr>
          <w:rFonts w:ascii="Times New Roman" w:eastAsia="Calibri" w:hAnsi="Times New Roman"/>
          <w:snapToGrid/>
          <w:color w:val="000000" w:themeColor="text1"/>
          <w:sz w:val="28"/>
          <w:szCs w:val="28"/>
          <w:lang w:val="ru-RU" w:eastAsia="en-US" w:bidi="ar-SA"/>
        </w:rPr>
      </w:pPr>
      <w:r w:rsidRPr="00916B3A">
        <w:rPr>
          <w:rFonts w:ascii="Times New Roman" w:eastAsia="Calibri" w:hAnsi="Times New Roman"/>
          <w:snapToGrid/>
          <w:color w:val="000000" w:themeColor="text1"/>
          <w:sz w:val="28"/>
          <w:szCs w:val="28"/>
          <w:lang w:val="ru-RU" w:eastAsia="en-US" w:bidi="ar-SA"/>
        </w:rPr>
        <w:t xml:space="preserve">Для каждой женщины была составлена индивидуальная карта наблюдения, включающая данные физикального осмотра, жалобы, данные акушерско-гинекологического анамнеза, лабораторные исследования, а также диагностические исследования по показаниям: УЗИ органов малого таза, определение уровня гормонов в крови, генетическое консультирование и кариотипирование. </w:t>
      </w:r>
    </w:p>
    <w:p w14:paraId="745F5A72" w14:textId="1E74B157" w:rsidR="00F17116" w:rsidRPr="00916B3A" w:rsidRDefault="00F17116" w:rsidP="00F17116">
      <w:pPr>
        <w:pStyle w:val="MDPI31text"/>
        <w:spacing w:line="240" w:lineRule="auto"/>
        <w:ind w:left="0" w:firstLine="567"/>
        <w:rPr>
          <w:rFonts w:ascii="Times New Roman" w:hAnsi="Times New Roman"/>
          <w:bCs/>
          <w:i/>
          <w:iCs/>
          <w:sz w:val="28"/>
          <w:szCs w:val="28"/>
          <w:lang w:val="ru-RU"/>
        </w:rPr>
      </w:pPr>
      <w:r w:rsidRPr="00916B3A">
        <w:rPr>
          <w:rFonts w:ascii="Times New Roman" w:hAnsi="Times New Roman"/>
          <w:bCs/>
          <w:i/>
          <w:iCs/>
          <w:sz w:val="28"/>
          <w:szCs w:val="28"/>
          <w:lang w:val="ru-RU"/>
        </w:rPr>
        <w:t>Критерии включения:</w:t>
      </w:r>
      <w:r w:rsidRPr="00916B3A">
        <w:rPr>
          <w:rFonts w:ascii="Times New Roman" w:eastAsia="Calibri" w:hAnsi="Times New Roman"/>
          <w:snapToGrid/>
          <w:color w:val="000000" w:themeColor="text1"/>
          <w:sz w:val="28"/>
          <w:szCs w:val="28"/>
          <w:lang w:val="ru-RU" w:eastAsia="en-US" w:bidi="ar-SA"/>
        </w:rPr>
        <w:t xml:space="preserve"> </w:t>
      </w:r>
    </w:p>
    <w:p w14:paraId="091DD03D" w14:textId="3F71F9DC" w:rsidR="00F17116" w:rsidRPr="00916B3A" w:rsidRDefault="00F17116" w:rsidP="00F17116">
      <w:pPr>
        <w:spacing w:after="0" w:line="240" w:lineRule="auto"/>
        <w:ind w:firstLine="426"/>
        <w:jc w:val="both"/>
        <w:rPr>
          <w:rFonts w:ascii="Times New Roman" w:hAnsi="Times New Roman" w:cs="Times New Roman"/>
          <w:bCs/>
          <w:sz w:val="28"/>
          <w:szCs w:val="28"/>
        </w:rPr>
      </w:pPr>
      <w:r w:rsidRPr="00916B3A">
        <w:rPr>
          <w:rFonts w:ascii="Times New Roman" w:hAnsi="Times New Roman" w:cs="Times New Roman"/>
          <w:bCs/>
          <w:sz w:val="28"/>
          <w:szCs w:val="28"/>
        </w:rPr>
        <w:t xml:space="preserve">- женщины фертильного возраста (от 20 до 45 лет); </w:t>
      </w:r>
      <w:r w:rsidRPr="00916B3A">
        <w:rPr>
          <w:rFonts w:ascii="Times New Roman" w:eastAsia="Calibri" w:hAnsi="Times New Roman"/>
          <w:color w:val="000000" w:themeColor="text1"/>
          <w:sz w:val="28"/>
          <w:szCs w:val="28"/>
        </w:rPr>
        <w:t>наличие тонкого эндометрия (менее 7 мм в период имплантационного окна по данным ультразвукового исследования) и наличие в анамнезе -</w:t>
      </w:r>
      <w:r w:rsidRPr="00916B3A">
        <w:rPr>
          <w:rFonts w:ascii="Times New Roman" w:hAnsi="Times New Roman" w:cs="Times New Roman"/>
          <w:bCs/>
          <w:sz w:val="28"/>
          <w:szCs w:val="28"/>
        </w:rPr>
        <w:t xml:space="preserve"> невынашивания беременности и неудачных попыток ВРТ (2 и более).</w:t>
      </w:r>
    </w:p>
    <w:p w14:paraId="57CA5B59" w14:textId="77777777" w:rsidR="00F17116" w:rsidRPr="00916B3A" w:rsidRDefault="00F17116" w:rsidP="00F17116">
      <w:pPr>
        <w:spacing w:after="0" w:line="240" w:lineRule="auto"/>
        <w:ind w:firstLine="426"/>
        <w:jc w:val="both"/>
        <w:rPr>
          <w:rFonts w:ascii="Times New Roman" w:hAnsi="Times New Roman" w:cs="Times New Roman"/>
          <w:bCs/>
          <w:i/>
          <w:iCs/>
          <w:sz w:val="28"/>
          <w:szCs w:val="28"/>
        </w:rPr>
      </w:pPr>
      <w:r w:rsidRPr="00916B3A">
        <w:rPr>
          <w:rFonts w:ascii="Times New Roman" w:hAnsi="Times New Roman" w:cs="Times New Roman"/>
          <w:bCs/>
          <w:i/>
          <w:iCs/>
          <w:sz w:val="28"/>
          <w:szCs w:val="28"/>
        </w:rPr>
        <w:t>Критерии исключения:</w:t>
      </w:r>
    </w:p>
    <w:p w14:paraId="091F3F1A" w14:textId="128B3FF2" w:rsidR="00F17116" w:rsidRPr="00916B3A" w:rsidRDefault="00F17116" w:rsidP="00F17116">
      <w:pPr>
        <w:spacing w:after="0" w:line="240" w:lineRule="auto"/>
        <w:ind w:firstLine="426"/>
        <w:jc w:val="both"/>
        <w:rPr>
          <w:rFonts w:ascii="Times New Roman" w:hAnsi="Times New Roman" w:cs="Times New Roman"/>
          <w:sz w:val="28"/>
          <w:szCs w:val="28"/>
        </w:rPr>
      </w:pPr>
      <w:r w:rsidRPr="00916B3A">
        <w:rPr>
          <w:rFonts w:ascii="Times New Roman" w:hAnsi="Times New Roman" w:cs="Times New Roman"/>
          <w:sz w:val="28"/>
          <w:szCs w:val="28"/>
        </w:rPr>
        <w:t>- онкологические заболевания, состояния после химиотерапии, наличие соматических и эндокринных заболеваний в стадии декомпенсации на момент взятия в программу, пациенты после пересадки органов, ВИЧ- инфицированные, пациенты с системными заболеваниями (сердца, почки, печени и суставов)</w:t>
      </w:r>
    </w:p>
    <w:p w14:paraId="4FAADBA4" w14:textId="77777777" w:rsidR="0046192A" w:rsidRPr="00916B3A" w:rsidRDefault="0046192A" w:rsidP="000B7B11">
      <w:pPr>
        <w:numPr>
          <w:ilvl w:val="12"/>
          <w:numId w:val="0"/>
        </w:num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Эндометрий классифицировался как тонкий в тех случаях, когда его толщина на 20-24 день менструального цикла составляла менее 7 мм. В индивидуальной медицинской карте вносились результаты осмотра с жалобами; соматический и акушерско-гинекологический анамнез; данные общего и гинекологического статуса; данные ультразвуковой диагностики органов малого таза; результаты гистероскопии эндометрия (с биопсией и гистологией) (Karl Storz, Germany), кариотипирование, тест на тромбофилию; иммуноферментный анализ на генитальные инфекции; определение волчаночного антикоагулянта. Критериями нормы ультразвуковой диагностики принята однородная структура эндометрия, ее соответствие дню менструального цикла, а также отсутствие гипо- и гиперэхогенных включений. </w:t>
      </w:r>
    </w:p>
    <w:p w14:paraId="68B914D7" w14:textId="1DEE9399" w:rsidR="0046192A" w:rsidRPr="00916B3A" w:rsidRDefault="0046192A" w:rsidP="00F17116">
      <w:pPr>
        <w:pStyle w:val="MDPI31text"/>
        <w:spacing w:line="240" w:lineRule="auto"/>
        <w:ind w:left="0" w:firstLine="426"/>
        <w:rPr>
          <w:rFonts w:ascii="Times New Roman" w:eastAsia="Calibri" w:hAnsi="Times New Roman"/>
          <w:snapToGrid/>
          <w:color w:val="000000" w:themeColor="text1"/>
          <w:sz w:val="28"/>
          <w:szCs w:val="28"/>
          <w:lang w:val="ru-RU" w:eastAsia="en-US" w:bidi="ar-SA"/>
        </w:rPr>
      </w:pPr>
      <w:r w:rsidRPr="00916B3A">
        <w:rPr>
          <w:rFonts w:ascii="Times New Roman" w:eastAsia="Calibri" w:hAnsi="Times New Roman"/>
          <w:snapToGrid/>
          <w:color w:val="000000" w:themeColor="text1"/>
          <w:sz w:val="28"/>
          <w:szCs w:val="28"/>
          <w:lang w:val="ru-RU" w:eastAsia="en-US" w:bidi="ar-SA"/>
        </w:rPr>
        <w:t>Рецидив потери беременности (РПБ, RPL) или невынашивание беременности определялся на основе рекомендаций ESHRE при наличии 2 или более выкидышей, подтвержденных положительным тестом на хорионический гонадотропин человека [72</w:t>
      </w:r>
      <w:r w:rsidR="00404317">
        <w:rPr>
          <w:rFonts w:ascii="Times New Roman" w:eastAsia="Calibri" w:hAnsi="Times New Roman"/>
          <w:snapToGrid/>
          <w:color w:val="000000" w:themeColor="text1"/>
          <w:sz w:val="28"/>
          <w:szCs w:val="28"/>
          <w:lang w:val="ru-RU" w:eastAsia="en-US" w:bidi="ar-SA"/>
        </w:rPr>
        <w:t>, с. 75</w:t>
      </w:r>
      <w:r w:rsidRPr="00916B3A">
        <w:rPr>
          <w:rFonts w:ascii="Times New Roman" w:eastAsia="Calibri" w:hAnsi="Times New Roman"/>
          <w:snapToGrid/>
          <w:color w:val="000000" w:themeColor="text1"/>
          <w:sz w:val="28"/>
          <w:szCs w:val="28"/>
          <w:lang w:val="ru-RU" w:eastAsia="en-US" w:bidi="ar-SA"/>
        </w:rPr>
        <w:t xml:space="preserve">]. </w:t>
      </w:r>
    </w:p>
    <w:p w14:paraId="1F617C63" w14:textId="1D430269" w:rsidR="0046192A" w:rsidRPr="00916B3A" w:rsidRDefault="0046192A" w:rsidP="00FE7F79">
      <w:pPr>
        <w:pStyle w:val="MDPI31text"/>
        <w:spacing w:line="240" w:lineRule="auto"/>
        <w:ind w:left="0" w:firstLine="567"/>
        <w:rPr>
          <w:rFonts w:ascii="Times New Roman" w:eastAsia="Calibri" w:hAnsi="Times New Roman"/>
          <w:snapToGrid/>
          <w:color w:val="000000" w:themeColor="text1"/>
          <w:sz w:val="28"/>
          <w:szCs w:val="28"/>
          <w:lang w:val="ru-RU" w:eastAsia="en-US" w:bidi="ar-SA"/>
        </w:rPr>
      </w:pPr>
      <w:r w:rsidRPr="00916B3A">
        <w:rPr>
          <w:rFonts w:ascii="Times New Roman" w:eastAsia="Calibri" w:hAnsi="Times New Roman"/>
          <w:snapToGrid/>
          <w:color w:val="000000" w:themeColor="text1"/>
          <w:sz w:val="28"/>
          <w:szCs w:val="28"/>
          <w:lang w:val="ru-RU" w:eastAsia="en-US" w:bidi="ar-SA"/>
        </w:rPr>
        <w:t>Рецидив неудач имплантации (РНИ, RIF) определял</w:t>
      </w:r>
      <w:r w:rsidR="00F653B4" w:rsidRPr="00916B3A">
        <w:rPr>
          <w:rFonts w:ascii="Times New Roman" w:eastAsia="Calibri" w:hAnsi="Times New Roman"/>
          <w:snapToGrid/>
          <w:color w:val="000000" w:themeColor="text1"/>
          <w:sz w:val="28"/>
          <w:szCs w:val="28"/>
          <w:lang w:val="ru-RU" w:eastAsia="en-US" w:bidi="ar-SA"/>
        </w:rPr>
        <w:t>ся при наличии по крайней мере 2</w:t>
      </w:r>
      <w:r w:rsidRPr="00916B3A">
        <w:rPr>
          <w:rFonts w:ascii="Times New Roman" w:eastAsia="Calibri" w:hAnsi="Times New Roman"/>
          <w:snapToGrid/>
          <w:color w:val="000000" w:themeColor="text1"/>
          <w:sz w:val="28"/>
          <w:szCs w:val="28"/>
          <w:lang w:val="ru-RU" w:eastAsia="en-US" w:bidi="ar-SA"/>
        </w:rPr>
        <w:t xml:space="preserve"> неудачных переносов качественных эмбрионов после экстракорпорального оплодотворения – переноса эмбрионов [73]. Возраст женщин был </w:t>
      </w:r>
      <w:proofErr w:type="gramStart"/>
      <w:r w:rsidRPr="00916B3A">
        <w:rPr>
          <w:rFonts w:ascii="Times New Roman" w:eastAsia="Calibri" w:hAnsi="Times New Roman"/>
          <w:snapToGrid/>
          <w:color w:val="000000" w:themeColor="text1"/>
          <w:sz w:val="28"/>
          <w:szCs w:val="28"/>
          <w:lang w:val="ru-RU" w:eastAsia="en-US" w:bidi="ar-SA"/>
        </w:rPr>
        <w:t>&lt; 40</w:t>
      </w:r>
      <w:proofErr w:type="gramEnd"/>
      <w:r w:rsidRPr="00916B3A">
        <w:rPr>
          <w:rFonts w:ascii="Times New Roman" w:eastAsia="Calibri" w:hAnsi="Times New Roman"/>
          <w:snapToGrid/>
          <w:color w:val="000000" w:themeColor="text1"/>
          <w:sz w:val="28"/>
          <w:szCs w:val="28"/>
          <w:lang w:val="ru-RU" w:eastAsia="en-US" w:bidi="ar-SA"/>
        </w:rPr>
        <w:t xml:space="preserve"> лет, без аномалий кариотипа. Диагноз РНИ подтвержден методом определения b-хорионного гонадотропина. В РНБ группу (RPL) вошли пациентки с «положительным» тестом на беременность и подтверждением беременности методом ультразвуковой диагностики матки на 3-й день после задержки менструации, у которых случались повторные случаи потери беременности (2-3 случая).</w:t>
      </w:r>
    </w:p>
    <w:p w14:paraId="79ED943D" w14:textId="77777777" w:rsidR="0046192A" w:rsidRPr="00916B3A" w:rsidRDefault="0046192A" w:rsidP="00FE7F79">
      <w:pPr>
        <w:pStyle w:val="MDPI31text"/>
        <w:spacing w:line="240" w:lineRule="auto"/>
        <w:ind w:left="0" w:firstLine="567"/>
        <w:rPr>
          <w:rFonts w:ascii="Times New Roman" w:eastAsia="Calibri" w:hAnsi="Times New Roman"/>
          <w:i/>
          <w:iCs/>
          <w:snapToGrid/>
          <w:color w:val="000000" w:themeColor="text1"/>
          <w:sz w:val="28"/>
          <w:szCs w:val="28"/>
          <w:lang w:val="ru-RU" w:eastAsia="en-US" w:bidi="ar-SA"/>
        </w:rPr>
      </w:pPr>
      <w:r w:rsidRPr="00916B3A">
        <w:rPr>
          <w:rFonts w:ascii="Times New Roman" w:eastAsia="Calibri" w:hAnsi="Times New Roman"/>
          <w:i/>
          <w:iCs/>
          <w:snapToGrid/>
          <w:color w:val="000000" w:themeColor="text1"/>
          <w:sz w:val="28"/>
          <w:szCs w:val="28"/>
          <w:lang w:val="ru-RU" w:eastAsia="en-US" w:bidi="ar-SA"/>
        </w:rPr>
        <w:t>Одобрение Этическим комитетом</w:t>
      </w:r>
    </w:p>
    <w:p w14:paraId="2A5CE3CB" w14:textId="37151D76" w:rsidR="0046192A" w:rsidRPr="00916B3A" w:rsidRDefault="0046192A" w:rsidP="00FE7F79">
      <w:pPr>
        <w:pStyle w:val="MDPI31text"/>
        <w:spacing w:line="240" w:lineRule="auto"/>
        <w:ind w:left="0" w:firstLine="567"/>
        <w:rPr>
          <w:rFonts w:ascii="Times New Roman" w:eastAsia="Calibri" w:hAnsi="Times New Roman"/>
          <w:snapToGrid/>
          <w:color w:val="000000" w:themeColor="text1"/>
          <w:sz w:val="28"/>
          <w:szCs w:val="28"/>
          <w:lang w:val="ru-RU" w:eastAsia="en-US" w:bidi="ar-SA"/>
        </w:rPr>
      </w:pPr>
      <w:r w:rsidRPr="00916B3A">
        <w:rPr>
          <w:rFonts w:ascii="Times New Roman" w:eastAsia="Calibri" w:hAnsi="Times New Roman"/>
          <w:snapToGrid/>
          <w:color w:val="000000" w:themeColor="text1"/>
          <w:sz w:val="28"/>
          <w:szCs w:val="28"/>
          <w:lang w:val="ru-RU" w:eastAsia="en-US" w:bidi="ar-SA"/>
        </w:rPr>
        <w:t xml:space="preserve">Исследование было одобрено Этическим комитетом </w:t>
      </w:r>
      <w:r w:rsidR="007D6BFF" w:rsidRPr="00916B3A">
        <w:rPr>
          <w:rFonts w:ascii="Times New Roman" w:eastAsia="Calibri" w:hAnsi="Times New Roman"/>
          <w:snapToGrid/>
          <w:color w:val="000000" w:themeColor="text1"/>
          <w:sz w:val="28"/>
          <w:szCs w:val="28"/>
          <w:lang w:val="ru-RU" w:eastAsia="en-US" w:bidi="ar-SA"/>
        </w:rPr>
        <w:t xml:space="preserve">КМУ ВШОЗ </w:t>
      </w:r>
      <w:r w:rsidR="001663CC" w:rsidRPr="00916B3A">
        <w:rPr>
          <w:rFonts w:ascii="Times New Roman" w:eastAsia="Calibri" w:hAnsi="Times New Roman"/>
          <w:snapToGrid/>
          <w:color w:val="000000" w:themeColor="text1"/>
          <w:sz w:val="28"/>
          <w:szCs w:val="28"/>
          <w:lang w:val="ru-RU" w:eastAsia="en-US" w:bidi="ar-SA"/>
        </w:rPr>
        <w:t>от 08</w:t>
      </w:r>
      <w:r w:rsidR="00540AEE" w:rsidRPr="00916B3A">
        <w:rPr>
          <w:rFonts w:ascii="Times New Roman" w:eastAsia="Calibri" w:hAnsi="Times New Roman"/>
          <w:snapToGrid/>
          <w:color w:val="000000" w:themeColor="text1"/>
          <w:sz w:val="28"/>
          <w:szCs w:val="28"/>
          <w:lang w:val="ru-RU" w:eastAsia="en-US" w:bidi="ar-SA"/>
        </w:rPr>
        <w:t xml:space="preserve">.11.2023г. </w:t>
      </w:r>
      <w:r w:rsidR="001663CC" w:rsidRPr="00916B3A">
        <w:rPr>
          <w:rFonts w:ascii="Times New Roman" w:eastAsia="Calibri" w:hAnsi="Times New Roman"/>
          <w:snapToGrid/>
          <w:color w:val="000000" w:themeColor="text1"/>
          <w:sz w:val="28"/>
          <w:szCs w:val="28"/>
          <w:lang w:val="ru-RU" w:eastAsia="en-US" w:bidi="ar-SA"/>
        </w:rPr>
        <w:t>(Код: IRB-</w:t>
      </w:r>
      <w:r w:rsidR="001663CC" w:rsidRPr="00916B3A">
        <w:rPr>
          <w:rFonts w:ascii="Times New Roman" w:eastAsia="Calibri" w:hAnsi="Times New Roman"/>
          <w:snapToGrid/>
          <w:color w:val="000000" w:themeColor="text1"/>
          <w:sz w:val="28"/>
          <w:szCs w:val="28"/>
          <w:lang w:eastAsia="en-US" w:bidi="ar-SA"/>
        </w:rPr>
        <w:t>A</w:t>
      </w:r>
      <w:r w:rsidR="001663CC" w:rsidRPr="00916B3A">
        <w:rPr>
          <w:rFonts w:ascii="Times New Roman" w:eastAsia="Calibri" w:hAnsi="Times New Roman"/>
          <w:snapToGrid/>
          <w:color w:val="000000" w:themeColor="text1"/>
          <w:sz w:val="28"/>
          <w:szCs w:val="28"/>
          <w:lang w:val="ru-RU" w:eastAsia="en-US" w:bidi="ar-SA"/>
        </w:rPr>
        <w:t>289\1</w:t>
      </w:r>
      <w:r w:rsidR="00540AEE" w:rsidRPr="00916B3A">
        <w:rPr>
          <w:rFonts w:ascii="Times New Roman" w:eastAsia="Calibri" w:hAnsi="Times New Roman"/>
          <w:snapToGrid/>
          <w:color w:val="000000" w:themeColor="text1"/>
          <w:sz w:val="28"/>
          <w:szCs w:val="28"/>
          <w:lang w:val="ru-RU" w:eastAsia="en-US" w:bidi="ar-SA"/>
        </w:rPr>
        <w:t xml:space="preserve">).  </w:t>
      </w:r>
      <w:r w:rsidRPr="00916B3A">
        <w:rPr>
          <w:rFonts w:ascii="Times New Roman" w:eastAsia="Calibri" w:hAnsi="Times New Roman"/>
          <w:snapToGrid/>
          <w:color w:val="000000" w:themeColor="text1"/>
          <w:sz w:val="28"/>
          <w:szCs w:val="28"/>
          <w:lang w:val="ru-RU" w:eastAsia="en-US" w:bidi="ar-SA"/>
        </w:rPr>
        <w:t>Все участники предоставили письменное информированное согласие на использование биоматериалов.</w:t>
      </w:r>
    </w:p>
    <w:p w14:paraId="489BB17F" w14:textId="77777777" w:rsidR="0046192A" w:rsidRPr="00916B3A" w:rsidRDefault="0046192A" w:rsidP="00FE7F79">
      <w:pPr>
        <w:pStyle w:val="a9"/>
        <w:shd w:val="clear" w:color="auto" w:fill="FFFFFF"/>
        <w:spacing w:before="0" w:beforeAutospacing="0" w:after="0" w:afterAutospacing="0"/>
        <w:ind w:firstLine="567"/>
        <w:jc w:val="both"/>
        <w:rPr>
          <w:sz w:val="28"/>
          <w:szCs w:val="28"/>
        </w:rPr>
      </w:pPr>
    </w:p>
    <w:p w14:paraId="17F52B4F" w14:textId="52F12D4A" w:rsidR="0046192A" w:rsidRPr="00916B3A" w:rsidRDefault="0046192A" w:rsidP="00FE7F79">
      <w:pPr>
        <w:numPr>
          <w:ilvl w:val="12"/>
          <w:numId w:val="0"/>
        </w:numPr>
        <w:spacing w:after="0" w:line="240" w:lineRule="auto"/>
        <w:ind w:firstLine="567"/>
        <w:jc w:val="both"/>
        <w:rPr>
          <w:rFonts w:ascii="Times New Roman" w:hAnsi="Times New Roman" w:cs="Times New Roman"/>
          <w:b/>
          <w:bCs/>
          <w:sz w:val="28"/>
          <w:szCs w:val="28"/>
        </w:rPr>
      </w:pPr>
      <w:r w:rsidRPr="00916B3A">
        <w:rPr>
          <w:rFonts w:ascii="Times New Roman" w:hAnsi="Times New Roman" w:cs="Times New Roman"/>
          <w:b/>
          <w:bCs/>
          <w:sz w:val="28"/>
          <w:szCs w:val="28"/>
        </w:rPr>
        <w:t>2.2 Методы исследования</w:t>
      </w:r>
    </w:p>
    <w:p w14:paraId="7E41769A" w14:textId="417769FE" w:rsidR="00540AEE" w:rsidRPr="00FE7F79" w:rsidRDefault="00540AEE" w:rsidP="00FE7F79">
      <w:pPr>
        <w:pStyle w:val="a9"/>
        <w:shd w:val="clear" w:color="auto" w:fill="FFFFFF"/>
        <w:spacing w:before="0" w:beforeAutospacing="0" w:after="0" w:afterAutospacing="0"/>
        <w:ind w:firstLine="567"/>
        <w:jc w:val="both"/>
        <w:rPr>
          <w:bCs/>
          <w:color w:val="000000"/>
          <w:sz w:val="28"/>
          <w:szCs w:val="28"/>
        </w:rPr>
      </w:pPr>
      <w:r w:rsidRPr="00FE7F79">
        <w:rPr>
          <w:bCs/>
          <w:color w:val="000000"/>
          <w:sz w:val="28"/>
          <w:szCs w:val="28"/>
        </w:rPr>
        <w:t>2.2.1. Инструментальные исследования</w:t>
      </w:r>
    </w:p>
    <w:p w14:paraId="306FFEE3" w14:textId="63469DF8" w:rsidR="00540AEE" w:rsidRPr="00916B3A" w:rsidRDefault="00540AEE" w:rsidP="00FE7F79">
      <w:pPr>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 xml:space="preserve">Всем пациенткам, основной и сравнительной групп проводилась трансвагинальная эхография на аппарате </w:t>
      </w:r>
      <w:r w:rsidRPr="00916B3A">
        <w:rPr>
          <w:rFonts w:ascii="Times New Roman" w:hAnsi="Times New Roman" w:cs="Times New Roman"/>
          <w:sz w:val="28"/>
          <w:szCs w:val="28"/>
          <w:lang w:val="en-US"/>
        </w:rPr>
        <w:t>VOLUSONE</w:t>
      </w:r>
      <w:r w:rsidRPr="00916B3A">
        <w:rPr>
          <w:rFonts w:ascii="Times New Roman" w:hAnsi="Times New Roman" w:cs="Times New Roman"/>
          <w:sz w:val="28"/>
          <w:szCs w:val="28"/>
        </w:rPr>
        <w:t xml:space="preserve">-10 (Австрия) с использованием мультичастотного трансвагинального датчика с частотой 5-10 МГц, с программным обеспечением для реализации триплексного режима сканирования (серошкальный </w:t>
      </w:r>
      <w:proofErr w:type="gramStart"/>
      <w:r w:rsidRPr="00916B3A">
        <w:rPr>
          <w:rFonts w:ascii="Times New Roman" w:hAnsi="Times New Roman" w:cs="Times New Roman"/>
          <w:sz w:val="28"/>
          <w:szCs w:val="28"/>
        </w:rPr>
        <w:t>В-режим в</w:t>
      </w:r>
      <w:proofErr w:type="gramEnd"/>
      <w:r w:rsidRPr="00916B3A">
        <w:rPr>
          <w:rFonts w:ascii="Times New Roman" w:hAnsi="Times New Roman" w:cs="Times New Roman"/>
          <w:sz w:val="28"/>
          <w:szCs w:val="28"/>
        </w:rPr>
        <w:t xml:space="preserve"> сочетании цветового и импульсного допплера в масштабе реального времени). Проводилось динамическое ультразвуковое исследование во II фазу (в период «окна имплантации»). Исследование начинали с трансабдоминального ультразвукового сканирования (с наполненным мочевым пузырем) для исключения объемных образований малого таза. Продолжали исследование после опорожнения мочевого пузыря: определяли положение матки в полости малого таза. Особое внимание уделялось изучению М-эха: толщине, эхоструктуре и наличию включений. За нормальное значение М-эха принималась: однородная структура эндометрия, отсутствие гипо- или гиперэхогенных включений, соответствие его структуры дню менструального цикла. Критерием «тонкого» эндометрия считалась толщина эндометрия менее 7 мм на 20-24 день менструального цикла.</w:t>
      </w:r>
    </w:p>
    <w:p w14:paraId="53921791" w14:textId="2FCBBCD7" w:rsidR="00540AEE" w:rsidRDefault="00540AEE" w:rsidP="00FE7F79">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У пациенток основной группы проводилась оценка гемодинамики сосудов матки во вторую фазу менструального цикла в период «окна имплантации», включала в себя цветовое допплеровское картирование (ЦДК) и спектральную допплерометрию. При допплерометрическом исследовании обращали внимание на степень васкуляризации миометрия; проводили визуализацию всех ветвей сосудистой сети матки (маточных, аркуатных, радиальных, базальных, спиральных артерий) с оценкой систолических и диастолических показателей кровотока в исследуемых сосудах; величину углонезависимых индексов кривых скоростей кровотока (КСК): пульсационного индекса (PI) и индекса резистентности (RI), систоло/диастолического соотношения (S/D). Уголнезависимые индексы рассчитывали автоматически по предустановленным формулам. </w:t>
      </w:r>
    </w:p>
    <w:p w14:paraId="3618479E" w14:textId="77777777" w:rsidR="00FE7F79" w:rsidRPr="00916B3A" w:rsidRDefault="00FE7F79" w:rsidP="00FE7F79">
      <w:pPr>
        <w:spacing w:after="0" w:line="240" w:lineRule="auto"/>
        <w:ind w:firstLine="567"/>
        <w:jc w:val="both"/>
        <w:rPr>
          <w:rFonts w:ascii="Times New Roman" w:hAnsi="Times New Roman" w:cs="Times New Roman"/>
          <w:sz w:val="28"/>
          <w:szCs w:val="28"/>
        </w:rPr>
      </w:pPr>
    </w:p>
    <w:p w14:paraId="338B24D5" w14:textId="04CA44D1" w:rsidR="0046192A" w:rsidRPr="00FE7F79" w:rsidRDefault="00540AEE" w:rsidP="000B7B11">
      <w:pPr>
        <w:numPr>
          <w:ilvl w:val="12"/>
          <w:numId w:val="0"/>
        </w:numPr>
        <w:spacing w:after="0" w:line="240" w:lineRule="auto"/>
        <w:ind w:firstLine="567"/>
        <w:jc w:val="both"/>
        <w:rPr>
          <w:rFonts w:ascii="Times New Roman" w:hAnsi="Times New Roman" w:cs="Times New Roman"/>
          <w:sz w:val="28"/>
          <w:szCs w:val="28"/>
        </w:rPr>
      </w:pPr>
      <w:r w:rsidRPr="00FE7F79">
        <w:rPr>
          <w:rFonts w:ascii="Times New Roman" w:hAnsi="Times New Roman" w:cs="Times New Roman"/>
          <w:sz w:val="28"/>
          <w:szCs w:val="28"/>
        </w:rPr>
        <w:t>2.2.2</w:t>
      </w:r>
      <w:r w:rsidR="0046192A" w:rsidRPr="00FE7F79">
        <w:rPr>
          <w:rFonts w:ascii="Times New Roman" w:hAnsi="Times New Roman" w:cs="Times New Roman"/>
          <w:sz w:val="28"/>
          <w:szCs w:val="28"/>
        </w:rPr>
        <w:t xml:space="preserve"> Транскрипционный анализ эндометрия </w:t>
      </w:r>
    </w:p>
    <w:p w14:paraId="7C10BC84" w14:textId="77777777" w:rsidR="0046192A" w:rsidRPr="00916B3A" w:rsidRDefault="0046192A" w:rsidP="000B7B11">
      <w:pPr>
        <w:numPr>
          <w:ilvl w:val="12"/>
          <w:numId w:val="0"/>
        </w:numPr>
        <w:spacing w:after="0" w:line="240" w:lineRule="auto"/>
        <w:ind w:firstLine="567"/>
        <w:jc w:val="both"/>
        <w:rPr>
          <w:rFonts w:ascii="Times New Roman" w:eastAsia="Calibri" w:hAnsi="Times New Roman" w:cs="Times New Roman"/>
          <w:color w:val="000000" w:themeColor="text1"/>
          <w:sz w:val="28"/>
          <w:szCs w:val="28"/>
        </w:rPr>
      </w:pPr>
      <w:r w:rsidRPr="00916B3A">
        <w:rPr>
          <w:rFonts w:ascii="Times New Roman" w:eastAsia="Calibri" w:hAnsi="Times New Roman" w:cs="Times New Roman"/>
          <w:color w:val="000000" w:themeColor="text1"/>
          <w:sz w:val="28"/>
          <w:szCs w:val="28"/>
        </w:rPr>
        <w:t>Для транскрипционного анализа эндометрия отобраны 53 образца эндометрия (20 – у пациенток с РНИ, 19 – с РПБ и тонким эндометрием, 14 – у фертильных женщин).</w:t>
      </w:r>
    </w:p>
    <w:p w14:paraId="291D1C8D" w14:textId="77777777" w:rsidR="0046192A" w:rsidRPr="00916B3A" w:rsidRDefault="0046192A" w:rsidP="00BE6128">
      <w:pPr>
        <w:pStyle w:val="MDPI31text"/>
        <w:spacing w:line="240" w:lineRule="auto"/>
        <w:ind w:left="0" w:firstLine="567"/>
        <w:rPr>
          <w:rFonts w:ascii="Times New Roman" w:hAnsi="Times New Roman"/>
          <w:sz w:val="28"/>
          <w:szCs w:val="28"/>
          <w:lang w:val="ru-RU"/>
        </w:rPr>
      </w:pPr>
      <w:r w:rsidRPr="00916B3A">
        <w:rPr>
          <w:rFonts w:ascii="Times New Roman" w:hAnsi="Times New Roman"/>
          <w:i/>
          <w:sz w:val="28"/>
          <w:szCs w:val="28"/>
          <w:lang w:val="ru-RU"/>
        </w:rPr>
        <w:t xml:space="preserve">Обработка образцов. </w:t>
      </w:r>
      <w:r w:rsidRPr="00916B3A">
        <w:rPr>
          <w:rFonts w:ascii="Times New Roman" w:hAnsi="Times New Roman"/>
          <w:sz w:val="28"/>
          <w:szCs w:val="28"/>
          <w:lang w:val="ru-RU"/>
        </w:rPr>
        <w:t>Образцы эндометрия собирали в дни имплантационного окна (</w:t>
      </w:r>
      <w:r w:rsidRPr="00916B3A">
        <w:rPr>
          <w:rFonts w:ascii="Times New Roman" w:hAnsi="Times New Roman"/>
          <w:sz w:val="28"/>
          <w:szCs w:val="28"/>
        </w:rPr>
        <w:t>LH</w:t>
      </w:r>
      <w:r w:rsidRPr="00916B3A">
        <w:rPr>
          <w:rFonts w:ascii="Times New Roman" w:hAnsi="Times New Roman"/>
          <w:sz w:val="28"/>
          <w:szCs w:val="28"/>
          <w:lang w:val="ru-RU"/>
        </w:rPr>
        <w:t xml:space="preserve">+7 – </w:t>
      </w:r>
      <w:r w:rsidRPr="00916B3A">
        <w:rPr>
          <w:rFonts w:ascii="Times New Roman" w:hAnsi="Times New Roman"/>
          <w:sz w:val="28"/>
          <w:szCs w:val="28"/>
        </w:rPr>
        <w:t>LH</w:t>
      </w:r>
      <w:r w:rsidRPr="00916B3A">
        <w:rPr>
          <w:rFonts w:ascii="Times New Roman" w:hAnsi="Times New Roman"/>
          <w:sz w:val="28"/>
          <w:szCs w:val="28"/>
          <w:lang w:val="ru-RU"/>
        </w:rPr>
        <w:t>+10) естественного менструального цикла у пациенток с РНИ с тонким эндометрием (</w:t>
      </w:r>
      <w:r w:rsidRPr="00916B3A">
        <w:rPr>
          <w:rFonts w:ascii="Times New Roman" w:hAnsi="Times New Roman"/>
          <w:sz w:val="28"/>
          <w:szCs w:val="28"/>
        </w:rPr>
        <w:t>n</w:t>
      </w:r>
      <w:r w:rsidRPr="00916B3A">
        <w:rPr>
          <w:rFonts w:ascii="Times New Roman" w:hAnsi="Times New Roman"/>
          <w:sz w:val="28"/>
          <w:szCs w:val="28"/>
          <w:lang w:val="ru-RU"/>
        </w:rPr>
        <w:t>=20), РПБ (</w:t>
      </w:r>
      <w:r w:rsidRPr="00916B3A">
        <w:rPr>
          <w:rFonts w:ascii="Times New Roman" w:hAnsi="Times New Roman"/>
          <w:sz w:val="28"/>
          <w:szCs w:val="28"/>
        </w:rPr>
        <w:t>n</w:t>
      </w:r>
      <w:r w:rsidRPr="00916B3A">
        <w:rPr>
          <w:rFonts w:ascii="Times New Roman" w:hAnsi="Times New Roman"/>
          <w:sz w:val="28"/>
          <w:szCs w:val="28"/>
          <w:lang w:val="ru-RU"/>
        </w:rPr>
        <w:t>=19), фертильных женщин (</w:t>
      </w:r>
      <w:r w:rsidRPr="00916B3A">
        <w:rPr>
          <w:rFonts w:ascii="Times New Roman" w:hAnsi="Times New Roman"/>
          <w:sz w:val="28"/>
          <w:szCs w:val="28"/>
        </w:rPr>
        <w:t>n</w:t>
      </w:r>
      <w:r w:rsidRPr="00916B3A">
        <w:rPr>
          <w:rFonts w:ascii="Times New Roman" w:hAnsi="Times New Roman"/>
          <w:sz w:val="28"/>
          <w:szCs w:val="28"/>
          <w:lang w:val="ru-RU"/>
        </w:rPr>
        <w:t xml:space="preserve">=14). Ткань эндометрия собирали с помощью пайпель-биопсии с помощью катетера </w:t>
      </w:r>
      <w:r w:rsidRPr="00916B3A">
        <w:rPr>
          <w:rFonts w:ascii="Times New Roman" w:hAnsi="Times New Roman"/>
          <w:sz w:val="28"/>
          <w:szCs w:val="28"/>
        </w:rPr>
        <w:t>Goldstein</w:t>
      </w:r>
      <w:r w:rsidRPr="00916B3A">
        <w:rPr>
          <w:rFonts w:ascii="Times New Roman" w:hAnsi="Times New Roman"/>
          <w:sz w:val="28"/>
          <w:szCs w:val="28"/>
          <w:lang w:val="ru-RU"/>
        </w:rPr>
        <w:t xml:space="preserve"> (</w:t>
      </w:r>
      <w:r w:rsidRPr="00916B3A">
        <w:rPr>
          <w:rFonts w:ascii="Times New Roman" w:hAnsi="Times New Roman"/>
          <w:sz w:val="28"/>
          <w:szCs w:val="28"/>
        </w:rPr>
        <w:t>SonoBiopsyTM</w:t>
      </w:r>
      <w:r w:rsidRPr="00916B3A">
        <w:rPr>
          <w:rFonts w:ascii="Times New Roman" w:hAnsi="Times New Roman"/>
          <w:sz w:val="28"/>
          <w:szCs w:val="28"/>
          <w:lang w:val="ru-RU"/>
        </w:rPr>
        <w:t xml:space="preserve"> </w:t>
      </w:r>
      <w:r w:rsidRPr="00916B3A">
        <w:rPr>
          <w:rFonts w:ascii="Times New Roman" w:hAnsi="Times New Roman"/>
          <w:sz w:val="28"/>
          <w:szCs w:val="28"/>
        </w:rPr>
        <w:t>J</w:t>
      </w:r>
      <w:r w:rsidRPr="00916B3A">
        <w:rPr>
          <w:rFonts w:ascii="Times New Roman" w:hAnsi="Times New Roman"/>
          <w:sz w:val="28"/>
          <w:szCs w:val="28"/>
          <w:lang w:val="ru-RU"/>
        </w:rPr>
        <w:t>-</w:t>
      </w:r>
      <w:r w:rsidRPr="00916B3A">
        <w:rPr>
          <w:rFonts w:ascii="Times New Roman" w:hAnsi="Times New Roman"/>
          <w:sz w:val="28"/>
          <w:szCs w:val="28"/>
        </w:rPr>
        <w:t>GSBX</w:t>
      </w:r>
      <w:r w:rsidRPr="00916B3A">
        <w:rPr>
          <w:rFonts w:ascii="Times New Roman" w:hAnsi="Times New Roman"/>
          <w:sz w:val="28"/>
          <w:szCs w:val="28"/>
          <w:lang w:val="ru-RU"/>
        </w:rPr>
        <w:t>-072026 размер (</w:t>
      </w:r>
      <w:r w:rsidRPr="00916B3A">
        <w:rPr>
          <w:rFonts w:ascii="Times New Roman" w:hAnsi="Times New Roman"/>
          <w:sz w:val="28"/>
          <w:szCs w:val="28"/>
        </w:rPr>
        <w:t>Fr</w:t>
      </w:r>
      <w:r w:rsidRPr="00916B3A">
        <w:rPr>
          <w:rFonts w:ascii="Times New Roman" w:hAnsi="Times New Roman"/>
          <w:sz w:val="28"/>
          <w:szCs w:val="28"/>
          <w:lang w:val="ru-RU"/>
        </w:rPr>
        <w:t xml:space="preserve">) 7.2 </w:t>
      </w:r>
      <w:r w:rsidRPr="00916B3A">
        <w:rPr>
          <w:rFonts w:ascii="Times New Roman" w:hAnsi="Times New Roman"/>
          <w:sz w:val="28"/>
          <w:szCs w:val="28"/>
        </w:rPr>
        <w:t>Cook</w:t>
      </w:r>
      <w:r w:rsidRPr="00916B3A">
        <w:rPr>
          <w:rFonts w:ascii="Times New Roman" w:hAnsi="Times New Roman"/>
          <w:sz w:val="28"/>
          <w:szCs w:val="28"/>
          <w:lang w:val="ru-RU"/>
        </w:rPr>
        <w:t xml:space="preserve"> </w:t>
      </w:r>
      <w:r w:rsidRPr="00916B3A">
        <w:rPr>
          <w:rFonts w:ascii="Times New Roman" w:hAnsi="Times New Roman"/>
          <w:sz w:val="28"/>
          <w:szCs w:val="28"/>
        </w:rPr>
        <w:t>Incorporated</w:t>
      </w:r>
      <w:r w:rsidRPr="00916B3A">
        <w:rPr>
          <w:rFonts w:ascii="Times New Roman" w:hAnsi="Times New Roman"/>
          <w:sz w:val="28"/>
          <w:szCs w:val="28"/>
          <w:lang w:val="ru-RU"/>
        </w:rPr>
        <w:t xml:space="preserve">, США). Образцы ткани переносили из катетера в криопробирку с 1 мл раствора </w:t>
      </w:r>
      <w:r w:rsidRPr="00916B3A">
        <w:rPr>
          <w:rFonts w:ascii="Times New Roman" w:hAnsi="Times New Roman"/>
          <w:sz w:val="28"/>
          <w:szCs w:val="28"/>
        </w:rPr>
        <w:t>RNA</w:t>
      </w:r>
      <w:r w:rsidRPr="00916B3A">
        <w:rPr>
          <w:rFonts w:ascii="Times New Roman" w:hAnsi="Times New Roman"/>
          <w:sz w:val="28"/>
          <w:szCs w:val="28"/>
          <w:lang w:val="ru-RU"/>
        </w:rPr>
        <w:t>-</w:t>
      </w:r>
      <w:r w:rsidRPr="00916B3A">
        <w:rPr>
          <w:rFonts w:ascii="Times New Roman" w:hAnsi="Times New Roman"/>
          <w:sz w:val="28"/>
          <w:szCs w:val="28"/>
        </w:rPr>
        <w:t>later</w:t>
      </w:r>
      <w:r w:rsidRPr="00916B3A">
        <w:rPr>
          <w:rFonts w:ascii="Times New Roman" w:hAnsi="Times New Roman"/>
          <w:sz w:val="28"/>
          <w:szCs w:val="28"/>
          <w:lang w:val="ru-RU"/>
        </w:rPr>
        <w:t xml:space="preserve"> </w:t>
      </w:r>
      <w:r w:rsidRPr="00916B3A">
        <w:rPr>
          <w:rFonts w:ascii="Times New Roman" w:hAnsi="Times New Roman"/>
          <w:sz w:val="28"/>
          <w:szCs w:val="28"/>
        </w:rPr>
        <w:t>Stabilization</w:t>
      </w:r>
      <w:r w:rsidRPr="00916B3A">
        <w:rPr>
          <w:rFonts w:ascii="Times New Roman" w:hAnsi="Times New Roman"/>
          <w:sz w:val="28"/>
          <w:szCs w:val="28"/>
          <w:lang w:val="ru-RU"/>
        </w:rPr>
        <w:t xml:space="preserve"> (</w:t>
      </w:r>
      <w:r w:rsidRPr="00916B3A">
        <w:rPr>
          <w:rFonts w:ascii="Times New Roman" w:hAnsi="Times New Roman"/>
          <w:sz w:val="28"/>
          <w:szCs w:val="28"/>
        </w:rPr>
        <w:t>Thermo</w:t>
      </w:r>
      <w:r w:rsidRPr="00916B3A">
        <w:rPr>
          <w:rFonts w:ascii="Times New Roman" w:hAnsi="Times New Roman"/>
          <w:sz w:val="28"/>
          <w:szCs w:val="28"/>
          <w:lang w:val="ru-RU"/>
        </w:rPr>
        <w:t xml:space="preserve"> </w:t>
      </w:r>
      <w:r w:rsidRPr="00916B3A">
        <w:rPr>
          <w:rFonts w:ascii="Times New Roman" w:hAnsi="Times New Roman"/>
          <w:sz w:val="28"/>
          <w:szCs w:val="28"/>
        </w:rPr>
        <w:t>Fisher</w:t>
      </w:r>
      <w:r w:rsidRPr="00916B3A">
        <w:rPr>
          <w:rFonts w:ascii="Times New Roman" w:hAnsi="Times New Roman"/>
          <w:sz w:val="28"/>
          <w:szCs w:val="28"/>
          <w:lang w:val="ru-RU"/>
        </w:rPr>
        <w:t xml:space="preserve"> </w:t>
      </w:r>
      <w:r w:rsidRPr="00916B3A">
        <w:rPr>
          <w:rFonts w:ascii="Times New Roman" w:hAnsi="Times New Roman"/>
          <w:sz w:val="28"/>
          <w:szCs w:val="28"/>
        </w:rPr>
        <w:t>Scientific</w:t>
      </w:r>
      <w:r w:rsidRPr="00916B3A">
        <w:rPr>
          <w:rFonts w:ascii="Times New Roman" w:hAnsi="Times New Roman"/>
          <w:sz w:val="28"/>
          <w:szCs w:val="28"/>
          <w:lang w:val="ru-RU"/>
        </w:rPr>
        <w:t>) для хранения в холодильнике при температуре 4°</w:t>
      </w:r>
      <w:r w:rsidRPr="00916B3A">
        <w:rPr>
          <w:rFonts w:ascii="Times New Roman" w:hAnsi="Times New Roman"/>
          <w:sz w:val="28"/>
          <w:szCs w:val="28"/>
        </w:rPr>
        <w:t>C</w:t>
      </w:r>
      <w:r w:rsidRPr="00916B3A">
        <w:rPr>
          <w:rFonts w:ascii="Times New Roman" w:hAnsi="Times New Roman"/>
          <w:sz w:val="28"/>
          <w:szCs w:val="28"/>
          <w:lang w:val="ru-RU"/>
        </w:rPr>
        <w:t xml:space="preserve"> в течение 12 ч. На следующий день образцы переносили в морозильную камеру при температуре −20°</w:t>
      </w:r>
      <w:r w:rsidRPr="00916B3A">
        <w:rPr>
          <w:rFonts w:ascii="Times New Roman" w:hAnsi="Times New Roman"/>
          <w:sz w:val="28"/>
          <w:szCs w:val="28"/>
        </w:rPr>
        <w:t>C</w:t>
      </w:r>
      <w:r w:rsidRPr="00916B3A">
        <w:rPr>
          <w:rFonts w:ascii="Times New Roman" w:hAnsi="Times New Roman"/>
          <w:sz w:val="28"/>
          <w:szCs w:val="28"/>
          <w:lang w:val="ru-RU"/>
        </w:rPr>
        <w:t>. После завершения сбора образцов их отправляли в Институт молекулярной биологии и биохимии им. М. Айтхожина (Алматы, Казахстан).</w:t>
      </w:r>
    </w:p>
    <w:p w14:paraId="5CDD05CB" w14:textId="77777777" w:rsidR="0046192A" w:rsidRPr="00916B3A" w:rsidRDefault="0046192A" w:rsidP="00BE6128">
      <w:pPr>
        <w:pStyle w:val="MDPI31text"/>
        <w:spacing w:line="240" w:lineRule="auto"/>
        <w:ind w:left="0" w:firstLine="567"/>
        <w:rPr>
          <w:rFonts w:ascii="Times New Roman" w:hAnsi="Times New Roman"/>
          <w:sz w:val="28"/>
          <w:szCs w:val="28"/>
          <w:lang w:val="ru-RU"/>
        </w:rPr>
      </w:pPr>
      <w:r w:rsidRPr="00916B3A">
        <w:rPr>
          <w:rFonts w:ascii="Times New Roman" w:hAnsi="Times New Roman"/>
          <w:i/>
          <w:sz w:val="28"/>
          <w:szCs w:val="28"/>
          <w:lang w:val="ru-RU"/>
        </w:rPr>
        <w:t xml:space="preserve">Выделение РНК из образцов эндометрия. </w:t>
      </w:r>
      <w:r w:rsidRPr="00916B3A">
        <w:rPr>
          <w:rFonts w:ascii="Times New Roman" w:hAnsi="Times New Roman"/>
          <w:sz w:val="28"/>
          <w:szCs w:val="28"/>
          <w:lang w:val="ru-RU"/>
        </w:rPr>
        <w:t xml:space="preserve">Выделение общей РНК из образцов эндометрия проводилось с использованием набора </w:t>
      </w:r>
      <w:r w:rsidRPr="00916B3A">
        <w:rPr>
          <w:rFonts w:ascii="Times New Roman" w:hAnsi="Times New Roman"/>
          <w:sz w:val="28"/>
          <w:szCs w:val="28"/>
        </w:rPr>
        <w:t>Dynabeads</w:t>
      </w:r>
      <w:r w:rsidRPr="00916B3A">
        <w:rPr>
          <w:rFonts w:ascii="Times New Roman" w:hAnsi="Times New Roman"/>
          <w:sz w:val="28"/>
          <w:szCs w:val="28"/>
          <w:lang w:val="ru-RU"/>
        </w:rPr>
        <w:t xml:space="preserve"> ™ </w:t>
      </w:r>
      <w:r w:rsidRPr="00916B3A">
        <w:rPr>
          <w:rFonts w:ascii="Times New Roman" w:hAnsi="Times New Roman"/>
          <w:sz w:val="28"/>
          <w:szCs w:val="28"/>
        </w:rPr>
        <w:t>mRNA</w:t>
      </w:r>
      <w:r w:rsidRPr="00916B3A">
        <w:rPr>
          <w:rFonts w:ascii="Times New Roman" w:hAnsi="Times New Roman"/>
          <w:sz w:val="28"/>
          <w:szCs w:val="28"/>
          <w:lang w:val="ru-RU"/>
        </w:rPr>
        <w:t xml:space="preserve"> </w:t>
      </w:r>
      <w:r w:rsidRPr="00916B3A">
        <w:rPr>
          <w:rFonts w:ascii="Times New Roman" w:hAnsi="Times New Roman"/>
          <w:sz w:val="28"/>
          <w:szCs w:val="28"/>
        </w:rPr>
        <w:t>DIRECT</w:t>
      </w:r>
      <w:r w:rsidRPr="00916B3A">
        <w:rPr>
          <w:rFonts w:ascii="Times New Roman" w:hAnsi="Times New Roman"/>
          <w:sz w:val="28"/>
          <w:szCs w:val="28"/>
          <w:lang w:val="ru-RU"/>
        </w:rPr>
        <w:t xml:space="preserve">™ </w:t>
      </w:r>
      <w:r w:rsidRPr="00916B3A">
        <w:rPr>
          <w:rFonts w:ascii="Times New Roman" w:hAnsi="Times New Roman"/>
          <w:sz w:val="28"/>
          <w:szCs w:val="28"/>
        </w:rPr>
        <w:t>Purification</w:t>
      </w:r>
      <w:r w:rsidRPr="00916B3A">
        <w:rPr>
          <w:rFonts w:ascii="Times New Roman" w:hAnsi="Times New Roman"/>
          <w:sz w:val="28"/>
          <w:szCs w:val="28"/>
          <w:lang w:val="ru-RU"/>
        </w:rPr>
        <w:t xml:space="preserve"> </w:t>
      </w:r>
      <w:r w:rsidRPr="00916B3A">
        <w:rPr>
          <w:rFonts w:ascii="Times New Roman" w:hAnsi="Times New Roman"/>
          <w:sz w:val="28"/>
          <w:szCs w:val="28"/>
        </w:rPr>
        <w:t>Kit</w:t>
      </w:r>
      <w:r w:rsidRPr="00916B3A">
        <w:rPr>
          <w:rFonts w:ascii="Times New Roman" w:hAnsi="Times New Roman"/>
          <w:sz w:val="28"/>
          <w:szCs w:val="28"/>
          <w:lang w:val="ru-RU"/>
        </w:rPr>
        <w:t xml:space="preserve"> (</w:t>
      </w:r>
      <w:r w:rsidRPr="00916B3A">
        <w:rPr>
          <w:rFonts w:ascii="Times New Roman" w:hAnsi="Times New Roman"/>
          <w:sz w:val="28"/>
          <w:szCs w:val="28"/>
        </w:rPr>
        <w:t>Thermo</w:t>
      </w:r>
      <w:r w:rsidRPr="00916B3A">
        <w:rPr>
          <w:rFonts w:ascii="Times New Roman" w:hAnsi="Times New Roman"/>
          <w:sz w:val="28"/>
          <w:szCs w:val="28"/>
          <w:lang w:val="ru-RU"/>
        </w:rPr>
        <w:t xml:space="preserve"> </w:t>
      </w:r>
      <w:r w:rsidRPr="00916B3A">
        <w:rPr>
          <w:rFonts w:ascii="Times New Roman" w:hAnsi="Times New Roman"/>
          <w:sz w:val="28"/>
          <w:szCs w:val="28"/>
        </w:rPr>
        <w:t>Fisher</w:t>
      </w:r>
      <w:r w:rsidRPr="00916B3A">
        <w:rPr>
          <w:rFonts w:ascii="Times New Roman" w:hAnsi="Times New Roman"/>
          <w:sz w:val="28"/>
          <w:szCs w:val="28"/>
          <w:lang w:val="ru-RU"/>
        </w:rPr>
        <w:t xml:space="preserve"> </w:t>
      </w:r>
      <w:r w:rsidRPr="00916B3A">
        <w:rPr>
          <w:rFonts w:ascii="Times New Roman" w:hAnsi="Times New Roman"/>
          <w:sz w:val="28"/>
          <w:szCs w:val="28"/>
        </w:rPr>
        <w:t>Scientific</w:t>
      </w:r>
      <w:r w:rsidRPr="00916B3A">
        <w:rPr>
          <w:rFonts w:ascii="Times New Roman" w:hAnsi="Times New Roman"/>
          <w:sz w:val="28"/>
          <w:szCs w:val="28"/>
          <w:lang w:val="ru-RU"/>
        </w:rPr>
        <w:t>) согласно протоколу производителя. Выделенная РНК немедленно подвергалась дальнейшему анализу.</w:t>
      </w:r>
    </w:p>
    <w:p w14:paraId="5E3992E4" w14:textId="583E03F8" w:rsidR="00094994" w:rsidRPr="00094994" w:rsidRDefault="0046192A" w:rsidP="00BE6128">
      <w:pPr>
        <w:spacing w:after="0" w:line="240" w:lineRule="auto"/>
        <w:ind w:firstLine="567"/>
        <w:jc w:val="both"/>
        <w:rPr>
          <w:rFonts w:ascii="Times New Roman" w:hAnsi="Times New Roman" w:cs="Times New Roman"/>
          <w:sz w:val="28"/>
          <w:szCs w:val="28"/>
        </w:rPr>
      </w:pPr>
      <w:r w:rsidRPr="00916B3A">
        <w:rPr>
          <w:rFonts w:ascii="Times New Roman" w:hAnsi="Times New Roman"/>
          <w:i/>
          <w:sz w:val="28"/>
          <w:szCs w:val="28"/>
        </w:rPr>
        <w:t xml:space="preserve">Синтез кДНК и количественная полимеразная цепная реакция (ПЦР). </w:t>
      </w:r>
      <w:r w:rsidRPr="00916B3A">
        <w:rPr>
          <w:rFonts w:ascii="Times New Roman" w:hAnsi="Times New Roman"/>
          <w:sz w:val="28"/>
          <w:szCs w:val="28"/>
        </w:rPr>
        <w:t>Обратная транскрипция и количественная ПЦР проводились с использованием праймеров и зондов из TaqMan™ Gene Expression Assay (Applied Biosystems, США)</w:t>
      </w:r>
      <w:r w:rsidR="00783C4B">
        <w:rPr>
          <w:rFonts w:ascii="Times New Roman" w:hAnsi="Times New Roman"/>
          <w:sz w:val="28"/>
          <w:szCs w:val="28"/>
        </w:rPr>
        <w:t xml:space="preserve">: </w:t>
      </w:r>
      <w:r w:rsidR="00783C4B" w:rsidRPr="00094994">
        <w:rPr>
          <w:rFonts w:ascii="Times New Roman" w:hAnsi="Times New Roman" w:cs="Times New Roman"/>
          <w:sz w:val="28"/>
          <w:szCs w:val="28"/>
        </w:rPr>
        <w:t>1.</w:t>
      </w:r>
      <w:r w:rsidR="00783C4B" w:rsidRPr="00094994">
        <w:rPr>
          <w:rFonts w:ascii="Times New Roman" w:hAnsi="Times New Roman" w:cs="Times New Roman"/>
          <w:sz w:val="28"/>
          <w:szCs w:val="28"/>
          <w:lang w:eastAsia="ru-RU"/>
        </w:rPr>
        <w:t xml:space="preserve"> </w:t>
      </w:r>
      <w:r w:rsidR="00783C4B" w:rsidRPr="00094994">
        <w:rPr>
          <w:rFonts w:ascii="Times New Roman" w:eastAsia="Times New Roman" w:hAnsi="Times New Roman" w:cs="Times New Roman"/>
          <w:color w:val="000000"/>
          <w:sz w:val="28"/>
          <w:szCs w:val="28"/>
          <w:lang w:val="en-US" w:eastAsia="ru-RU"/>
        </w:rPr>
        <w:t>Assay ID</w:t>
      </w:r>
      <w:r w:rsidR="00B17F46" w:rsidRPr="00094994">
        <w:rPr>
          <w:rFonts w:ascii="Times New Roman" w:eastAsia="Times New Roman" w:hAnsi="Times New Roman" w:cs="Times New Roman"/>
          <w:color w:val="000000"/>
          <w:sz w:val="28"/>
          <w:szCs w:val="28"/>
          <w:lang w:val="en-US" w:eastAsia="ru-RU"/>
        </w:rPr>
        <w:t>-</w:t>
      </w:r>
      <w:r w:rsidR="00783C4B" w:rsidRPr="00094994">
        <w:rPr>
          <w:rFonts w:ascii="Times New Roman" w:hAnsi="Times New Roman" w:cs="Times New Roman"/>
          <w:sz w:val="28"/>
          <w:szCs w:val="28"/>
          <w:lang w:val="en-US" w:eastAsia="ru-RU"/>
        </w:rPr>
        <w:t xml:space="preserve"> </w:t>
      </w:r>
      <w:r w:rsidR="00783C4B" w:rsidRPr="00094994">
        <w:rPr>
          <w:rFonts w:ascii="Times New Roman" w:eastAsia="Times New Roman" w:hAnsi="Times New Roman" w:cs="Times New Roman"/>
          <w:sz w:val="28"/>
          <w:szCs w:val="28"/>
          <w:lang w:val="en-US" w:eastAsia="ru-RU"/>
        </w:rPr>
        <w:t xml:space="preserve">Hs00426339_m1- complement component 4 binding protein alpha </w:t>
      </w:r>
      <w:r w:rsidR="00B17F46" w:rsidRPr="00094994">
        <w:rPr>
          <w:rFonts w:ascii="Times New Roman" w:eastAsia="Times New Roman" w:hAnsi="Times New Roman" w:cs="Times New Roman"/>
          <w:sz w:val="28"/>
          <w:szCs w:val="28"/>
          <w:lang w:val="en-US" w:eastAsia="ru-RU"/>
        </w:rPr>
        <w:t>(</w:t>
      </w:r>
      <w:r w:rsidR="00783C4B" w:rsidRPr="00094994">
        <w:rPr>
          <w:rFonts w:ascii="Times New Roman" w:eastAsia="Times New Roman" w:hAnsi="Times New Roman" w:cs="Times New Roman"/>
          <w:sz w:val="28"/>
          <w:szCs w:val="28"/>
          <w:lang w:val="en-US" w:eastAsia="ru-RU"/>
        </w:rPr>
        <w:t>C4BPA</w:t>
      </w:r>
      <w:r w:rsidR="00B17F46" w:rsidRPr="00094994">
        <w:rPr>
          <w:rFonts w:ascii="Times New Roman" w:eastAsia="Times New Roman" w:hAnsi="Times New Roman" w:cs="Times New Roman"/>
          <w:sz w:val="28"/>
          <w:szCs w:val="28"/>
          <w:lang w:val="en-US" w:eastAsia="ru-RU"/>
        </w:rPr>
        <w:t xml:space="preserve">); 2. </w:t>
      </w:r>
      <w:r w:rsidR="00B17F46" w:rsidRPr="00094994">
        <w:rPr>
          <w:rFonts w:ascii="Times New Roman" w:eastAsia="Times New Roman" w:hAnsi="Times New Roman" w:cs="Times New Roman"/>
          <w:color w:val="000000"/>
          <w:sz w:val="28"/>
          <w:szCs w:val="28"/>
          <w:lang w:val="en-US" w:eastAsia="ru-RU"/>
        </w:rPr>
        <w:t>Assay ID- Hs00173634_m1- vascular endothelial growth factor B(VEGFB); 3. Assay ID- Hs00236937_m1- C-X-C motif chemokine ligand 1(CXCL1); 4. Assay ID-</w:t>
      </w:r>
      <w:r w:rsidR="00094994" w:rsidRPr="00094994">
        <w:rPr>
          <w:rFonts w:ascii="Times New Roman" w:eastAsia="Times New Roman" w:hAnsi="Times New Roman" w:cs="Times New Roman"/>
          <w:color w:val="000000"/>
          <w:sz w:val="28"/>
          <w:szCs w:val="28"/>
          <w:lang w:val="en-US" w:eastAsia="ru-RU"/>
        </w:rPr>
        <w:t xml:space="preserve"> Hs01003716_m1- interleukin 15 (IL15); 5. Assay ID- Hs00232769_m1- heart and neural crest derivatives expressed 2(HAND2).</w:t>
      </w:r>
      <w:r w:rsidRPr="00094994">
        <w:rPr>
          <w:rFonts w:ascii="Times New Roman" w:hAnsi="Times New Roman"/>
          <w:sz w:val="28"/>
          <w:szCs w:val="28"/>
          <w:lang w:val="en-US"/>
        </w:rPr>
        <w:t xml:space="preserve"> </w:t>
      </w:r>
      <w:r w:rsidR="00422ECF">
        <w:rPr>
          <w:rFonts w:ascii="Times New Roman" w:hAnsi="Times New Roman"/>
          <w:sz w:val="28"/>
          <w:szCs w:val="28"/>
        </w:rPr>
        <w:t>С</w:t>
      </w:r>
      <w:r w:rsidR="00422ECF" w:rsidRPr="00422ECF">
        <w:rPr>
          <w:rFonts w:ascii="Times New Roman" w:hAnsi="Times New Roman"/>
          <w:sz w:val="28"/>
          <w:szCs w:val="28"/>
        </w:rPr>
        <w:t>омплементарная</w:t>
      </w:r>
      <w:r w:rsidR="00422ECF" w:rsidRPr="00031C19">
        <w:rPr>
          <w:rFonts w:ascii="Times New Roman" w:hAnsi="Times New Roman"/>
          <w:sz w:val="28"/>
          <w:szCs w:val="28"/>
          <w:lang w:val="en-US"/>
        </w:rPr>
        <w:t xml:space="preserve"> </w:t>
      </w:r>
      <w:r w:rsidR="00422ECF" w:rsidRPr="00422ECF">
        <w:rPr>
          <w:rFonts w:ascii="Times New Roman" w:hAnsi="Times New Roman"/>
          <w:sz w:val="28"/>
          <w:szCs w:val="28"/>
        </w:rPr>
        <w:t>ДНК</w:t>
      </w:r>
      <w:r w:rsidR="00422ECF" w:rsidRPr="00031C19">
        <w:rPr>
          <w:rFonts w:ascii="Times New Roman" w:hAnsi="Times New Roman"/>
          <w:sz w:val="28"/>
          <w:szCs w:val="28"/>
          <w:lang w:val="en-US"/>
        </w:rPr>
        <w:t xml:space="preserve"> (</w:t>
      </w:r>
      <w:r w:rsidR="00422ECF" w:rsidRPr="00422ECF">
        <w:rPr>
          <w:rFonts w:ascii="Times New Roman" w:hAnsi="Times New Roman"/>
          <w:sz w:val="28"/>
          <w:szCs w:val="28"/>
        </w:rPr>
        <w:t>кДНК</w:t>
      </w:r>
      <w:r w:rsidR="00422ECF" w:rsidRPr="00031C19">
        <w:rPr>
          <w:rFonts w:ascii="Times New Roman" w:hAnsi="Times New Roman"/>
          <w:sz w:val="28"/>
          <w:szCs w:val="28"/>
          <w:lang w:val="en-US"/>
        </w:rPr>
        <w:t>)</w:t>
      </w:r>
      <w:r w:rsidRPr="00031C19">
        <w:rPr>
          <w:rFonts w:ascii="Times New Roman" w:hAnsi="Times New Roman"/>
          <w:sz w:val="28"/>
          <w:szCs w:val="28"/>
          <w:lang w:val="en-US"/>
        </w:rPr>
        <w:t xml:space="preserve"> </w:t>
      </w:r>
      <w:r w:rsidRPr="00916B3A">
        <w:rPr>
          <w:rFonts w:ascii="Times New Roman" w:hAnsi="Times New Roman"/>
          <w:sz w:val="28"/>
          <w:szCs w:val="28"/>
        </w:rPr>
        <w:t>была</w:t>
      </w:r>
      <w:r w:rsidRPr="00031C19">
        <w:rPr>
          <w:rFonts w:ascii="Times New Roman" w:hAnsi="Times New Roman"/>
          <w:sz w:val="28"/>
          <w:szCs w:val="28"/>
          <w:lang w:val="en-US"/>
        </w:rPr>
        <w:t xml:space="preserve"> </w:t>
      </w:r>
      <w:r w:rsidRPr="00916B3A">
        <w:rPr>
          <w:rFonts w:ascii="Times New Roman" w:hAnsi="Times New Roman"/>
          <w:sz w:val="28"/>
          <w:szCs w:val="28"/>
        </w:rPr>
        <w:t>получена</w:t>
      </w:r>
      <w:r w:rsidRPr="00031C19">
        <w:rPr>
          <w:rFonts w:ascii="Times New Roman" w:hAnsi="Times New Roman"/>
          <w:sz w:val="28"/>
          <w:szCs w:val="28"/>
          <w:lang w:val="en-US"/>
        </w:rPr>
        <w:t xml:space="preserve"> </w:t>
      </w:r>
      <w:r w:rsidRPr="00916B3A">
        <w:rPr>
          <w:rFonts w:ascii="Times New Roman" w:hAnsi="Times New Roman"/>
          <w:sz w:val="28"/>
          <w:szCs w:val="28"/>
        </w:rPr>
        <w:t>с</w:t>
      </w:r>
      <w:r w:rsidRPr="00031C19">
        <w:rPr>
          <w:rFonts w:ascii="Times New Roman" w:hAnsi="Times New Roman"/>
          <w:sz w:val="28"/>
          <w:szCs w:val="28"/>
          <w:lang w:val="en-US"/>
        </w:rPr>
        <w:t xml:space="preserve"> </w:t>
      </w:r>
      <w:r w:rsidRPr="00916B3A">
        <w:rPr>
          <w:rFonts w:ascii="Times New Roman" w:hAnsi="Times New Roman"/>
          <w:sz w:val="28"/>
          <w:szCs w:val="28"/>
        </w:rPr>
        <w:t>использованием</w:t>
      </w:r>
      <w:r w:rsidRPr="00031C19">
        <w:rPr>
          <w:rFonts w:ascii="Times New Roman" w:hAnsi="Times New Roman"/>
          <w:sz w:val="28"/>
          <w:szCs w:val="28"/>
          <w:lang w:val="en-US"/>
        </w:rPr>
        <w:t xml:space="preserve"> </w:t>
      </w:r>
      <w:r w:rsidRPr="00916B3A">
        <w:rPr>
          <w:rFonts w:ascii="Times New Roman" w:hAnsi="Times New Roman"/>
          <w:sz w:val="28"/>
          <w:szCs w:val="28"/>
        </w:rPr>
        <w:t>набора</w:t>
      </w:r>
      <w:r w:rsidRPr="00031C19">
        <w:rPr>
          <w:rFonts w:ascii="Times New Roman" w:hAnsi="Times New Roman"/>
          <w:sz w:val="28"/>
          <w:szCs w:val="28"/>
          <w:lang w:val="en-US"/>
        </w:rPr>
        <w:t xml:space="preserve"> </w:t>
      </w:r>
      <w:r w:rsidRPr="00094994">
        <w:rPr>
          <w:rFonts w:ascii="Times New Roman" w:hAnsi="Times New Roman"/>
          <w:sz w:val="28"/>
          <w:szCs w:val="28"/>
          <w:lang w:val="en-US"/>
        </w:rPr>
        <w:t>High</w:t>
      </w:r>
      <w:r w:rsidRPr="00031C19">
        <w:rPr>
          <w:rFonts w:ascii="Times New Roman" w:hAnsi="Times New Roman"/>
          <w:sz w:val="28"/>
          <w:szCs w:val="28"/>
          <w:lang w:val="en-US"/>
        </w:rPr>
        <w:t>-</w:t>
      </w:r>
      <w:r w:rsidRPr="00094994">
        <w:rPr>
          <w:rFonts w:ascii="Times New Roman" w:hAnsi="Times New Roman"/>
          <w:sz w:val="28"/>
          <w:szCs w:val="28"/>
          <w:lang w:val="en-US"/>
        </w:rPr>
        <w:t>capacity</w:t>
      </w:r>
      <w:r w:rsidRPr="00031C19">
        <w:rPr>
          <w:rFonts w:ascii="Times New Roman" w:hAnsi="Times New Roman"/>
          <w:sz w:val="28"/>
          <w:szCs w:val="28"/>
          <w:lang w:val="en-US"/>
        </w:rPr>
        <w:t xml:space="preserve"> </w:t>
      </w:r>
      <w:r w:rsidR="00422ECF" w:rsidRPr="00422ECF">
        <w:rPr>
          <w:rFonts w:ascii="Times New Roman" w:hAnsi="Times New Roman"/>
          <w:sz w:val="28"/>
          <w:szCs w:val="28"/>
          <w:lang w:val="en-US"/>
        </w:rPr>
        <w:t>complementary DNA (cDNA)</w:t>
      </w:r>
      <w:r w:rsidRPr="00031C19">
        <w:rPr>
          <w:rFonts w:ascii="Times New Roman" w:hAnsi="Times New Roman"/>
          <w:sz w:val="28"/>
          <w:szCs w:val="28"/>
          <w:lang w:val="en-US"/>
        </w:rPr>
        <w:t xml:space="preserve"> </w:t>
      </w:r>
      <w:r w:rsidRPr="00094994">
        <w:rPr>
          <w:rFonts w:ascii="Times New Roman" w:hAnsi="Times New Roman"/>
          <w:sz w:val="28"/>
          <w:szCs w:val="28"/>
          <w:lang w:val="en-US"/>
        </w:rPr>
        <w:t>Reverse</w:t>
      </w:r>
      <w:r w:rsidRPr="00031C19">
        <w:rPr>
          <w:rFonts w:ascii="Times New Roman" w:hAnsi="Times New Roman"/>
          <w:sz w:val="28"/>
          <w:szCs w:val="28"/>
          <w:lang w:val="en-US"/>
        </w:rPr>
        <w:t xml:space="preserve"> </w:t>
      </w:r>
      <w:r w:rsidRPr="00094994">
        <w:rPr>
          <w:rFonts w:ascii="Times New Roman" w:hAnsi="Times New Roman"/>
          <w:sz w:val="28"/>
          <w:szCs w:val="28"/>
          <w:lang w:val="en-US"/>
        </w:rPr>
        <w:t>Transcription</w:t>
      </w:r>
      <w:r w:rsidRPr="00031C19">
        <w:rPr>
          <w:rFonts w:ascii="Times New Roman" w:hAnsi="Times New Roman"/>
          <w:sz w:val="28"/>
          <w:szCs w:val="28"/>
          <w:lang w:val="en-US"/>
        </w:rPr>
        <w:t xml:space="preserve"> </w:t>
      </w:r>
      <w:r w:rsidRPr="00094994">
        <w:rPr>
          <w:rFonts w:ascii="Times New Roman" w:hAnsi="Times New Roman"/>
          <w:sz w:val="28"/>
          <w:szCs w:val="28"/>
          <w:lang w:val="en-US"/>
        </w:rPr>
        <w:t>Kit</w:t>
      </w:r>
      <w:r w:rsidRPr="00031C19">
        <w:rPr>
          <w:rFonts w:ascii="Times New Roman" w:hAnsi="Times New Roman"/>
          <w:sz w:val="28"/>
          <w:szCs w:val="28"/>
          <w:lang w:val="en-US"/>
        </w:rPr>
        <w:t xml:space="preserve"> (</w:t>
      </w:r>
      <w:r w:rsidRPr="00094994">
        <w:rPr>
          <w:rFonts w:ascii="Times New Roman" w:hAnsi="Times New Roman"/>
          <w:sz w:val="28"/>
          <w:szCs w:val="28"/>
          <w:lang w:val="en-US"/>
        </w:rPr>
        <w:t>Applied</w:t>
      </w:r>
      <w:r w:rsidRPr="00031C19">
        <w:rPr>
          <w:rFonts w:ascii="Times New Roman" w:hAnsi="Times New Roman"/>
          <w:sz w:val="28"/>
          <w:szCs w:val="28"/>
          <w:lang w:val="en-US"/>
        </w:rPr>
        <w:t xml:space="preserve"> </w:t>
      </w:r>
      <w:r w:rsidRPr="00094994">
        <w:rPr>
          <w:rFonts w:ascii="Times New Roman" w:hAnsi="Times New Roman"/>
          <w:sz w:val="28"/>
          <w:szCs w:val="28"/>
          <w:lang w:val="en-US"/>
        </w:rPr>
        <w:t>Biosystems</w:t>
      </w:r>
      <w:r w:rsidRPr="00031C19">
        <w:rPr>
          <w:rFonts w:ascii="Times New Roman" w:hAnsi="Times New Roman"/>
          <w:sz w:val="28"/>
          <w:szCs w:val="28"/>
          <w:lang w:val="en-US"/>
        </w:rPr>
        <w:t xml:space="preserve">) </w:t>
      </w:r>
      <w:r w:rsidRPr="00916B3A">
        <w:rPr>
          <w:rFonts w:ascii="Times New Roman" w:hAnsi="Times New Roman"/>
          <w:sz w:val="28"/>
          <w:szCs w:val="28"/>
        </w:rPr>
        <w:t>в</w:t>
      </w:r>
      <w:r w:rsidRPr="00031C19">
        <w:rPr>
          <w:rFonts w:ascii="Times New Roman" w:hAnsi="Times New Roman"/>
          <w:sz w:val="28"/>
          <w:szCs w:val="28"/>
          <w:lang w:val="en-US"/>
        </w:rPr>
        <w:t xml:space="preserve"> </w:t>
      </w:r>
      <w:r w:rsidRPr="00916B3A">
        <w:rPr>
          <w:rFonts w:ascii="Times New Roman" w:hAnsi="Times New Roman"/>
          <w:sz w:val="28"/>
          <w:szCs w:val="28"/>
        </w:rPr>
        <w:t>соответствии</w:t>
      </w:r>
      <w:r w:rsidRPr="00031C19">
        <w:rPr>
          <w:rFonts w:ascii="Times New Roman" w:hAnsi="Times New Roman"/>
          <w:sz w:val="28"/>
          <w:szCs w:val="28"/>
          <w:lang w:val="en-US"/>
        </w:rPr>
        <w:t xml:space="preserve"> </w:t>
      </w:r>
      <w:r w:rsidRPr="00916B3A">
        <w:rPr>
          <w:rFonts w:ascii="Times New Roman" w:hAnsi="Times New Roman"/>
          <w:sz w:val="28"/>
          <w:szCs w:val="28"/>
        </w:rPr>
        <w:t>с</w:t>
      </w:r>
      <w:r w:rsidRPr="00031C19">
        <w:rPr>
          <w:rFonts w:ascii="Times New Roman" w:hAnsi="Times New Roman"/>
          <w:sz w:val="28"/>
          <w:szCs w:val="28"/>
          <w:lang w:val="en-US"/>
        </w:rPr>
        <w:t xml:space="preserve"> </w:t>
      </w:r>
      <w:r w:rsidRPr="00916B3A">
        <w:rPr>
          <w:rFonts w:ascii="Times New Roman" w:hAnsi="Times New Roman"/>
          <w:sz w:val="28"/>
          <w:szCs w:val="28"/>
        </w:rPr>
        <w:t>протоколом</w:t>
      </w:r>
      <w:r w:rsidRPr="00031C19">
        <w:rPr>
          <w:rFonts w:ascii="Times New Roman" w:hAnsi="Times New Roman"/>
          <w:sz w:val="28"/>
          <w:szCs w:val="28"/>
          <w:lang w:val="en-US"/>
        </w:rPr>
        <w:t xml:space="preserve"> </w:t>
      </w:r>
      <w:r w:rsidRPr="00916B3A">
        <w:rPr>
          <w:rFonts w:ascii="Times New Roman" w:hAnsi="Times New Roman"/>
          <w:sz w:val="28"/>
          <w:szCs w:val="28"/>
        </w:rPr>
        <w:t>производителя</w:t>
      </w:r>
      <w:r w:rsidRPr="00031C19">
        <w:rPr>
          <w:rFonts w:ascii="Times New Roman" w:hAnsi="Times New Roman"/>
          <w:sz w:val="28"/>
          <w:szCs w:val="28"/>
          <w:lang w:val="en-US"/>
        </w:rPr>
        <w:t xml:space="preserve">. </w:t>
      </w:r>
      <w:r w:rsidRPr="00916B3A">
        <w:rPr>
          <w:rFonts w:ascii="Times New Roman" w:hAnsi="Times New Roman"/>
          <w:sz w:val="28"/>
          <w:szCs w:val="28"/>
        </w:rPr>
        <w:t>Количественная</w:t>
      </w:r>
      <w:r w:rsidRPr="00BC1756">
        <w:rPr>
          <w:rFonts w:ascii="Times New Roman" w:hAnsi="Times New Roman"/>
          <w:sz w:val="28"/>
          <w:szCs w:val="28"/>
          <w:lang w:val="en-US"/>
        </w:rPr>
        <w:t xml:space="preserve"> </w:t>
      </w:r>
      <w:r w:rsidRPr="00916B3A">
        <w:rPr>
          <w:rFonts w:ascii="Times New Roman" w:hAnsi="Times New Roman"/>
          <w:sz w:val="28"/>
          <w:szCs w:val="28"/>
        </w:rPr>
        <w:t>ПЦР</w:t>
      </w:r>
      <w:r w:rsidRPr="00BC1756">
        <w:rPr>
          <w:rFonts w:ascii="Times New Roman" w:hAnsi="Times New Roman"/>
          <w:sz w:val="28"/>
          <w:szCs w:val="28"/>
          <w:lang w:val="en-US"/>
        </w:rPr>
        <w:t xml:space="preserve"> </w:t>
      </w:r>
      <w:r w:rsidRPr="00916B3A">
        <w:rPr>
          <w:rFonts w:ascii="Times New Roman" w:hAnsi="Times New Roman"/>
          <w:sz w:val="28"/>
          <w:szCs w:val="28"/>
        </w:rPr>
        <w:t>была</w:t>
      </w:r>
      <w:r w:rsidRPr="00BC1756">
        <w:rPr>
          <w:rFonts w:ascii="Times New Roman" w:hAnsi="Times New Roman"/>
          <w:sz w:val="28"/>
          <w:szCs w:val="28"/>
          <w:lang w:val="en-US"/>
        </w:rPr>
        <w:t xml:space="preserve"> </w:t>
      </w:r>
      <w:r w:rsidRPr="00916B3A">
        <w:rPr>
          <w:rFonts w:ascii="Times New Roman" w:hAnsi="Times New Roman"/>
          <w:sz w:val="28"/>
          <w:szCs w:val="28"/>
        </w:rPr>
        <w:t>проведена</w:t>
      </w:r>
      <w:r w:rsidRPr="00BC1756">
        <w:rPr>
          <w:rFonts w:ascii="Times New Roman" w:hAnsi="Times New Roman"/>
          <w:sz w:val="28"/>
          <w:szCs w:val="28"/>
          <w:lang w:val="en-US"/>
        </w:rPr>
        <w:t xml:space="preserve"> </w:t>
      </w:r>
      <w:r w:rsidRPr="00916B3A">
        <w:rPr>
          <w:rFonts w:ascii="Times New Roman" w:hAnsi="Times New Roman"/>
          <w:sz w:val="28"/>
          <w:szCs w:val="28"/>
        </w:rPr>
        <w:t>в</w:t>
      </w:r>
      <w:r w:rsidRPr="00BC1756">
        <w:rPr>
          <w:rFonts w:ascii="Times New Roman" w:hAnsi="Times New Roman"/>
          <w:sz w:val="28"/>
          <w:szCs w:val="28"/>
          <w:lang w:val="en-US"/>
        </w:rPr>
        <w:t xml:space="preserve"> </w:t>
      </w:r>
      <w:r w:rsidRPr="00916B3A">
        <w:rPr>
          <w:rFonts w:ascii="Times New Roman" w:hAnsi="Times New Roman"/>
          <w:sz w:val="28"/>
          <w:szCs w:val="28"/>
        </w:rPr>
        <w:t>дубликатах</w:t>
      </w:r>
      <w:r w:rsidRPr="00BC1756">
        <w:rPr>
          <w:rFonts w:ascii="Times New Roman" w:hAnsi="Times New Roman"/>
          <w:sz w:val="28"/>
          <w:szCs w:val="28"/>
          <w:lang w:val="en-US"/>
        </w:rPr>
        <w:t xml:space="preserve"> </w:t>
      </w:r>
      <w:r w:rsidRPr="00916B3A">
        <w:rPr>
          <w:rFonts w:ascii="Times New Roman" w:hAnsi="Times New Roman"/>
          <w:sz w:val="28"/>
          <w:szCs w:val="28"/>
        </w:rPr>
        <w:t>с</w:t>
      </w:r>
      <w:r w:rsidRPr="00BC1756">
        <w:rPr>
          <w:rFonts w:ascii="Times New Roman" w:hAnsi="Times New Roman"/>
          <w:sz w:val="28"/>
          <w:szCs w:val="28"/>
          <w:lang w:val="en-US"/>
        </w:rPr>
        <w:t xml:space="preserve"> </w:t>
      </w:r>
      <w:r w:rsidRPr="00916B3A">
        <w:rPr>
          <w:rFonts w:ascii="Times New Roman" w:hAnsi="Times New Roman"/>
          <w:sz w:val="28"/>
          <w:szCs w:val="28"/>
        </w:rPr>
        <w:t>использованием</w:t>
      </w:r>
      <w:r w:rsidRPr="00BC1756">
        <w:rPr>
          <w:rFonts w:ascii="Times New Roman" w:hAnsi="Times New Roman"/>
          <w:sz w:val="28"/>
          <w:szCs w:val="28"/>
          <w:lang w:val="en-US"/>
        </w:rPr>
        <w:t xml:space="preserve"> TaqMan Fast Advanced Master Mix (Applied Biosystems) </w:t>
      </w:r>
      <w:r w:rsidRPr="00916B3A">
        <w:rPr>
          <w:rFonts w:ascii="Times New Roman" w:hAnsi="Times New Roman"/>
          <w:sz w:val="28"/>
          <w:szCs w:val="28"/>
        </w:rPr>
        <w:t>в</w:t>
      </w:r>
      <w:r w:rsidRPr="00BC1756">
        <w:rPr>
          <w:rFonts w:ascii="Times New Roman" w:hAnsi="Times New Roman"/>
          <w:sz w:val="28"/>
          <w:szCs w:val="28"/>
          <w:lang w:val="en-US"/>
        </w:rPr>
        <w:t xml:space="preserve"> </w:t>
      </w:r>
      <w:r w:rsidRPr="00916B3A">
        <w:rPr>
          <w:rFonts w:ascii="Times New Roman" w:hAnsi="Times New Roman"/>
          <w:sz w:val="28"/>
          <w:szCs w:val="28"/>
        </w:rPr>
        <w:t>условиях</w:t>
      </w:r>
      <w:r w:rsidRPr="00BC1756">
        <w:rPr>
          <w:rFonts w:ascii="Times New Roman" w:hAnsi="Times New Roman"/>
          <w:sz w:val="28"/>
          <w:szCs w:val="28"/>
          <w:lang w:val="en-US"/>
        </w:rPr>
        <w:t xml:space="preserve">, </w:t>
      </w:r>
      <w:r w:rsidRPr="00916B3A">
        <w:rPr>
          <w:rFonts w:ascii="Times New Roman" w:hAnsi="Times New Roman"/>
          <w:sz w:val="28"/>
          <w:szCs w:val="28"/>
        </w:rPr>
        <w:t>рекомендованных</w:t>
      </w:r>
      <w:r w:rsidRPr="00BC1756">
        <w:rPr>
          <w:rFonts w:ascii="Times New Roman" w:hAnsi="Times New Roman"/>
          <w:sz w:val="28"/>
          <w:szCs w:val="28"/>
          <w:lang w:val="en-US"/>
        </w:rPr>
        <w:t xml:space="preserve"> </w:t>
      </w:r>
      <w:r w:rsidRPr="00916B3A">
        <w:rPr>
          <w:rFonts w:ascii="Times New Roman" w:hAnsi="Times New Roman"/>
          <w:sz w:val="28"/>
          <w:szCs w:val="28"/>
        </w:rPr>
        <w:t>производителем</w:t>
      </w:r>
      <w:r w:rsidRPr="00BC1756">
        <w:rPr>
          <w:rFonts w:ascii="Times New Roman" w:hAnsi="Times New Roman"/>
          <w:sz w:val="28"/>
          <w:szCs w:val="28"/>
          <w:lang w:val="en-US"/>
        </w:rPr>
        <w:t xml:space="preserve">, </w:t>
      </w:r>
      <w:r w:rsidRPr="00916B3A">
        <w:rPr>
          <w:rFonts w:ascii="Times New Roman" w:hAnsi="Times New Roman"/>
          <w:sz w:val="28"/>
          <w:szCs w:val="28"/>
        </w:rPr>
        <w:t>на</w:t>
      </w:r>
      <w:r w:rsidRPr="00BC1756">
        <w:rPr>
          <w:rFonts w:ascii="Times New Roman" w:hAnsi="Times New Roman"/>
          <w:sz w:val="28"/>
          <w:szCs w:val="28"/>
          <w:lang w:val="en-US"/>
        </w:rPr>
        <w:t xml:space="preserve"> </w:t>
      </w:r>
      <w:r w:rsidRPr="00916B3A">
        <w:rPr>
          <w:rFonts w:ascii="Times New Roman" w:hAnsi="Times New Roman"/>
          <w:sz w:val="28"/>
          <w:szCs w:val="28"/>
        </w:rPr>
        <w:t>системе</w:t>
      </w:r>
      <w:r w:rsidRPr="00BC1756">
        <w:rPr>
          <w:rFonts w:ascii="Times New Roman" w:hAnsi="Times New Roman"/>
          <w:sz w:val="28"/>
          <w:szCs w:val="28"/>
          <w:lang w:val="en-US"/>
        </w:rPr>
        <w:t xml:space="preserve"> StepOnePlus Real-Time PCR System (Applied Biosystems). </w:t>
      </w:r>
      <w:r w:rsidRPr="00916B3A">
        <w:rPr>
          <w:rFonts w:ascii="Times New Roman" w:hAnsi="Times New Roman"/>
          <w:sz w:val="28"/>
          <w:szCs w:val="28"/>
        </w:rPr>
        <w:t xml:space="preserve">Первичная обработка была проведена с использованием программ StepOnePlus 2.2.2 и ExpressionSuite v1.3. Относительная количественная оценка экспрессии генов проводилась с использованием сравнительного метода Ct (ΔΔCt) с модификациями, описанными Königshoff M. et al. (2009) </w:t>
      </w:r>
      <w:r w:rsidR="00EB6B6B" w:rsidRPr="00916B3A">
        <w:rPr>
          <w:rFonts w:ascii="Times New Roman" w:hAnsi="Times New Roman"/>
          <w:sz w:val="28"/>
          <w:szCs w:val="28"/>
        </w:rPr>
        <w:fldChar w:fldCharType="begin" w:fldLock="1"/>
      </w:r>
      <w:r w:rsidR="008C6800">
        <w:rPr>
          <w:rFonts w:ascii="Times New Roman" w:hAnsi="Times New Roman"/>
          <w:sz w:val="28"/>
          <w:szCs w:val="28"/>
        </w:rPr>
        <w:instrText>ADDIN CSL_CITATION {"citationItems":[{"id":"ITEM-1","itemData":{"DOI":"10.1172/JCI33950","ISSN":"00219738","PMID":"19287097","abstract":"Idiopathic pulmonary fibrosis (IPF) is characterized by distorted lung architecture and loss of respiratory function. Enhanced (myo)fibroblast activation, ECM deposition, and alveolar epithelial type II (ATII) cell dysfunction contribute to IPF pathogenesis. However, the molecular pathways linking ATII cell dysfunction with the development of fibrosis are poorly understood. Here, we demonstrate, in a mouse model of pulmonary fibrosis, increased proliferation and altered expression of components of the WNT/β-catenin signaling pathway in ATII cells. Further analysis revealed that expression of WNT1-inducible signaling protein-1 (WISP1), which is encoded by a WNT target gene, was increased in ATII cells in both a mouse model of pulmonary fibrosis and patients with IPF. Treatment of mouse primary ATII cells with recombinant WISP1 led to increased proliferation and epithelial-mesenchymal transition (EMT), while treatment of mouse and human lung fibroblasts with recombinant WISP1 enhanced deposition of ECM components. In the mouse model of pulmonary fibrosis, neutralizing mAbs specific for WISP1 reduced the expression of genes characteristic of fibrosis and reversed the expression of genes associated with EMT. More importantly, these changes in gene expression were associated with marked attenuation of lung fibrosis, including decreased collagen deposition and improved lung function and survival. Our study thus identifies WISP1 as a key regulator of ATII cell hyperplasia and plasticity as well as a potential therapeutic target for attenuation of pulmonary fibrosis.","author":[{"dropping-particle":"","family":"Königshoff","given":"Melanie","non-dropping-particle":"","parse-names":false,"suffix":""},{"dropping-particle":"","family":"Kramer","given":"Monika","non-dropping-particle":"","parse-names":false,"suffix":""},{"dropping-particle":"","family":"Balsara","given":"Nisha","non-dropping-particle":"","parse-names":false,"suffix":""},{"dropping-particle":"","family":"Wilhelm","given":"Jochen","non-dropping-particle":"","parse-names":false,"suffix":""},{"dropping-particle":"","family":"Amarie","given":"Oana Veronica","non-dropping-particle":"","parse-names":false,"suffix":""},{"dropping-particle":"","family":"Jahn","given":"Andreas","non-dropping-particle":"","parse-names":false,"suffix":""},{"dropping-particle":"","family":"Rose","given":"Frank","non-dropping-particle":"","parse-names":false,"suffix":""},{"dropping-particle":"","family":"Fink","given":"Ludger","non-dropping-particle":"","parse-names":false,"suffix":""},{"dropping-particle":"","family":"Seeger","given":"Werner","non-dropping-particle":"","parse-names":false,"suffix":""},{"dropping-particle":"","family":"Schaefer","given":"Liliana","non-dropping-particle":"","parse-names":false,"suffix":""},{"dropping-particle":"","family":"Günther","given":"Andreas","non-dropping-particle":"","parse-names":false,"suffix":""},{"dropping-particle":"","family":"Eickelberg","given":"Oliver","non-dropping-particle":"","parse-names":false,"suffix":""}],"container-title":"Journal of Clinical Investigation","id":"ITEM-1","issue":"4","issued":{"date-parts":[["2009"]]},"page":"772-787","title":"WNT1-inducible signaling protein-1 mediates pulmonary fibrosis in mice and is upregulated in humans with idiopathic pulmonary fibrosis","type":"article-journal","volume":"119"},"uris":["http://www.mendeley.com/documents/?uuid=6bff403c-3537-44f4-acac-edcc90c8dcab"]}],"mendeley":{"formattedCitation":"[111]","plainTextFormattedCitation":"[111]","previouslyFormattedCitation":"(111)"},"properties":{"noteIndex":0},"schema":"https://github.com/citation-style-language/schema/raw/master/csl-citation.json"}</w:instrText>
      </w:r>
      <w:r w:rsidR="00EB6B6B" w:rsidRPr="00916B3A">
        <w:rPr>
          <w:rFonts w:ascii="Times New Roman" w:hAnsi="Times New Roman"/>
          <w:sz w:val="28"/>
          <w:szCs w:val="28"/>
        </w:rPr>
        <w:fldChar w:fldCharType="separate"/>
      </w:r>
      <w:r w:rsidR="008C6800" w:rsidRPr="008C6800">
        <w:rPr>
          <w:rFonts w:ascii="Times New Roman" w:hAnsi="Times New Roman"/>
          <w:noProof/>
          <w:sz w:val="28"/>
          <w:szCs w:val="28"/>
        </w:rPr>
        <w:t>[111]</w:t>
      </w:r>
      <w:r w:rsidR="00EB6B6B" w:rsidRPr="00916B3A">
        <w:rPr>
          <w:rFonts w:ascii="Times New Roman" w:hAnsi="Times New Roman"/>
          <w:sz w:val="28"/>
          <w:szCs w:val="28"/>
        </w:rPr>
        <w:fldChar w:fldCharType="end"/>
      </w:r>
      <w:r w:rsidRPr="00916B3A">
        <w:rPr>
          <w:rFonts w:ascii="Times New Roman" w:hAnsi="Times New Roman"/>
          <w:sz w:val="28"/>
          <w:szCs w:val="28"/>
        </w:rPr>
        <w:t>. Относительное содержание транскриптов выражается в значениях ΔCt (ΔCt = Ctreference − Cttarget). В качес</w:t>
      </w:r>
      <w:r w:rsidR="00783C4B">
        <w:rPr>
          <w:rFonts w:ascii="Times New Roman" w:hAnsi="Times New Roman"/>
          <w:sz w:val="28"/>
          <w:szCs w:val="28"/>
        </w:rPr>
        <w:t>т</w:t>
      </w:r>
      <w:r w:rsidR="00094994">
        <w:rPr>
          <w:rFonts w:ascii="Times New Roman" w:hAnsi="Times New Roman"/>
          <w:sz w:val="28"/>
          <w:szCs w:val="28"/>
        </w:rPr>
        <w:t xml:space="preserve">ве эталона использовались гены: </w:t>
      </w:r>
      <w:r w:rsidR="00783C4B" w:rsidRPr="00094994">
        <w:rPr>
          <w:rFonts w:ascii="Times New Roman" w:hAnsi="Times New Roman" w:cs="Times New Roman"/>
          <w:sz w:val="28"/>
          <w:szCs w:val="28"/>
          <w:lang w:eastAsia="ru-RU"/>
        </w:rPr>
        <w:t>Assay ID-Hs02786624_g1</w:t>
      </w:r>
      <w:r w:rsidR="00783C4B" w:rsidRPr="00094994">
        <w:rPr>
          <w:rFonts w:ascii="Times New Roman" w:hAnsi="Times New Roman" w:cs="Times New Roman"/>
          <w:i/>
          <w:iCs/>
          <w:sz w:val="28"/>
          <w:szCs w:val="28"/>
        </w:rPr>
        <w:t xml:space="preserve"> </w:t>
      </w:r>
      <w:r w:rsidRPr="00094994">
        <w:rPr>
          <w:rFonts w:ascii="Times New Roman" w:hAnsi="Times New Roman" w:cs="Times New Roman"/>
          <w:i/>
          <w:iCs/>
          <w:sz w:val="28"/>
          <w:szCs w:val="28"/>
        </w:rPr>
        <w:t>глицеральдегид-3-фосфатдегидрогеназы</w:t>
      </w:r>
      <w:r w:rsidRPr="00094994">
        <w:rPr>
          <w:rFonts w:ascii="Times New Roman" w:hAnsi="Times New Roman" w:cs="Times New Roman"/>
          <w:sz w:val="28"/>
          <w:szCs w:val="28"/>
        </w:rPr>
        <w:t xml:space="preserve"> (GAPDH</w:t>
      </w:r>
      <w:r w:rsidR="00094994" w:rsidRPr="00094994">
        <w:rPr>
          <w:rFonts w:ascii="Times New Roman" w:hAnsi="Times New Roman" w:cs="Times New Roman"/>
          <w:sz w:val="28"/>
          <w:szCs w:val="28"/>
        </w:rPr>
        <w:t xml:space="preserve">) </w:t>
      </w:r>
    </w:p>
    <w:p w14:paraId="26341BE8" w14:textId="252AEC50" w:rsidR="0046192A" w:rsidRPr="00BC1756" w:rsidRDefault="0046192A" w:rsidP="00094994">
      <w:pPr>
        <w:spacing w:after="0" w:line="240" w:lineRule="auto"/>
        <w:jc w:val="both"/>
        <w:rPr>
          <w:rFonts w:ascii="Times New Roman" w:eastAsia="Times New Roman" w:hAnsi="Times New Roman" w:cs="Times New Roman"/>
          <w:sz w:val="28"/>
          <w:szCs w:val="28"/>
          <w:lang w:eastAsia="ru-RU"/>
        </w:rPr>
      </w:pPr>
      <w:r w:rsidRPr="00094994">
        <w:rPr>
          <w:rFonts w:ascii="Times New Roman" w:hAnsi="Times New Roman" w:cs="Times New Roman"/>
          <w:sz w:val="28"/>
          <w:szCs w:val="28"/>
        </w:rPr>
        <w:t xml:space="preserve"> </w:t>
      </w:r>
      <w:r w:rsidR="00094994" w:rsidRPr="00094994">
        <w:rPr>
          <w:rFonts w:ascii="Times New Roman" w:hAnsi="Times New Roman" w:cs="Times New Roman"/>
          <w:sz w:val="28"/>
          <w:szCs w:val="28"/>
          <w:lang w:eastAsia="ru-RU"/>
        </w:rPr>
        <w:t>Assay ID-</w:t>
      </w:r>
      <w:r w:rsidR="00094994" w:rsidRPr="00094994">
        <w:rPr>
          <w:rFonts w:ascii="Times New Roman" w:eastAsia="Times New Roman" w:hAnsi="Times New Roman" w:cs="Times New Roman"/>
          <w:color w:val="000000"/>
          <w:sz w:val="28"/>
          <w:szCs w:val="28"/>
          <w:lang w:eastAsia="ru-RU"/>
        </w:rPr>
        <w:t xml:space="preserve">Hs01122445_g1 </w:t>
      </w:r>
      <w:r w:rsidRPr="00094994">
        <w:rPr>
          <w:rFonts w:ascii="Times New Roman" w:hAnsi="Times New Roman" w:cs="Times New Roman"/>
          <w:i/>
          <w:iCs/>
          <w:sz w:val="28"/>
          <w:szCs w:val="28"/>
        </w:rPr>
        <w:t>белка активации тирозин-3-монооксигеназы/триптофан-5-монооксигеназы дзета</w:t>
      </w:r>
      <w:r w:rsidRPr="00094994">
        <w:rPr>
          <w:rFonts w:ascii="Times New Roman" w:hAnsi="Times New Roman" w:cs="Times New Roman"/>
          <w:sz w:val="28"/>
          <w:szCs w:val="28"/>
        </w:rPr>
        <w:t xml:space="preserve"> (YWHAZ)</w:t>
      </w:r>
      <w:r w:rsidRPr="00916B3A">
        <w:rPr>
          <w:rFonts w:ascii="Times New Roman" w:hAnsi="Times New Roman"/>
          <w:sz w:val="28"/>
          <w:szCs w:val="28"/>
        </w:rPr>
        <w:t xml:space="preserve"> в соответствии с предыдущим исследованием [65</w:t>
      </w:r>
      <w:r w:rsidR="00404317">
        <w:rPr>
          <w:rFonts w:ascii="Times New Roman" w:hAnsi="Times New Roman"/>
          <w:sz w:val="28"/>
          <w:szCs w:val="28"/>
        </w:rPr>
        <w:t>, с. 58</w:t>
      </w:r>
      <w:r w:rsidRPr="00916B3A">
        <w:rPr>
          <w:rFonts w:ascii="Times New Roman" w:hAnsi="Times New Roman"/>
          <w:sz w:val="28"/>
          <w:szCs w:val="28"/>
        </w:rPr>
        <w:t>]. Значение ΔΔCt (ΔΔCt = ΔCtcase − ΔCtcontrol) рассматривалось как изменение в log2 по логарифму.</w:t>
      </w:r>
    </w:p>
    <w:p w14:paraId="23F10D46" w14:textId="77777777" w:rsidR="00783C4B" w:rsidRPr="00916B3A" w:rsidRDefault="00783C4B" w:rsidP="00783C4B">
      <w:pPr>
        <w:pStyle w:val="x-text-2"/>
        <w:shd w:val="clear" w:color="auto" w:fill="FFFFFF"/>
        <w:spacing w:before="0" w:beforeAutospacing="0" w:after="0" w:afterAutospacing="0"/>
        <w:ind w:firstLine="426"/>
        <w:jc w:val="both"/>
        <w:rPr>
          <w:color w:val="0D0D0D"/>
          <w:sz w:val="28"/>
          <w:szCs w:val="28"/>
          <w:shd w:val="clear" w:color="auto" w:fill="FFFFFF"/>
        </w:rPr>
      </w:pPr>
      <w:r w:rsidRPr="00916B3A">
        <w:rPr>
          <w:color w:val="0D0D0D"/>
          <w:sz w:val="28"/>
          <w:szCs w:val="28"/>
          <w:shd w:val="clear" w:color="auto" w:fill="FFFFFF"/>
        </w:rPr>
        <w:t>Наиболее перспективными генами для изучения рецептивности эндометрия являются гены иммунного ответа</w:t>
      </w:r>
      <w:r w:rsidRPr="00916B3A">
        <w:rPr>
          <w:sz w:val="28"/>
          <w:szCs w:val="28"/>
        </w:rPr>
        <w:t xml:space="preserve">, отвечающие за каскад провоспалительных сигналов - CXC мотив хемокиновый лиганд 1 (CXCL1), альфа </w:t>
      </w:r>
      <w:proofErr w:type="gramStart"/>
      <w:r w:rsidRPr="00916B3A">
        <w:rPr>
          <w:sz w:val="28"/>
          <w:szCs w:val="28"/>
        </w:rPr>
        <w:t>белок,  связывающий</w:t>
      </w:r>
      <w:proofErr w:type="gramEnd"/>
      <w:r w:rsidRPr="00916B3A">
        <w:rPr>
          <w:sz w:val="28"/>
          <w:szCs w:val="28"/>
        </w:rPr>
        <w:t xml:space="preserve"> 4 компонент комплемента (C4BPA), </w:t>
      </w:r>
      <w:r w:rsidRPr="00916B3A">
        <w:rPr>
          <w:color w:val="0D0D0D"/>
          <w:sz w:val="28"/>
          <w:szCs w:val="28"/>
          <w:shd w:val="clear" w:color="auto" w:fill="FFFFFF"/>
        </w:rPr>
        <w:t>интерлейкин 15 (IL-15), транскрипт 2, экспрессируемый в сердце и производных нервного гребня (HAND2) и сосудистую пролиферацию - сосудистый эндотелиальный фактор роста B (VEGF-B).</w:t>
      </w:r>
    </w:p>
    <w:p w14:paraId="3C6DE040" w14:textId="6A64C7B1" w:rsidR="003A0678" w:rsidRPr="00BC1756" w:rsidRDefault="003A0678" w:rsidP="00094994">
      <w:pPr>
        <w:pStyle w:val="MDPI31text"/>
        <w:spacing w:line="240" w:lineRule="auto"/>
        <w:ind w:left="0" w:firstLine="0"/>
        <w:rPr>
          <w:rFonts w:ascii="Times New Roman" w:hAnsi="Times New Roman"/>
          <w:sz w:val="28"/>
          <w:szCs w:val="28"/>
          <w:lang w:val="ru-RU"/>
        </w:rPr>
      </w:pPr>
    </w:p>
    <w:p w14:paraId="31874741" w14:textId="77777777" w:rsidR="0046192A" w:rsidRPr="00916B3A" w:rsidRDefault="0046192A" w:rsidP="000B7B11">
      <w:pPr>
        <w:numPr>
          <w:ilvl w:val="12"/>
          <w:numId w:val="0"/>
        </w:numPr>
        <w:spacing w:after="0" w:line="240" w:lineRule="auto"/>
        <w:ind w:firstLine="567"/>
        <w:jc w:val="both"/>
        <w:rPr>
          <w:rFonts w:ascii="Times New Roman" w:hAnsi="Times New Roman" w:cs="Times New Roman"/>
          <w:b/>
          <w:bCs/>
          <w:sz w:val="28"/>
          <w:szCs w:val="28"/>
        </w:rPr>
      </w:pPr>
      <w:r w:rsidRPr="00916B3A">
        <w:rPr>
          <w:rFonts w:ascii="Times New Roman" w:hAnsi="Times New Roman" w:cs="Times New Roman"/>
          <w:b/>
          <w:bCs/>
          <w:sz w:val="28"/>
          <w:szCs w:val="28"/>
        </w:rPr>
        <w:t>2.3 Статистические методы</w:t>
      </w:r>
    </w:p>
    <w:p w14:paraId="2DC54FE9" w14:textId="7EF785D1" w:rsidR="0046192A" w:rsidRPr="00916B3A" w:rsidRDefault="0046192A" w:rsidP="000B7B11">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Полученные результаты мониторинга результативности ЭКО были обработаны c помощью программы </w:t>
      </w:r>
      <w:r w:rsidRPr="00916B3A">
        <w:rPr>
          <w:rFonts w:ascii="Times New Roman" w:hAnsi="Times New Roman" w:cs="Times New Roman"/>
          <w:sz w:val="28"/>
          <w:szCs w:val="28"/>
          <w:lang w:val="en-US"/>
        </w:rPr>
        <w:t>Microsoft</w:t>
      </w:r>
      <w:r w:rsidRPr="00916B3A">
        <w:rPr>
          <w:rFonts w:ascii="Times New Roman" w:hAnsi="Times New Roman" w:cs="Times New Roman"/>
          <w:sz w:val="28"/>
          <w:szCs w:val="28"/>
        </w:rPr>
        <w:t xml:space="preserve"> </w:t>
      </w:r>
      <w:r w:rsidRPr="00916B3A">
        <w:rPr>
          <w:rFonts w:ascii="Times New Roman" w:hAnsi="Times New Roman" w:cs="Times New Roman"/>
          <w:sz w:val="28"/>
          <w:szCs w:val="28"/>
          <w:lang w:val="en-US"/>
        </w:rPr>
        <w:t>Office</w:t>
      </w:r>
      <w:r w:rsidRPr="00916B3A">
        <w:rPr>
          <w:rFonts w:ascii="Times New Roman" w:hAnsi="Times New Roman" w:cs="Times New Roman"/>
          <w:sz w:val="28"/>
          <w:szCs w:val="28"/>
        </w:rPr>
        <w:t xml:space="preserve"> </w:t>
      </w:r>
      <w:r w:rsidRPr="00916B3A">
        <w:rPr>
          <w:rFonts w:ascii="Times New Roman" w:hAnsi="Times New Roman" w:cs="Times New Roman"/>
          <w:sz w:val="28"/>
          <w:szCs w:val="28"/>
          <w:lang w:val="en-US"/>
        </w:rPr>
        <w:t>Excel</w:t>
      </w:r>
      <w:r w:rsidRPr="00916B3A">
        <w:rPr>
          <w:rFonts w:ascii="Times New Roman" w:hAnsi="Times New Roman" w:cs="Times New Roman"/>
          <w:sz w:val="28"/>
          <w:szCs w:val="28"/>
        </w:rPr>
        <w:t xml:space="preserve"> 2016. Различия между относительными величинами сравниваемых групп оценивали с помощью критерия χ</w:t>
      </w:r>
      <w:r w:rsidRPr="00916B3A">
        <w:rPr>
          <w:rFonts w:ascii="Times New Roman" w:hAnsi="Times New Roman" w:cs="Times New Roman"/>
          <w:sz w:val="28"/>
          <w:szCs w:val="28"/>
          <w:vertAlign w:val="superscript"/>
        </w:rPr>
        <w:t>2</w:t>
      </w:r>
      <w:r w:rsidRPr="00916B3A">
        <w:rPr>
          <w:rFonts w:ascii="Times New Roman" w:hAnsi="Times New Roman" w:cs="Times New Roman"/>
          <w:sz w:val="28"/>
          <w:szCs w:val="28"/>
        </w:rPr>
        <w:t xml:space="preserve"> при уровне значимости </w:t>
      </w:r>
      <w:r w:rsidRPr="00916B3A">
        <w:rPr>
          <w:rFonts w:ascii="Times New Roman" w:eastAsia="Arial Unicode MS" w:hAnsi="Times New Roman" w:cs="Times New Roman"/>
          <w:color w:val="000000"/>
          <w:sz w:val="28"/>
          <w:szCs w:val="28"/>
          <w:u w:color="000000"/>
          <w:bdr w:val="nil"/>
        </w:rPr>
        <w:t>р-</w:t>
      </w:r>
      <w:r w:rsidRPr="00916B3A">
        <w:rPr>
          <w:rFonts w:ascii="Times New Roman" w:eastAsia="Arial Unicode MS" w:hAnsi="Times New Roman" w:cs="Times New Roman"/>
          <w:color w:val="000000"/>
          <w:sz w:val="28"/>
          <w:szCs w:val="28"/>
          <w:u w:color="000000"/>
          <w:bdr w:val="nil"/>
          <w:lang w:val="en-US"/>
        </w:rPr>
        <w:t>value</w:t>
      </w:r>
      <w:r w:rsidRPr="00916B3A">
        <w:rPr>
          <w:rFonts w:ascii="Times New Roman" w:eastAsia="Arial Unicode MS" w:hAnsi="Times New Roman" w:cs="Times New Roman"/>
          <w:color w:val="000000"/>
          <w:sz w:val="28"/>
          <w:szCs w:val="28"/>
          <w:u w:color="000000"/>
          <w:bdr w:val="nil"/>
        </w:rPr>
        <w:t xml:space="preserve"> </w:t>
      </w:r>
      <w:proofErr w:type="gramStart"/>
      <w:r w:rsidRPr="00916B3A">
        <w:rPr>
          <w:rFonts w:ascii="Times New Roman" w:eastAsia="Arial Unicode MS" w:hAnsi="Times New Roman" w:cs="Times New Roman"/>
          <w:color w:val="000000"/>
          <w:sz w:val="28"/>
          <w:szCs w:val="28"/>
          <w:u w:color="000000"/>
          <w:bdr w:val="nil"/>
        </w:rPr>
        <w:t xml:space="preserve">&lt; </w:t>
      </w:r>
      <w:r w:rsidRPr="00916B3A">
        <w:rPr>
          <w:rFonts w:ascii="Times New Roman" w:hAnsi="Times New Roman" w:cs="Times New Roman"/>
          <w:sz w:val="28"/>
          <w:szCs w:val="28"/>
        </w:rPr>
        <w:t>0</w:t>
      </w:r>
      <w:proofErr w:type="gramEnd"/>
      <w:r w:rsidRPr="00916B3A">
        <w:rPr>
          <w:rFonts w:ascii="Times New Roman" w:hAnsi="Times New Roman" w:cs="Times New Roman"/>
          <w:sz w:val="28"/>
          <w:szCs w:val="28"/>
        </w:rPr>
        <w:t>,05.</w:t>
      </w:r>
    </w:p>
    <w:p w14:paraId="05975DD3" w14:textId="4CC672F5" w:rsidR="0046192A" w:rsidRPr="00916B3A" w:rsidRDefault="0046192A" w:rsidP="000B7B11">
      <w:pPr>
        <w:pStyle w:val="a9"/>
        <w:shd w:val="clear" w:color="auto" w:fill="FFFFFF"/>
        <w:spacing w:before="0" w:beforeAutospacing="0" w:after="0" w:afterAutospacing="0"/>
        <w:ind w:firstLine="567"/>
        <w:jc w:val="both"/>
        <w:rPr>
          <w:color w:val="000000" w:themeColor="text1"/>
          <w:sz w:val="28"/>
          <w:szCs w:val="28"/>
          <w:lang w:eastAsia="en-US"/>
        </w:rPr>
      </w:pPr>
      <w:r w:rsidRPr="00916B3A">
        <w:rPr>
          <w:color w:val="000000" w:themeColor="text1"/>
          <w:sz w:val="28"/>
          <w:szCs w:val="28"/>
          <w:lang w:eastAsia="en-US"/>
        </w:rPr>
        <w:t xml:space="preserve">Статистический анализ проводился с помощью пакета программ </w:t>
      </w:r>
      <w:r w:rsidRPr="00916B3A">
        <w:rPr>
          <w:color w:val="000000" w:themeColor="text1"/>
          <w:sz w:val="28"/>
          <w:szCs w:val="28"/>
          <w:lang w:val="en-US" w:eastAsia="en-US"/>
        </w:rPr>
        <w:t>SPSS</w:t>
      </w:r>
      <w:r w:rsidRPr="00916B3A">
        <w:rPr>
          <w:color w:val="000000" w:themeColor="text1"/>
          <w:sz w:val="28"/>
          <w:szCs w:val="28"/>
          <w:lang w:eastAsia="en-US"/>
        </w:rPr>
        <w:t xml:space="preserve">, версия 21. Непрерывные данные представлены в виде средних и стандартных отклонений, категориальные - в виде частот и процентов. Порог статистической значимости был установлен на уровне </w:t>
      </w:r>
      <w:r w:rsidRPr="00916B3A">
        <w:rPr>
          <w:color w:val="000000" w:themeColor="text1"/>
          <w:sz w:val="28"/>
          <w:szCs w:val="28"/>
          <w:lang w:val="en-US" w:eastAsia="en-US"/>
        </w:rPr>
        <w:t>p</w:t>
      </w:r>
      <w:r w:rsidRPr="00916B3A">
        <w:rPr>
          <w:color w:val="000000" w:themeColor="text1"/>
          <w:sz w:val="28"/>
          <w:szCs w:val="28"/>
          <w:lang w:eastAsia="en-US"/>
        </w:rPr>
        <w:t>-</w:t>
      </w:r>
      <w:r w:rsidRPr="00916B3A">
        <w:rPr>
          <w:color w:val="000000" w:themeColor="text1"/>
          <w:sz w:val="28"/>
          <w:szCs w:val="28"/>
          <w:lang w:val="en-US" w:eastAsia="en-US"/>
        </w:rPr>
        <w:t>value</w:t>
      </w:r>
      <w:r w:rsidRPr="00916B3A">
        <w:rPr>
          <w:color w:val="000000" w:themeColor="text1"/>
          <w:sz w:val="28"/>
          <w:szCs w:val="28"/>
          <w:lang w:eastAsia="en-US"/>
        </w:rPr>
        <w:t xml:space="preserve"> </w:t>
      </w:r>
      <w:proofErr w:type="gramStart"/>
      <w:r w:rsidRPr="00916B3A">
        <w:rPr>
          <w:color w:val="000000" w:themeColor="text1"/>
          <w:sz w:val="28"/>
          <w:szCs w:val="28"/>
          <w:lang w:eastAsia="en-US"/>
        </w:rPr>
        <w:t>&lt; 0</w:t>
      </w:r>
      <w:proofErr w:type="gramEnd"/>
      <w:r w:rsidRPr="00916B3A">
        <w:rPr>
          <w:color w:val="000000" w:themeColor="text1"/>
          <w:sz w:val="28"/>
          <w:szCs w:val="28"/>
          <w:lang w:eastAsia="en-US"/>
        </w:rPr>
        <w:t xml:space="preserve">,05. Для изучения различий между группами по толщине эндометрия использовался </w:t>
      </w:r>
      <w:r w:rsidRPr="00916B3A">
        <w:rPr>
          <w:sz w:val="28"/>
          <w:szCs w:val="28"/>
        </w:rPr>
        <w:t>критерия χ</w:t>
      </w:r>
      <w:r w:rsidRPr="00916B3A">
        <w:rPr>
          <w:sz w:val="28"/>
          <w:szCs w:val="28"/>
          <w:vertAlign w:val="superscript"/>
        </w:rPr>
        <w:t>2</w:t>
      </w:r>
      <w:r w:rsidRPr="00916B3A">
        <w:rPr>
          <w:color w:val="000000" w:themeColor="text1"/>
          <w:sz w:val="28"/>
          <w:szCs w:val="28"/>
          <w:lang w:eastAsia="en-US"/>
        </w:rPr>
        <w:t xml:space="preserve">. Кроме того, для оценки прогностической ценности толщины эндометрия в отношении наступления беременности проведен одномерный бинарный логистический регрессионный анализ. </w:t>
      </w:r>
    </w:p>
    <w:p w14:paraId="1AF71E04" w14:textId="77777777" w:rsidR="0046192A" w:rsidRPr="00916B3A" w:rsidRDefault="0046192A" w:rsidP="000B7B11">
      <w:pPr>
        <w:pStyle w:val="a9"/>
        <w:shd w:val="clear" w:color="auto" w:fill="FFFFFF"/>
        <w:spacing w:before="0" w:beforeAutospacing="0" w:after="0" w:afterAutospacing="0"/>
        <w:ind w:firstLine="567"/>
        <w:jc w:val="both"/>
        <w:rPr>
          <w:color w:val="000000" w:themeColor="text1"/>
          <w:sz w:val="28"/>
          <w:szCs w:val="28"/>
          <w:lang w:eastAsia="en-US"/>
        </w:rPr>
      </w:pPr>
      <w:r w:rsidRPr="00916B3A">
        <w:rPr>
          <w:color w:val="000000" w:themeColor="text1"/>
          <w:sz w:val="28"/>
          <w:szCs w:val="28"/>
          <w:lang w:eastAsia="en-US"/>
        </w:rPr>
        <w:t>Для оценки прогностической ценности толщины эндометрия в отношении наступления беременности проведен одномерный бинарный логистический регрессионный анализ.</w:t>
      </w:r>
    </w:p>
    <w:p w14:paraId="655DFE04" w14:textId="77777777" w:rsidR="004279BA" w:rsidRPr="00916B3A" w:rsidRDefault="0046192A" w:rsidP="000B7B11">
      <w:pPr>
        <w:pStyle w:val="MDPI31text"/>
        <w:spacing w:line="240" w:lineRule="auto"/>
        <w:ind w:left="0" w:firstLine="567"/>
        <w:rPr>
          <w:rFonts w:ascii="Times New Roman" w:hAnsi="Times New Roman"/>
          <w:sz w:val="28"/>
          <w:szCs w:val="28"/>
          <w:lang w:val="ru-RU"/>
        </w:rPr>
      </w:pPr>
      <w:r w:rsidRPr="00916B3A">
        <w:rPr>
          <w:rFonts w:ascii="Times New Roman" w:hAnsi="Times New Roman"/>
          <w:iCs/>
          <w:sz w:val="28"/>
          <w:szCs w:val="28"/>
          <w:lang w:val="ru-RU"/>
        </w:rPr>
        <w:t>Статистический анализ</w:t>
      </w:r>
      <w:r w:rsidRPr="00916B3A">
        <w:rPr>
          <w:rFonts w:ascii="Times New Roman" w:hAnsi="Times New Roman"/>
          <w:i/>
          <w:sz w:val="28"/>
          <w:szCs w:val="28"/>
          <w:lang w:val="ru-RU"/>
        </w:rPr>
        <w:t xml:space="preserve"> результатов транскрипционного анализа. </w:t>
      </w:r>
      <w:r w:rsidRPr="00916B3A">
        <w:rPr>
          <w:rFonts w:ascii="Times New Roman" w:hAnsi="Times New Roman"/>
          <w:sz w:val="28"/>
          <w:szCs w:val="28"/>
          <w:lang w:val="ru-RU"/>
        </w:rPr>
        <w:t xml:space="preserve">Большая часть статистики была выполнена в программе </w:t>
      </w:r>
      <w:r w:rsidRPr="00916B3A">
        <w:rPr>
          <w:rFonts w:ascii="Times New Roman" w:hAnsi="Times New Roman"/>
          <w:sz w:val="28"/>
          <w:szCs w:val="28"/>
        </w:rPr>
        <w:t>Jamovi</w:t>
      </w:r>
      <w:r w:rsidRPr="00916B3A">
        <w:rPr>
          <w:rFonts w:ascii="Times New Roman" w:hAnsi="Times New Roman"/>
          <w:sz w:val="28"/>
          <w:szCs w:val="28"/>
          <w:lang w:val="ru-RU"/>
        </w:rPr>
        <w:t xml:space="preserve"> (</w:t>
      </w:r>
      <w:r w:rsidRPr="00916B3A">
        <w:rPr>
          <w:rFonts w:ascii="Times New Roman" w:hAnsi="Times New Roman"/>
          <w:sz w:val="28"/>
          <w:szCs w:val="28"/>
        </w:rPr>
        <w:t>https</w:t>
      </w:r>
      <w:r w:rsidRPr="00916B3A">
        <w:rPr>
          <w:rFonts w:ascii="Times New Roman" w:hAnsi="Times New Roman"/>
          <w:sz w:val="28"/>
          <w:szCs w:val="28"/>
          <w:lang w:val="ru-RU"/>
        </w:rPr>
        <w:t>://</w:t>
      </w:r>
      <w:r w:rsidRPr="00916B3A">
        <w:rPr>
          <w:rFonts w:ascii="Times New Roman" w:hAnsi="Times New Roman"/>
          <w:sz w:val="28"/>
          <w:szCs w:val="28"/>
        </w:rPr>
        <w:t>www</w:t>
      </w:r>
      <w:r w:rsidRPr="00916B3A">
        <w:rPr>
          <w:rFonts w:ascii="Times New Roman" w:hAnsi="Times New Roman"/>
          <w:sz w:val="28"/>
          <w:szCs w:val="28"/>
          <w:lang w:val="ru-RU"/>
        </w:rPr>
        <w:t>.</w:t>
      </w:r>
      <w:r w:rsidRPr="00916B3A">
        <w:rPr>
          <w:rFonts w:ascii="Times New Roman" w:hAnsi="Times New Roman"/>
          <w:sz w:val="28"/>
          <w:szCs w:val="28"/>
        </w:rPr>
        <w:t>jamovi</w:t>
      </w:r>
      <w:r w:rsidRPr="00916B3A">
        <w:rPr>
          <w:rFonts w:ascii="Times New Roman" w:hAnsi="Times New Roman"/>
          <w:sz w:val="28"/>
          <w:szCs w:val="28"/>
          <w:lang w:val="ru-RU"/>
        </w:rPr>
        <w:t>.</w:t>
      </w:r>
      <w:r w:rsidRPr="00916B3A">
        <w:rPr>
          <w:rFonts w:ascii="Times New Roman" w:hAnsi="Times New Roman"/>
          <w:sz w:val="28"/>
          <w:szCs w:val="28"/>
        </w:rPr>
        <w:t>org</w:t>
      </w:r>
      <w:r w:rsidRPr="00916B3A">
        <w:rPr>
          <w:rFonts w:ascii="Times New Roman" w:hAnsi="Times New Roman"/>
          <w:sz w:val="28"/>
          <w:szCs w:val="28"/>
          <w:lang w:val="ru-RU"/>
        </w:rPr>
        <w:t xml:space="preserve">). Статистическая значимость различий в </w:t>
      </w:r>
      <w:r w:rsidRPr="00916B3A">
        <w:rPr>
          <w:rFonts w:ascii="Times New Roman" w:hAnsi="Times New Roman"/>
          <w:sz w:val="28"/>
          <w:szCs w:val="28"/>
        </w:rPr>
        <w:t>ΔCt</w:t>
      </w:r>
      <w:r w:rsidRPr="00916B3A">
        <w:rPr>
          <w:rFonts w:ascii="Times New Roman" w:hAnsi="Times New Roman"/>
          <w:sz w:val="28"/>
          <w:szCs w:val="28"/>
          <w:lang w:val="ru-RU"/>
        </w:rPr>
        <w:t xml:space="preserve"> между группами была рассчитана с использованием двухстороннего </w:t>
      </w:r>
      <w:r w:rsidRPr="00916B3A">
        <w:rPr>
          <w:rFonts w:ascii="Times New Roman" w:hAnsi="Times New Roman"/>
          <w:sz w:val="28"/>
          <w:szCs w:val="28"/>
        </w:rPr>
        <w:t>U</w:t>
      </w:r>
      <w:r w:rsidRPr="00916B3A">
        <w:rPr>
          <w:rFonts w:ascii="Times New Roman" w:hAnsi="Times New Roman"/>
          <w:sz w:val="28"/>
          <w:szCs w:val="28"/>
          <w:lang w:val="ru-RU"/>
        </w:rPr>
        <w:t xml:space="preserve">-критерия Манна-Уитни. Метод ранговой корреляции Спирмена использовался для изучения взаимосвязи между количественными переменными. </w:t>
      </w:r>
      <w:r w:rsidRPr="00916B3A">
        <w:rPr>
          <w:rFonts w:ascii="Times New Roman" w:hAnsi="Times New Roman"/>
          <w:sz w:val="28"/>
          <w:szCs w:val="28"/>
        </w:rPr>
        <w:t>P</w:t>
      </w:r>
      <w:r w:rsidRPr="00916B3A">
        <w:rPr>
          <w:rFonts w:ascii="Times New Roman" w:hAnsi="Times New Roman"/>
          <w:sz w:val="28"/>
          <w:szCs w:val="28"/>
          <w:lang w:val="ru-RU"/>
        </w:rPr>
        <w:t>&lt;0,05 считалось статистически значимым.</w:t>
      </w:r>
    </w:p>
    <w:p w14:paraId="15473DAF" w14:textId="7B75CDFA" w:rsidR="0046192A" w:rsidRPr="00916B3A" w:rsidRDefault="004279BA" w:rsidP="000B7B11">
      <w:pPr>
        <w:pStyle w:val="MDPI31text"/>
        <w:spacing w:line="240" w:lineRule="auto"/>
        <w:ind w:left="0" w:firstLine="567"/>
        <w:rPr>
          <w:rFonts w:ascii="Times New Roman" w:hAnsi="Times New Roman"/>
          <w:sz w:val="28"/>
          <w:szCs w:val="28"/>
          <w:lang w:val="ru-RU"/>
        </w:rPr>
      </w:pPr>
      <w:r w:rsidRPr="00916B3A">
        <w:rPr>
          <w:rFonts w:ascii="Times New Roman" w:hAnsi="Times New Roman"/>
          <w:sz w:val="28"/>
          <w:szCs w:val="28"/>
          <w:lang w:val="ru-RU"/>
        </w:rPr>
        <w:t>Д</w:t>
      </w:r>
      <w:r w:rsidR="0046192A" w:rsidRPr="00916B3A">
        <w:rPr>
          <w:rFonts w:ascii="Times New Roman" w:hAnsi="Times New Roman"/>
          <w:sz w:val="28"/>
          <w:szCs w:val="28"/>
          <w:lang w:val="ru-RU"/>
        </w:rPr>
        <w:t xml:space="preserve">ля множественных сравнений использовался онлайн-калькулятор коррекции </w:t>
      </w:r>
      <w:r w:rsidR="0046192A" w:rsidRPr="00916B3A">
        <w:rPr>
          <w:rFonts w:ascii="Times New Roman" w:hAnsi="Times New Roman"/>
          <w:sz w:val="28"/>
          <w:szCs w:val="28"/>
        </w:rPr>
        <w:t>FDR</w:t>
      </w:r>
      <w:r w:rsidR="0046192A" w:rsidRPr="00916B3A">
        <w:rPr>
          <w:rFonts w:ascii="Times New Roman" w:hAnsi="Times New Roman"/>
          <w:sz w:val="28"/>
          <w:szCs w:val="28"/>
          <w:lang w:val="ru-RU"/>
        </w:rPr>
        <w:t xml:space="preserve"> для корректировки </w:t>
      </w:r>
      <w:r w:rsidR="0046192A" w:rsidRPr="00916B3A">
        <w:rPr>
          <w:rFonts w:ascii="Times New Roman" w:hAnsi="Times New Roman"/>
          <w:sz w:val="28"/>
          <w:szCs w:val="28"/>
        </w:rPr>
        <w:t>p</w:t>
      </w:r>
      <w:r w:rsidR="0046192A" w:rsidRPr="00916B3A">
        <w:rPr>
          <w:rFonts w:ascii="Times New Roman" w:hAnsi="Times New Roman"/>
          <w:sz w:val="28"/>
          <w:szCs w:val="28"/>
          <w:lang w:val="ru-RU"/>
        </w:rPr>
        <w:t>-значений (</w:t>
      </w:r>
      <w:r w:rsidR="0046192A" w:rsidRPr="00916B3A">
        <w:rPr>
          <w:rFonts w:ascii="Times New Roman" w:hAnsi="Times New Roman"/>
          <w:sz w:val="28"/>
          <w:szCs w:val="28"/>
        </w:rPr>
        <w:t>https</w:t>
      </w:r>
      <w:r w:rsidR="0046192A" w:rsidRPr="00916B3A">
        <w:rPr>
          <w:rFonts w:ascii="Times New Roman" w:hAnsi="Times New Roman"/>
          <w:sz w:val="28"/>
          <w:szCs w:val="28"/>
          <w:lang w:val="ru-RU"/>
        </w:rPr>
        <w:t>://</w:t>
      </w:r>
      <w:r w:rsidR="0046192A" w:rsidRPr="00916B3A">
        <w:rPr>
          <w:rFonts w:ascii="Times New Roman" w:hAnsi="Times New Roman"/>
          <w:sz w:val="28"/>
          <w:szCs w:val="28"/>
        </w:rPr>
        <w:t>www</w:t>
      </w:r>
      <w:r w:rsidR="0046192A" w:rsidRPr="00916B3A">
        <w:rPr>
          <w:rFonts w:ascii="Times New Roman" w:hAnsi="Times New Roman"/>
          <w:sz w:val="28"/>
          <w:szCs w:val="28"/>
          <w:lang w:val="ru-RU"/>
        </w:rPr>
        <w:t>.</w:t>
      </w:r>
      <w:r w:rsidR="0046192A" w:rsidRPr="00916B3A">
        <w:rPr>
          <w:rFonts w:ascii="Times New Roman" w:hAnsi="Times New Roman"/>
          <w:sz w:val="28"/>
          <w:szCs w:val="28"/>
        </w:rPr>
        <w:t>sdmproject</w:t>
      </w:r>
      <w:r w:rsidR="0046192A" w:rsidRPr="00916B3A">
        <w:rPr>
          <w:rFonts w:ascii="Times New Roman" w:hAnsi="Times New Roman"/>
          <w:sz w:val="28"/>
          <w:szCs w:val="28"/>
          <w:lang w:val="ru-RU"/>
        </w:rPr>
        <w:t>.</w:t>
      </w:r>
      <w:r w:rsidR="0046192A" w:rsidRPr="00916B3A">
        <w:rPr>
          <w:rFonts w:ascii="Times New Roman" w:hAnsi="Times New Roman"/>
          <w:sz w:val="28"/>
          <w:szCs w:val="28"/>
        </w:rPr>
        <w:t>com</w:t>
      </w:r>
      <w:r w:rsidR="0046192A" w:rsidRPr="00916B3A">
        <w:rPr>
          <w:rFonts w:ascii="Times New Roman" w:hAnsi="Times New Roman"/>
          <w:sz w:val="28"/>
          <w:szCs w:val="28"/>
          <w:lang w:val="ru-RU"/>
        </w:rPr>
        <w:t>/</w:t>
      </w:r>
      <w:r w:rsidR="0046192A" w:rsidRPr="00916B3A">
        <w:rPr>
          <w:rFonts w:ascii="Times New Roman" w:hAnsi="Times New Roman"/>
          <w:sz w:val="28"/>
          <w:szCs w:val="28"/>
        </w:rPr>
        <w:t>utilities</w:t>
      </w:r>
      <w:r w:rsidR="0046192A" w:rsidRPr="00916B3A">
        <w:rPr>
          <w:rFonts w:ascii="Times New Roman" w:hAnsi="Times New Roman"/>
          <w:sz w:val="28"/>
          <w:szCs w:val="28"/>
          <w:lang w:val="ru-RU"/>
        </w:rPr>
        <w:t>/?</w:t>
      </w:r>
      <w:r w:rsidR="0046192A" w:rsidRPr="00916B3A">
        <w:rPr>
          <w:rFonts w:ascii="Times New Roman" w:hAnsi="Times New Roman"/>
          <w:sz w:val="28"/>
          <w:szCs w:val="28"/>
        </w:rPr>
        <w:t>show</w:t>
      </w:r>
      <w:r w:rsidR="0046192A" w:rsidRPr="00916B3A">
        <w:rPr>
          <w:rFonts w:ascii="Times New Roman" w:hAnsi="Times New Roman"/>
          <w:sz w:val="28"/>
          <w:szCs w:val="28"/>
          <w:lang w:val="ru-RU"/>
        </w:rPr>
        <w:t>=</w:t>
      </w:r>
      <w:r w:rsidR="0046192A" w:rsidRPr="00916B3A">
        <w:rPr>
          <w:rFonts w:ascii="Times New Roman" w:hAnsi="Times New Roman"/>
          <w:sz w:val="28"/>
          <w:szCs w:val="28"/>
        </w:rPr>
        <w:t>FDR</w:t>
      </w:r>
      <w:r w:rsidR="0046192A" w:rsidRPr="00916B3A">
        <w:rPr>
          <w:rFonts w:ascii="Times New Roman" w:hAnsi="Times New Roman"/>
          <w:sz w:val="28"/>
          <w:szCs w:val="28"/>
          <w:lang w:val="ru-RU"/>
        </w:rPr>
        <w:t xml:space="preserve">). Для сравнительной визуализации уровней экспрессии генов были построены диаграммы размаха с помощью веб-инструмента </w:t>
      </w:r>
      <w:r w:rsidR="0046192A" w:rsidRPr="00916B3A">
        <w:rPr>
          <w:rFonts w:ascii="Times New Roman" w:hAnsi="Times New Roman"/>
          <w:sz w:val="28"/>
          <w:szCs w:val="28"/>
        </w:rPr>
        <w:t>BoxPlotR</w:t>
      </w:r>
      <w:r w:rsidR="0046192A" w:rsidRPr="00916B3A">
        <w:rPr>
          <w:rFonts w:ascii="Times New Roman" w:hAnsi="Times New Roman"/>
          <w:sz w:val="28"/>
          <w:szCs w:val="28"/>
          <w:lang w:val="ru-RU"/>
        </w:rPr>
        <w:t xml:space="preserve"> (</w:t>
      </w:r>
      <w:r w:rsidR="0046192A" w:rsidRPr="00916B3A">
        <w:rPr>
          <w:rFonts w:ascii="Times New Roman" w:hAnsi="Times New Roman"/>
          <w:sz w:val="28"/>
          <w:szCs w:val="28"/>
        </w:rPr>
        <w:t>http</w:t>
      </w:r>
      <w:r w:rsidR="0046192A" w:rsidRPr="00916B3A">
        <w:rPr>
          <w:rFonts w:ascii="Times New Roman" w:hAnsi="Times New Roman"/>
          <w:sz w:val="28"/>
          <w:szCs w:val="28"/>
          <w:lang w:val="ru-RU"/>
        </w:rPr>
        <w:t>://</w:t>
      </w:r>
      <w:r w:rsidR="0046192A" w:rsidRPr="00916B3A">
        <w:rPr>
          <w:rFonts w:ascii="Times New Roman" w:hAnsi="Times New Roman"/>
          <w:sz w:val="28"/>
          <w:szCs w:val="28"/>
        </w:rPr>
        <w:t>shiny</w:t>
      </w:r>
      <w:r w:rsidR="0046192A" w:rsidRPr="00916B3A">
        <w:rPr>
          <w:rFonts w:ascii="Times New Roman" w:hAnsi="Times New Roman"/>
          <w:sz w:val="28"/>
          <w:szCs w:val="28"/>
          <w:lang w:val="ru-RU"/>
        </w:rPr>
        <w:t>.</w:t>
      </w:r>
      <w:r w:rsidR="0046192A" w:rsidRPr="00916B3A">
        <w:rPr>
          <w:rFonts w:ascii="Times New Roman" w:hAnsi="Times New Roman"/>
          <w:sz w:val="28"/>
          <w:szCs w:val="28"/>
        </w:rPr>
        <w:t>chemgrid</w:t>
      </w:r>
      <w:r w:rsidR="0046192A" w:rsidRPr="00916B3A">
        <w:rPr>
          <w:rFonts w:ascii="Times New Roman" w:hAnsi="Times New Roman"/>
          <w:sz w:val="28"/>
          <w:szCs w:val="28"/>
          <w:lang w:val="ru-RU"/>
        </w:rPr>
        <w:t>.</w:t>
      </w:r>
      <w:r w:rsidR="0046192A" w:rsidRPr="00916B3A">
        <w:rPr>
          <w:rFonts w:ascii="Times New Roman" w:hAnsi="Times New Roman"/>
          <w:sz w:val="28"/>
          <w:szCs w:val="28"/>
        </w:rPr>
        <w:t>org</w:t>
      </w:r>
      <w:r w:rsidR="0046192A" w:rsidRPr="00916B3A">
        <w:rPr>
          <w:rFonts w:ascii="Times New Roman" w:hAnsi="Times New Roman"/>
          <w:sz w:val="28"/>
          <w:szCs w:val="28"/>
          <w:lang w:val="ru-RU"/>
        </w:rPr>
        <w:t>/</w:t>
      </w:r>
      <w:r w:rsidR="0046192A" w:rsidRPr="00916B3A">
        <w:rPr>
          <w:rFonts w:ascii="Times New Roman" w:hAnsi="Times New Roman"/>
          <w:sz w:val="28"/>
          <w:szCs w:val="28"/>
        </w:rPr>
        <w:t>boxplotr</w:t>
      </w:r>
      <w:r w:rsidR="0046192A" w:rsidRPr="00916B3A">
        <w:rPr>
          <w:rFonts w:ascii="Times New Roman" w:hAnsi="Times New Roman"/>
          <w:sz w:val="28"/>
          <w:szCs w:val="28"/>
          <w:lang w:val="ru-RU"/>
        </w:rPr>
        <w:t xml:space="preserve">). Характеристики маркеров были оценены с помощью </w:t>
      </w:r>
      <w:r w:rsidR="0046192A" w:rsidRPr="00916B3A">
        <w:rPr>
          <w:rFonts w:ascii="Times New Roman" w:hAnsi="Times New Roman"/>
          <w:sz w:val="28"/>
          <w:szCs w:val="28"/>
        </w:rPr>
        <w:t>ROC</w:t>
      </w:r>
      <w:r w:rsidR="0046192A" w:rsidRPr="00916B3A">
        <w:rPr>
          <w:rFonts w:ascii="Times New Roman" w:hAnsi="Times New Roman"/>
          <w:sz w:val="28"/>
          <w:szCs w:val="28"/>
          <w:lang w:val="ru-RU"/>
        </w:rPr>
        <w:t xml:space="preserve">-анализа с использованием веб-инструмента </w:t>
      </w:r>
      <w:r w:rsidR="0046192A" w:rsidRPr="00916B3A">
        <w:rPr>
          <w:rFonts w:ascii="Times New Roman" w:hAnsi="Times New Roman"/>
          <w:sz w:val="28"/>
          <w:szCs w:val="28"/>
        </w:rPr>
        <w:t>easy</w:t>
      </w:r>
      <w:r w:rsidR="0046192A" w:rsidRPr="00916B3A">
        <w:rPr>
          <w:rFonts w:ascii="Times New Roman" w:hAnsi="Times New Roman"/>
          <w:sz w:val="28"/>
          <w:szCs w:val="28"/>
          <w:lang w:val="ru-RU"/>
        </w:rPr>
        <w:t xml:space="preserve"> </w:t>
      </w:r>
      <w:r w:rsidR="0046192A" w:rsidRPr="00916B3A">
        <w:rPr>
          <w:rFonts w:ascii="Times New Roman" w:hAnsi="Times New Roman"/>
          <w:sz w:val="28"/>
          <w:szCs w:val="28"/>
        </w:rPr>
        <w:t>ROC</w:t>
      </w:r>
      <w:r w:rsidR="0046192A" w:rsidRPr="00916B3A">
        <w:rPr>
          <w:rFonts w:ascii="Times New Roman" w:hAnsi="Times New Roman"/>
          <w:sz w:val="28"/>
          <w:szCs w:val="28"/>
          <w:lang w:val="ru-RU"/>
        </w:rPr>
        <w:t xml:space="preserve"> </w:t>
      </w:r>
      <w:r w:rsidR="00EB6B6B" w:rsidRPr="00916B3A">
        <w:rPr>
          <w:rFonts w:ascii="Times New Roman" w:hAnsi="Times New Roman"/>
          <w:sz w:val="28"/>
          <w:szCs w:val="28"/>
          <w:lang w:val="ru-RU"/>
        </w:rPr>
        <w:fldChar w:fldCharType="begin" w:fldLock="1"/>
      </w:r>
      <w:r w:rsidR="008C6800">
        <w:rPr>
          <w:rFonts w:ascii="Times New Roman" w:hAnsi="Times New Roman"/>
          <w:sz w:val="28"/>
          <w:szCs w:val="28"/>
          <w:lang w:val="ru-RU"/>
        </w:rPr>
        <w:instrText>ADDIN CSL_CITATION {"citationItems":[{"id":"ITEM-1","itemData":{"DOI":"10.32614/rj-2016-042","ISSN":"20734859","abstract":"ROC curve analysis is a fundamental tool for evaluating the performance of a marker in a number of research areas, e.g., biomedicine, bioinformatics, engineering etc., and is frequently used for discriminating cases from controls. There are a number of analysis tools which are used to guide researchers through their analysis. Some of these tools are commercial and provide basic methods for ROC curve analysis while others of fer advanced analysis techniques and a command-based user interface, such as the R environment. The R environmentg includes comprehensive tools for ROC curve analysis; however, using a command-based interface might be challenging and time consuming when a quick evaluation is desired; especially for non-R users, physicians etc. Hence, a quick, comprehensive, free and easy-to-use analysis tool is required. For this purpose, we developed a user-friendly webtool based on the R language. This tool provides ROC statistics, graphical tools, optimal cutpoint calculation, comparison of several markers, and sample size estimation to support researchers in their decisions without writing R codes. easyROC can be used via any device with an internet connection independently of the operating system. The web interface of easyROC is constructed with the R package shiny. This tool is freely available through www.biosoft.hacettepe.edu.tr/easyROC.","author":[{"dropping-particle":"","family":"Goksuluk","given":"Dincer","non-dropping-particle":"","parse-names":false,"suffix":""},{"dropping-particle":"","family":"Korkmaz","given":"Selcuk","non-dropping-particle":"","parse-names":false,"suffix":""},{"dropping-particle":"","family":"Zararsiz","given":"Gokmen","non-dropping-particle":"","parse-names":false,"suffix":""},{"dropping-particle":"","family":"Karaagaoglu","given":"A. Ergun","non-dropping-particle":"","parse-names":false,"suffix":""}],"container-title":"R Journal","id":"ITEM-1","issue":"2","issued":{"date-parts":[["2016"]]},"page":"213-230","title":"EasyROC: An interactive web-tool for roc curve analysis using r language environment","type":"article-journal","volume":"8"},"uris":["http://www.mendeley.com/documents/?uuid=8d6c31ef-335e-48ce-9713-5fc8cec68e90"]}],"mendeley":{"formattedCitation":"[112]","plainTextFormattedCitation":"[112]","previouslyFormattedCitation":"(112)"},"properties":{"noteIndex":0},"schema":"https://github.com/citation-style-language/schema/raw/master/csl-citation.json"}</w:instrText>
      </w:r>
      <w:r w:rsidR="00EB6B6B" w:rsidRPr="00916B3A">
        <w:rPr>
          <w:rFonts w:ascii="Times New Roman" w:hAnsi="Times New Roman"/>
          <w:sz w:val="28"/>
          <w:szCs w:val="28"/>
          <w:lang w:val="ru-RU"/>
        </w:rPr>
        <w:fldChar w:fldCharType="separate"/>
      </w:r>
      <w:r w:rsidR="008C6800" w:rsidRPr="008C6800">
        <w:rPr>
          <w:rFonts w:ascii="Times New Roman" w:hAnsi="Times New Roman"/>
          <w:noProof/>
          <w:sz w:val="28"/>
          <w:szCs w:val="28"/>
          <w:lang w:val="ru-RU"/>
        </w:rPr>
        <w:t>[112]</w:t>
      </w:r>
      <w:r w:rsidR="00EB6B6B" w:rsidRPr="00916B3A">
        <w:rPr>
          <w:rFonts w:ascii="Times New Roman" w:hAnsi="Times New Roman"/>
          <w:sz w:val="28"/>
          <w:szCs w:val="28"/>
          <w:lang w:val="ru-RU"/>
        </w:rPr>
        <w:fldChar w:fldCharType="end"/>
      </w:r>
      <w:r w:rsidR="0046192A" w:rsidRPr="00916B3A">
        <w:rPr>
          <w:rFonts w:ascii="Times New Roman" w:hAnsi="Times New Roman"/>
          <w:sz w:val="28"/>
          <w:szCs w:val="28"/>
          <w:lang w:val="ru-RU"/>
        </w:rPr>
        <w:t xml:space="preserve"> и </w:t>
      </w:r>
      <w:r w:rsidR="0046192A" w:rsidRPr="00916B3A">
        <w:rPr>
          <w:rFonts w:ascii="Times New Roman" w:hAnsi="Times New Roman"/>
          <w:sz w:val="28"/>
          <w:szCs w:val="28"/>
        </w:rPr>
        <w:t>Jamovi</w:t>
      </w:r>
      <w:r w:rsidR="0046192A" w:rsidRPr="00916B3A">
        <w:rPr>
          <w:rFonts w:ascii="Times New Roman" w:hAnsi="Times New Roman"/>
          <w:sz w:val="28"/>
          <w:szCs w:val="28"/>
          <w:lang w:val="ru-RU"/>
        </w:rPr>
        <w:t xml:space="preserve">. Для расчета оптимальных точек отсечения использовался метод индекса Юдена. Оценка классификаторов путем интерпретации площади под </w:t>
      </w:r>
      <w:r w:rsidR="0046192A" w:rsidRPr="00916B3A">
        <w:rPr>
          <w:rFonts w:ascii="Times New Roman" w:hAnsi="Times New Roman"/>
          <w:sz w:val="28"/>
          <w:szCs w:val="28"/>
        </w:rPr>
        <w:t>ROC</w:t>
      </w:r>
      <w:r w:rsidR="0046192A" w:rsidRPr="00916B3A">
        <w:rPr>
          <w:rFonts w:ascii="Times New Roman" w:hAnsi="Times New Roman"/>
          <w:sz w:val="28"/>
          <w:szCs w:val="28"/>
          <w:lang w:val="ru-RU"/>
        </w:rPr>
        <w:t>-кривой (</w:t>
      </w:r>
      <w:r w:rsidR="0046192A" w:rsidRPr="00916B3A">
        <w:rPr>
          <w:rFonts w:ascii="Times New Roman" w:hAnsi="Times New Roman"/>
          <w:sz w:val="28"/>
          <w:szCs w:val="28"/>
        </w:rPr>
        <w:t>AUC</w:t>
      </w:r>
      <w:r w:rsidR="0046192A" w:rsidRPr="00916B3A">
        <w:rPr>
          <w:rFonts w:ascii="Times New Roman" w:hAnsi="Times New Roman"/>
          <w:sz w:val="28"/>
          <w:szCs w:val="28"/>
          <w:lang w:val="ru-RU"/>
        </w:rPr>
        <w:t>) проводилась, как описано в</w:t>
      </w:r>
      <w:r w:rsidR="00EB6B6B" w:rsidRPr="00916B3A">
        <w:rPr>
          <w:rFonts w:ascii="Times New Roman" w:hAnsi="Times New Roman"/>
          <w:sz w:val="28"/>
          <w:szCs w:val="28"/>
          <w:lang w:val="ru-RU"/>
        </w:rPr>
        <w:fldChar w:fldCharType="begin" w:fldLock="1"/>
      </w:r>
      <w:r w:rsidR="008C6800">
        <w:rPr>
          <w:rFonts w:ascii="Times New Roman" w:hAnsi="Times New Roman"/>
          <w:sz w:val="28"/>
          <w:szCs w:val="28"/>
          <w:lang w:val="ru-RU"/>
        </w:rPr>
        <w:instrText>ADDIN CSL_CITATION {"citationItems":[{"id":"ITEM-1","itemData":{"DOI":"10.1086/428577","ISSN":"10584838","PMID":"15791504","abstract":"Background. The clinical presentation of severe acute respiratory syndrome (SARS) resembles that of other etiologies of community-acquired pneumonia, making diagnosis difficult. Hematological and biochemical abnormalities, particularly lymphopenia, are common in patients with SARS. Methods. With the use of 2 databases, we compared the ability of the absolute lymphocyte count, absolute neutrophil count, lactate dehydrogenase level, creatine kinase level, alanine aminotransferase level, and serum calcium level at hospital admission to discriminate between cases of SARS and cases of community-acquired pneumonia. The SARS database contained data for 144 patients with SARS from the 2003 Toronto SARS outbreak. The community-acquired pneumonia database contained data for 8044 patients with community-acquired pneumonia from Edmonton, Canada. Patients from the SARS database were matched to patients from the community-acquired pneumonia database according to age, and receiver operating characteristic curves were constructed for each laboratory variable. Results. The areas under the receiver operating characteristic curves (AUCs) demonstrated fair to poor discriminatory ability for all laboratory variables tested except absolute neutrophil count, which had an AUC of 0.80, indicating good discriminatory ability (although there was no cutoff value of the absolute neutrophil count at which reasonable sensitivity or specificity could be obtained). Combinations of any 2 tests did not perform significantly better than did the absolute neutrophil count alone. Conclusions. Routine laboratory tests, including determination of absolute lymphocyte count, should not be used in the diagnosis of SARS or incorporated into current case definitions of SARS. The role of the absolute neutrophil count in SARS diagnosis is likely limited, but it should be assessed further. © 2005 by the Infectious Diseases Society of America. All rights reserved.","author":[{"dropping-particle":"","family":"Muller","given":"Matthew P.","non-dropping-particle":"","parse-names":false,"suffix":""},{"dropping-particle":"","family":"Tomlinson","given":"George","non-dropping-particle":"","parse-names":false,"suffix":""},{"dropping-particle":"","family":"Marrie","given":"Thomas J.","non-dropping-particle":"","parse-names":false,"suffix":""},{"dropping-particle":"","family":"Tang","given":"Patrick","non-dropping-particle":"","parse-names":false,"suffix":""},{"dropping-particle":"","family":"McGeer","given":"Allison","non-dropping-particle":"","parse-names":false,"suffix":""},{"dropping-particle":"","family":"Low","given":"Donald E.","non-dropping-particle":"","parse-names":false,"suffix":""},{"dropping-particle":"","family":"Detsky","given":"Allan S.","non-dropping-particle":"","parse-names":false,"suffix":""},{"dropping-particle":"","family":"Gold","given":"Wayne L.","non-dropping-particle":"","parse-names":false,"suffix":""}],"container-title":"Clinical Infectious Diseases","id":"ITEM-1","issue":"8","issued":{"date-parts":[["2005"]]},"page":"1079-1086","title":"Can routine laboratory tests discriminate between severe acute respiratory syndrome and other causes of community-acquired pneumonia?","type":"article-journal","volume":"40"},"uris":["http://www.mendeley.com/documents/?uuid=ef55bce3-c187-45f6-a573-ab00f12da0c9"]}],"mendeley":{"formattedCitation":"[113]","plainTextFormattedCitation":"[113]","previouslyFormattedCitation":"(113)"},"properties":{"noteIndex":0},"schema":"https://github.com/citation-style-language/schema/raw/master/csl-citation.json"}</w:instrText>
      </w:r>
      <w:r w:rsidR="00EB6B6B" w:rsidRPr="00916B3A">
        <w:rPr>
          <w:rFonts w:ascii="Times New Roman" w:hAnsi="Times New Roman"/>
          <w:sz w:val="28"/>
          <w:szCs w:val="28"/>
          <w:lang w:val="ru-RU"/>
        </w:rPr>
        <w:fldChar w:fldCharType="separate"/>
      </w:r>
      <w:r w:rsidR="008C6800" w:rsidRPr="008C6800">
        <w:rPr>
          <w:rFonts w:ascii="Times New Roman" w:hAnsi="Times New Roman"/>
          <w:noProof/>
          <w:sz w:val="28"/>
          <w:szCs w:val="28"/>
          <w:lang w:val="ru-RU"/>
        </w:rPr>
        <w:t>[113]</w:t>
      </w:r>
      <w:r w:rsidR="00EB6B6B" w:rsidRPr="00916B3A">
        <w:rPr>
          <w:rFonts w:ascii="Times New Roman" w:hAnsi="Times New Roman"/>
          <w:sz w:val="28"/>
          <w:szCs w:val="28"/>
          <w:lang w:val="ru-RU"/>
        </w:rPr>
        <w:fldChar w:fldCharType="end"/>
      </w:r>
      <w:r w:rsidR="00EB6B6B" w:rsidRPr="00916B3A">
        <w:rPr>
          <w:rFonts w:ascii="Times New Roman" w:hAnsi="Times New Roman"/>
          <w:sz w:val="28"/>
          <w:szCs w:val="28"/>
          <w:lang w:val="ru-RU"/>
        </w:rPr>
        <w:t>.</w:t>
      </w:r>
    </w:p>
    <w:p w14:paraId="2C8A5A8C" w14:textId="7DFAC966" w:rsidR="00C954C1" w:rsidRPr="00916B3A" w:rsidRDefault="00AC6EDE" w:rsidP="00BE6128">
      <w:pPr>
        <w:spacing w:after="0" w:line="240" w:lineRule="auto"/>
        <w:ind w:firstLine="567"/>
        <w:jc w:val="both"/>
        <w:rPr>
          <w:rFonts w:ascii="Times New Roman" w:hAnsi="Times New Roman" w:cs="Times New Roman"/>
          <w:b/>
          <w:bCs/>
          <w:sz w:val="28"/>
          <w:szCs w:val="28"/>
        </w:rPr>
      </w:pPr>
      <w:r w:rsidRPr="00916B3A">
        <w:rPr>
          <w:rFonts w:ascii="Times New Roman" w:hAnsi="Times New Roman" w:cs="Times New Roman"/>
          <w:b/>
          <w:bCs/>
          <w:sz w:val="28"/>
          <w:szCs w:val="28"/>
        </w:rPr>
        <w:t>3</w:t>
      </w:r>
      <w:r w:rsidR="00A071D5" w:rsidRPr="00916B3A">
        <w:rPr>
          <w:rFonts w:ascii="Times New Roman" w:hAnsi="Times New Roman" w:cs="Times New Roman"/>
          <w:b/>
          <w:bCs/>
          <w:sz w:val="28"/>
          <w:szCs w:val="28"/>
        </w:rPr>
        <w:t xml:space="preserve"> </w:t>
      </w:r>
      <w:r w:rsidRPr="00916B3A">
        <w:rPr>
          <w:rFonts w:ascii="Times New Roman" w:hAnsi="Times New Roman" w:cs="Times New Roman"/>
          <w:b/>
          <w:bCs/>
          <w:sz w:val="28"/>
          <w:szCs w:val="28"/>
        </w:rPr>
        <w:t>ОСНОВНЫЕ РЕЗУЛЬТАТЫ СОБСТВЕННОГО ИССЛЕДОВАНИЯ</w:t>
      </w:r>
    </w:p>
    <w:p w14:paraId="3FB36569" w14:textId="77777777" w:rsidR="00C954C1" w:rsidRPr="00916B3A" w:rsidRDefault="00C954C1" w:rsidP="00F17116">
      <w:pPr>
        <w:spacing w:after="0" w:line="240" w:lineRule="auto"/>
        <w:ind w:firstLine="426"/>
        <w:jc w:val="both"/>
        <w:rPr>
          <w:rFonts w:ascii="Times New Roman" w:hAnsi="Times New Roman" w:cs="Times New Roman"/>
          <w:b/>
          <w:bCs/>
          <w:sz w:val="28"/>
          <w:szCs w:val="28"/>
        </w:rPr>
      </w:pPr>
    </w:p>
    <w:p w14:paraId="5C22CBD6" w14:textId="440D18B4" w:rsidR="00C11A77" w:rsidRDefault="00C11A77" w:rsidP="00BE6128">
      <w:pPr>
        <w:spacing w:after="0" w:line="240" w:lineRule="auto"/>
        <w:ind w:firstLine="567"/>
        <w:jc w:val="both"/>
        <w:rPr>
          <w:rFonts w:ascii="Times New Roman" w:hAnsi="Times New Roman" w:cs="Times New Roman"/>
          <w:b/>
          <w:sz w:val="28"/>
          <w:szCs w:val="28"/>
        </w:rPr>
      </w:pPr>
      <w:r w:rsidRPr="00916B3A">
        <w:rPr>
          <w:rFonts w:ascii="Times New Roman" w:hAnsi="Times New Roman" w:cs="Times New Roman"/>
          <w:b/>
          <w:sz w:val="28"/>
          <w:szCs w:val="28"/>
        </w:rPr>
        <w:t xml:space="preserve">3.1 </w:t>
      </w:r>
      <w:r w:rsidR="0038219A">
        <w:rPr>
          <w:rFonts w:ascii="Times New Roman" w:hAnsi="Times New Roman" w:cs="Times New Roman"/>
          <w:b/>
          <w:sz w:val="28"/>
          <w:szCs w:val="28"/>
        </w:rPr>
        <w:t xml:space="preserve">Анализ факторов риска репродуктивных потерь </w:t>
      </w:r>
    </w:p>
    <w:p w14:paraId="45F36B3A" w14:textId="209E9243" w:rsidR="0038219A" w:rsidRPr="00BE6128" w:rsidRDefault="00783C4B" w:rsidP="00BE6128">
      <w:pPr>
        <w:spacing w:after="0" w:line="240" w:lineRule="auto"/>
        <w:ind w:firstLine="567"/>
        <w:jc w:val="both"/>
        <w:rPr>
          <w:rFonts w:ascii="Times New Roman" w:hAnsi="Times New Roman" w:cs="Times New Roman"/>
          <w:bCs/>
          <w:sz w:val="28"/>
          <w:szCs w:val="28"/>
        </w:rPr>
      </w:pPr>
      <w:r w:rsidRPr="00BE6128">
        <w:rPr>
          <w:rFonts w:ascii="Times New Roman" w:hAnsi="Times New Roman" w:cs="Times New Roman"/>
          <w:bCs/>
          <w:sz w:val="28"/>
          <w:szCs w:val="28"/>
        </w:rPr>
        <w:t>3.1.2</w:t>
      </w:r>
      <w:r w:rsidR="0038219A" w:rsidRPr="00BE6128">
        <w:rPr>
          <w:rFonts w:ascii="Times New Roman" w:hAnsi="Times New Roman" w:cs="Times New Roman"/>
          <w:bCs/>
          <w:sz w:val="28"/>
          <w:szCs w:val="28"/>
        </w:rPr>
        <w:t xml:space="preserve"> Прогностическое значение толщины эндометрия в прогнозировании наступления беременности в циклах ЭКО</w:t>
      </w:r>
    </w:p>
    <w:p w14:paraId="216A2919" w14:textId="7C54DDAA" w:rsidR="00C11A77" w:rsidRPr="00916B3A" w:rsidRDefault="00C11A77" w:rsidP="00BE6128">
      <w:pPr>
        <w:spacing w:after="0" w:line="240" w:lineRule="auto"/>
        <w:ind w:firstLine="567"/>
        <w:jc w:val="both"/>
        <w:rPr>
          <w:rFonts w:ascii="Times New Roman" w:hAnsi="Times New Roman" w:cs="Times New Roman"/>
          <w:sz w:val="28"/>
          <w:szCs w:val="28"/>
          <w:lang w:val="kk-KZ"/>
        </w:rPr>
      </w:pPr>
      <w:r w:rsidRPr="00916B3A">
        <w:rPr>
          <w:rFonts w:ascii="Times New Roman" w:hAnsi="Times New Roman" w:cs="Times New Roman"/>
          <w:i/>
          <w:iCs/>
          <w:sz w:val="28"/>
          <w:szCs w:val="28"/>
        </w:rPr>
        <w:t>Систематический обзор</w:t>
      </w:r>
      <w:r w:rsidRPr="00916B3A">
        <w:rPr>
          <w:rFonts w:ascii="Times New Roman" w:hAnsi="Times New Roman" w:cs="Times New Roman"/>
          <w:sz w:val="28"/>
          <w:szCs w:val="28"/>
        </w:rPr>
        <w:t xml:space="preserve"> включил </w:t>
      </w:r>
      <w:r w:rsidRPr="00916B3A">
        <w:rPr>
          <w:rFonts w:ascii="Times New Roman" w:hAnsi="Times New Roman" w:cs="Times New Roman"/>
          <w:sz w:val="28"/>
          <w:szCs w:val="28"/>
          <w:lang w:val="kk-KZ"/>
        </w:rPr>
        <w:t>20 исследований с 14 804 пациентами (средний размер выборки = 306 пациентов, диапазон = от 24 до 3350 пациентов). Средний возраст пациентов варьировал от 28,86 до 41,03 года. Средний ИМТ пациентов варьировал от 20,93±</w:t>
      </w:r>
      <w:r w:rsidR="00951C76" w:rsidRPr="00916B3A">
        <w:rPr>
          <w:rFonts w:ascii="Times New Roman" w:hAnsi="Times New Roman" w:cs="Times New Roman"/>
          <w:sz w:val="28"/>
          <w:szCs w:val="28"/>
          <w:lang w:val="kk-KZ"/>
        </w:rPr>
        <w:t xml:space="preserve">0,97 до 26,2±2,7. Показатели толщины эндометрия </w:t>
      </w:r>
      <w:r w:rsidRPr="00916B3A">
        <w:rPr>
          <w:rFonts w:ascii="Times New Roman" w:hAnsi="Times New Roman" w:cs="Times New Roman"/>
          <w:sz w:val="28"/>
          <w:szCs w:val="28"/>
          <w:lang w:val="kk-KZ"/>
        </w:rPr>
        <w:t xml:space="preserve">варьировали от &lt;4 мм до &gt;15 мм. Клиническая частота наступления беременности варьировала от 9,1 до 79,3 %, а частота живорождения - от 4,8 до 48,99 %. </w:t>
      </w:r>
    </w:p>
    <w:p w14:paraId="00B759F6" w14:textId="77777777" w:rsidR="00C11A77" w:rsidRPr="00916B3A" w:rsidRDefault="00C11A77" w:rsidP="00BE6128">
      <w:pPr>
        <w:spacing w:after="0" w:line="240" w:lineRule="auto"/>
        <w:ind w:firstLine="567"/>
        <w:jc w:val="both"/>
        <w:rPr>
          <w:rFonts w:ascii="Times New Roman" w:hAnsi="Times New Roman" w:cs="Times New Roman"/>
          <w:sz w:val="28"/>
          <w:szCs w:val="28"/>
          <w:lang w:val="kk-KZ"/>
        </w:rPr>
      </w:pPr>
      <w:r w:rsidRPr="00916B3A">
        <w:rPr>
          <w:rFonts w:ascii="Times New Roman" w:hAnsi="Times New Roman" w:cs="Times New Roman"/>
          <w:sz w:val="28"/>
          <w:szCs w:val="28"/>
          <w:lang w:val="kk-KZ"/>
        </w:rPr>
        <w:t>В разных исследованиях толщину эндометрия измеряли в разные временные точки, чаще всего в день введения хорионического гонадотропина человека (ХГЧ), независимо от способа переноса эмбрионов (свежий или замороженный).</w:t>
      </w:r>
    </w:p>
    <w:p w14:paraId="1502D67C" w14:textId="77777777" w:rsidR="00C11A77" w:rsidRPr="00916B3A" w:rsidRDefault="00C11A77" w:rsidP="00BE6128">
      <w:pPr>
        <w:spacing w:after="0" w:line="240" w:lineRule="auto"/>
        <w:ind w:firstLine="567"/>
        <w:jc w:val="both"/>
        <w:rPr>
          <w:rFonts w:ascii="Times New Roman" w:hAnsi="Times New Roman" w:cs="Times New Roman"/>
          <w:sz w:val="28"/>
          <w:szCs w:val="28"/>
          <w:lang w:val="kk-KZ"/>
        </w:rPr>
      </w:pPr>
      <w:r w:rsidRPr="00916B3A">
        <w:rPr>
          <w:rFonts w:ascii="Times New Roman" w:hAnsi="Times New Roman" w:cs="Times New Roman"/>
          <w:sz w:val="28"/>
          <w:szCs w:val="28"/>
          <w:lang w:val="kk-KZ"/>
        </w:rPr>
        <w:t xml:space="preserve">Частота рождения живых детей  (LBR) в циклах переноса свежих и замороженных эмбрионов и связанные с этим факторы риска. </w:t>
      </w:r>
    </w:p>
    <w:p w14:paraId="21AC4F0A" w14:textId="77777777" w:rsidR="00951C76" w:rsidRPr="00916B3A" w:rsidRDefault="00C11A77" w:rsidP="00BE6128">
      <w:pPr>
        <w:spacing w:after="0" w:line="240" w:lineRule="auto"/>
        <w:ind w:firstLine="567"/>
        <w:jc w:val="both"/>
        <w:rPr>
          <w:rFonts w:ascii="Times New Roman" w:hAnsi="Times New Roman" w:cs="Times New Roman"/>
          <w:sz w:val="28"/>
          <w:szCs w:val="28"/>
          <w:lang w:val="kk-KZ"/>
        </w:rPr>
      </w:pPr>
      <w:r w:rsidRPr="00916B3A">
        <w:rPr>
          <w:rFonts w:ascii="Times New Roman" w:hAnsi="Times New Roman" w:cs="Times New Roman"/>
          <w:sz w:val="28"/>
          <w:szCs w:val="28"/>
          <w:lang w:val="kk-KZ"/>
        </w:rPr>
        <w:t>Показатели живорождения варьировались от 4,80% до 48,99% в циклах переноса свежих эмбрионов и от 6,06% до 39,19% в замороженных циклах. Клинические показатели беременности варьировались от 9,09% до 61,49% в циклах переноса свежих эмбрионов и от 13,3% до 79,31% в замороженных циклах. В пяти из девяти исследований, в которых сообщалось о циклах с переносом с</w:t>
      </w:r>
      <w:r w:rsidR="00951C76" w:rsidRPr="00916B3A">
        <w:rPr>
          <w:rFonts w:ascii="Times New Roman" w:hAnsi="Times New Roman" w:cs="Times New Roman"/>
          <w:sz w:val="28"/>
          <w:szCs w:val="28"/>
          <w:lang w:val="kk-KZ"/>
        </w:rPr>
        <w:t xml:space="preserve">вежих эмбрионов, показатель живорождения детей </w:t>
      </w:r>
      <w:r w:rsidRPr="00916B3A">
        <w:rPr>
          <w:rFonts w:ascii="Times New Roman" w:hAnsi="Times New Roman" w:cs="Times New Roman"/>
          <w:sz w:val="28"/>
          <w:szCs w:val="28"/>
          <w:lang w:val="kk-KZ"/>
        </w:rPr>
        <w:t>составил менее 20%. Во всех этих пяти исследованиях число клинических беременностей (CPR) составлял менее 30%. В шести из четырнадцати исследований, в которых сообщ</w:t>
      </w:r>
      <w:r w:rsidR="00EE4AF0" w:rsidRPr="00916B3A">
        <w:rPr>
          <w:rFonts w:ascii="Times New Roman" w:hAnsi="Times New Roman" w:cs="Times New Roman"/>
          <w:sz w:val="28"/>
          <w:szCs w:val="28"/>
          <w:lang w:val="kk-KZ"/>
        </w:rPr>
        <w:t>алось о замороженных циклах, показатель живорождаемости</w:t>
      </w:r>
      <w:r w:rsidRPr="00916B3A">
        <w:rPr>
          <w:rFonts w:ascii="Times New Roman" w:hAnsi="Times New Roman" w:cs="Times New Roman"/>
          <w:sz w:val="28"/>
          <w:szCs w:val="28"/>
          <w:lang w:val="kk-KZ"/>
        </w:rPr>
        <w:t xml:space="preserve"> составлял менее 20%.</w:t>
      </w:r>
      <w:r w:rsidR="00EE4AF0" w:rsidRPr="00916B3A">
        <w:rPr>
          <w:rFonts w:ascii="Times New Roman" w:hAnsi="Times New Roman" w:cs="Times New Roman"/>
          <w:sz w:val="28"/>
          <w:szCs w:val="28"/>
          <w:lang w:val="kk-KZ"/>
        </w:rPr>
        <w:t xml:space="preserve"> Только в одном исследовании показатель клинической наступлении беременности</w:t>
      </w:r>
      <w:r w:rsidRPr="00916B3A">
        <w:rPr>
          <w:rFonts w:ascii="Times New Roman" w:hAnsi="Times New Roman" w:cs="Times New Roman"/>
          <w:sz w:val="28"/>
          <w:szCs w:val="28"/>
          <w:lang w:val="kk-KZ"/>
        </w:rPr>
        <w:t xml:space="preserve"> выше 30%. В исследовании с самым низким процентом живорождений в свежих циклах средний возраст пациенток составил 29,5 + 3,2 года, а средняя продолжительность бесплодия была относительно небольшой - 3 года. В исследовании с наименьшим процентом живорождений в замороженных циклах возраст большинства пациенток составил в среднем 20,93±0,97 года.</w:t>
      </w:r>
    </w:p>
    <w:p w14:paraId="5E90BB62" w14:textId="57137CEC" w:rsidR="00C11A77" w:rsidRPr="00916B3A" w:rsidRDefault="00951C76" w:rsidP="00BE6128">
      <w:pPr>
        <w:spacing w:after="0" w:line="240" w:lineRule="auto"/>
        <w:ind w:firstLine="567"/>
        <w:jc w:val="both"/>
        <w:rPr>
          <w:rFonts w:ascii="Times New Roman" w:hAnsi="Times New Roman" w:cs="Times New Roman"/>
          <w:color w:val="000000" w:themeColor="text1"/>
          <w:sz w:val="28"/>
          <w:szCs w:val="28"/>
          <w:lang w:eastAsia="it-IT"/>
        </w:rPr>
      </w:pPr>
      <w:r w:rsidRPr="00916B3A">
        <w:rPr>
          <w:rFonts w:ascii="Times New Roman" w:hAnsi="Times New Roman" w:cs="Times New Roman"/>
          <w:color w:val="000000" w:themeColor="text1"/>
          <w:sz w:val="28"/>
          <w:szCs w:val="28"/>
          <w:lang w:eastAsia="it-IT"/>
        </w:rPr>
        <w:t>В таблице 3</w:t>
      </w:r>
      <w:r w:rsidR="00C11A77" w:rsidRPr="00916B3A">
        <w:rPr>
          <w:rFonts w:ascii="Times New Roman" w:hAnsi="Times New Roman" w:cs="Times New Roman"/>
          <w:color w:val="000000" w:themeColor="text1"/>
          <w:sz w:val="28"/>
          <w:szCs w:val="28"/>
          <w:lang w:eastAsia="it-IT"/>
        </w:rPr>
        <w:t xml:space="preserve"> приведены характеристики пациенток.</w:t>
      </w:r>
    </w:p>
    <w:p w14:paraId="0698D55C" w14:textId="30A0DF53" w:rsidR="00A071D5" w:rsidRPr="00916B3A" w:rsidRDefault="00A071D5" w:rsidP="00B17F46">
      <w:pPr>
        <w:spacing w:after="0" w:line="240" w:lineRule="auto"/>
        <w:jc w:val="both"/>
        <w:rPr>
          <w:rFonts w:ascii="Times New Roman" w:hAnsi="Times New Roman" w:cs="Times New Roman"/>
          <w:sz w:val="28"/>
          <w:szCs w:val="28"/>
          <w:lang w:val="kk-KZ"/>
        </w:rPr>
      </w:pPr>
    </w:p>
    <w:p w14:paraId="2997E3A7" w14:textId="289FB358" w:rsidR="00C11A77" w:rsidRPr="00916B3A" w:rsidRDefault="007F19EC" w:rsidP="00C11A77">
      <w:pPr>
        <w:spacing w:after="0" w:line="240" w:lineRule="auto"/>
        <w:jc w:val="both"/>
        <w:rPr>
          <w:rFonts w:ascii="Times New Roman" w:hAnsi="Times New Roman" w:cs="Times New Roman"/>
          <w:color w:val="000000" w:themeColor="text1"/>
          <w:sz w:val="28"/>
          <w:szCs w:val="28"/>
          <w:lang w:eastAsia="it-IT"/>
        </w:rPr>
      </w:pPr>
      <w:r w:rsidRPr="00916B3A">
        <w:rPr>
          <w:rFonts w:ascii="Times New Roman" w:hAnsi="Times New Roman" w:cs="Times New Roman"/>
          <w:color w:val="000000" w:themeColor="text1"/>
          <w:sz w:val="28"/>
          <w:szCs w:val="28"/>
          <w:lang w:eastAsia="it-IT"/>
        </w:rPr>
        <w:t>Таблица 3</w:t>
      </w:r>
      <w:r w:rsidR="00FE7F79">
        <w:rPr>
          <w:rFonts w:ascii="Times New Roman" w:hAnsi="Times New Roman" w:cs="Times New Roman"/>
          <w:color w:val="000000" w:themeColor="text1"/>
          <w:sz w:val="28"/>
          <w:szCs w:val="28"/>
          <w:lang w:eastAsia="it-IT"/>
        </w:rPr>
        <w:t xml:space="preserve"> -</w:t>
      </w:r>
      <w:r w:rsidR="00C11A77" w:rsidRPr="00916B3A">
        <w:rPr>
          <w:rFonts w:ascii="Times New Roman" w:hAnsi="Times New Roman" w:cs="Times New Roman"/>
          <w:color w:val="000000" w:themeColor="text1"/>
          <w:sz w:val="28"/>
          <w:szCs w:val="28"/>
          <w:lang w:eastAsia="it-IT"/>
        </w:rPr>
        <w:t xml:space="preserve"> Демографический и клинический профиль.</w:t>
      </w:r>
    </w:p>
    <w:p w14:paraId="43055137" w14:textId="77777777" w:rsidR="00C11A77" w:rsidRPr="00916B3A" w:rsidRDefault="00C11A77" w:rsidP="00C11A77">
      <w:pPr>
        <w:spacing w:after="0" w:line="240" w:lineRule="auto"/>
        <w:jc w:val="both"/>
        <w:rPr>
          <w:rFonts w:ascii="Times New Roman" w:hAnsi="Times New Roman" w:cs="Times New Roman"/>
          <w:color w:val="000000" w:themeColor="text1"/>
          <w:sz w:val="24"/>
          <w:szCs w:val="24"/>
        </w:rPr>
      </w:pPr>
    </w:p>
    <w:tbl>
      <w:tblPr>
        <w:tblStyle w:val="ae"/>
        <w:tblW w:w="9634" w:type="dxa"/>
        <w:tblLook w:val="04A0" w:firstRow="1" w:lastRow="0" w:firstColumn="1" w:lastColumn="0" w:noHBand="0" w:noVBand="1"/>
      </w:tblPr>
      <w:tblGrid>
        <w:gridCol w:w="4430"/>
        <w:gridCol w:w="5204"/>
      </w:tblGrid>
      <w:tr w:rsidR="00C11A77" w:rsidRPr="00916B3A" w14:paraId="74C1301B" w14:textId="77777777" w:rsidTr="00FE7F79">
        <w:tc>
          <w:tcPr>
            <w:tcW w:w="4430" w:type="dxa"/>
          </w:tcPr>
          <w:p w14:paraId="3E0972C3" w14:textId="77777777" w:rsidR="00C11A77" w:rsidRPr="00916B3A" w:rsidRDefault="00C11A77" w:rsidP="00BE6128">
            <w:pPr>
              <w:jc w:val="center"/>
              <w:rPr>
                <w:rFonts w:ascii="Times New Roman" w:hAnsi="Times New Roman" w:cs="Times New Roman"/>
                <w:color w:val="000000" w:themeColor="text1"/>
                <w:sz w:val="24"/>
                <w:szCs w:val="24"/>
                <w:lang w:val="kk-KZ"/>
              </w:rPr>
            </w:pPr>
            <w:r w:rsidRPr="00916B3A">
              <w:rPr>
                <w:rFonts w:ascii="Times New Roman" w:hAnsi="Times New Roman" w:cs="Times New Roman"/>
                <w:color w:val="000000" w:themeColor="text1"/>
                <w:sz w:val="24"/>
                <w:szCs w:val="24"/>
                <w:lang w:val="kk-KZ"/>
              </w:rPr>
              <w:t>Показатель</w:t>
            </w:r>
          </w:p>
        </w:tc>
        <w:tc>
          <w:tcPr>
            <w:tcW w:w="5204" w:type="dxa"/>
          </w:tcPr>
          <w:p w14:paraId="0B847D22" w14:textId="77777777" w:rsidR="00C11A77" w:rsidRPr="00916B3A" w:rsidRDefault="00C11A77" w:rsidP="00BE6128">
            <w:pPr>
              <w:jc w:val="center"/>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Mean±SD, or number (%)</w:t>
            </w:r>
          </w:p>
        </w:tc>
      </w:tr>
      <w:tr w:rsidR="00FE7F79" w:rsidRPr="00916B3A" w14:paraId="46D68346" w14:textId="77777777" w:rsidTr="00FE7F79">
        <w:tc>
          <w:tcPr>
            <w:tcW w:w="4430" w:type="dxa"/>
          </w:tcPr>
          <w:p w14:paraId="2F445AA6" w14:textId="2E76EE92" w:rsidR="00FE7F79" w:rsidRPr="00916B3A" w:rsidRDefault="00FE7F79" w:rsidP="00FE7F79">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5204" w:type="dxa"/>
          </w:tcPr>
          <w:p w14:paraId="6C5653B7" w14:textId="23AB1E39" w:rsidR="00FE7F79" w:rsidRPr="00916B3A" w:rsidRDefault="00FE7F79" w:rsidP="00FE7F7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C11A77" w:rsidRPr="00916B3A" w14:paraId="453F665E" w14:textId="77777777" w:rsidTr="00FE7F79">
        <w:tc>
          <w:tcPr>
            <w:tcW w:w="4430" w:type="dxa"/>
          </w:tcPr>
          <w:p w14:paraId="325F62D6" w14:textId="77777777" w:rsidR="00C11A77" w:rsidRPr="00916B3A" w:rsidRDefault="00C11A77" w:rsidP="00FE7F79">
            <w:pPr>
              <w:rPr>
                <w:rFonts w:ascii="Times New Roman" w:hAnsi="Times New Roman" w:cs="Times New Roman"/>
                <w:color w:val="000000" w:themeColor="text1"/>
                <w:sz w:val="24"/>
                <w:szCs w:val="24"/>
                <w:lang w:val="kk-KZ"/>
              </w:rPr>
            </w:pPr>
            <w:r w:rsidRPr="00916B3A">
              <w:rPr>
                <w:rFonts w:ascii="Times New Roman" w:hAnsi="Times New Roman" w:cs="Times New Roman"/>
                <w:color w:val="000000" w:themeColor="text1"/>
                <w:sz w:val="24"/>
                <w:szCs w:val="24"/>
                <w:lang w:val="kk-KZ"/>
              </w:rPr>
              <w:t>Протокол лечения                           короткий</w:t>
            </w:r>
          </w:p>
          <w:p w14:paraId="105F7C4B" w14:textId="11161D4B" w:rsidR="00C11A77" w:rsidRPr="00916B3A" w:rsidRDefault="001B35D5" w:rsidP="00FE7F79">
            <w:pPr>
              <w:rPr>
                <w:rFonts w:ascii="Times New Roman" w:hAnsi="Times New Roman" w:cs="Times New Roman"/>
                <w:color w:val="000000" w:themeColor="text1"/>
                <w:sz w:val="24"/>
                <w:szCs w:val="24"/>
                <w:lang w:val="kk-KZ"/>
              </w:rPr>
            </w:pPr>
            <w:r w:rsidRPr="00916B3A">
              <w:rPr>
                <w:rFonts w:ascii="Times New Roman" w:hAnsi="Times New Roman" w:cs="Times New Roman"/>
                <w:color w:val="000000" w:themeColor="text1"/>
                <w:sz w:val="24"/>
                <w:szCs w:val="24"/>
                <w:lang w:val="kk-KZ"/>
              </w:rPr>
              <w:t>Д</w:t>
            </w:r>
            <w:r w:rsidR="00C11A77" w:rsidRPr="00916B3A">
              <w:rPr>
                <w:rFonts w:ascii="Times New Roman" w:hAnsi="Times New Roman" w:cs="Times New Roman"/>
                <w:color w:val="000000" w:themeColor="text1"/>
                <w:sz w:val="24"/>
                <w:szCs w:val="24"/>
                <w:lang w:val="kk-KZ"/>
              </w:rPr>
              <w:t>линный</w:t>
            </w:r>
          </w:p>
        </w:tc>
        <w:tc>
          <w:tcPr>
            <w:tcW w:w="5204" w:type="dxa"/>
          </w:tcPr>
          <w:p w14:paraId="3A3006D6"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222 (79.6%)</w:t>
            </w:r>
          </w:p>
          <w:p w14:paraId="5F83256B"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57 (20.4%)</w:t>
            </w:r>
          </w:p>
        </w:tc>
      </w:tr>
      <w:tr w:rsidR="00C11A77" w:rsidRPr="00916B3A" w14:paraId="77E75B29" w14:textId="77777777" w:rsidTr="00BE6128">
        <w:tc>
          <w:tcPr>
            <w:tcW w:w="4430" w:type="dxa"/>
            <w:tcBorders>
              <w:bottom w:val="single" w:sz="4" w:space="0" w:color="auto"/>
            </w:tcBorders>
          </w:tcPr>
          <w:p w14:paraId="2C46FE97" w14:textId="77777777" w:rsidR="00C11A77" w:rsidRPr="00916B3A" w:rsidRDefault="00C11A77" w:rsidP="00FE7F79">
            <w:pPr>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lang w:val="kk-KZ"/>
              </w:rPr>
              <w:t>Возраст</w:t>
            </w:r>
            <w:r w:rsidRPr="00916B3A">
              <w:rPr>
                <w:rFonts w:ascii="Times New Roman" w:hAnsi="Times New Roman" w:cs="Times New Roman"/>
                <w:color w:val="000000" w:themeColor="text1"/>
                <w:sz w:val="24"/>
                <w:szCs w:val="24"/>
              </w:rPr>
              <w:t>,</w:t>
            </w:r>
            <w:r w:rsidRPr="00916B3A">
              <w:rPr>
                <w:rFonts w:ascii="Times New Roman" w:hAnsi="Times New Roman" w:cs="Times New Roman"/>
                <w:color w:val="000000" w:themeColor="text1"/>
                <w:sz w:val="24"/>
                <w:szCs w:val="24"/>
                <w:lang w:val="kk-KZ"/>
              </w:rPr>
              <w:t xml:space="preserve"> год</w:t>
            </w:r>
          </w:p>
        </w:tc>
        <w:tc>
          <w:tcPr>
            <w:tcW w:w="5204" w:type="dxa"/>
            <w:tcBorders>
              <w:bottom w:val="single" w:sz="4" w:space="0" w:color="auto"/>
            </w:tcBorders>
          </w:tcPr>
          <w:p w14:paraId="3AA1A38C"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32.94 (4.9)</w:t>
            </w:r>
          </w:p>
          <w:p w14:paraId="660C10A4"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Range (19-42)</w:t>
            </w:r>
          </w:p>
        </w:tc>
      </w:tr>
      <w:tr w:rsidR="00C11A77" w:rsidRPr="00916B3A" w14:paraId="16394710" w14:textId="77777777" w:rsidTr="00BE6128">
        <w:tc>
          <w:tcPr>
            <w:tcW w:w="4430" w:type="dxa"/>
            <w:tcBorders>
              <w:bottom w:val="nil"/>
            </w:tcBorders>
          </w:tcPr>
          <w:p w14:paraId="01A13034" w14:textId="77777777" w:rsidR="00C11A77" w:rsidRPr="00916B3A" w:rsidRDefault="00C11A77" w:rsidP="00FE7F79">
            <w:pPr>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BMI</w:t>
            </w:r>
          </w:p>
        </w:tc>
        <w:tc>
          <w:tcPr>
            <w:tcW w:w="5204" w:type="dxa"/>
            <w:tcBorders>
              <w:bottom w:val="nil"/>
            </w:tcBorders>
          </w:tcPr>
          <w:p w14:paraId="1FC2FB8E"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24.18±4.4</w:t>
            </w:r>
          </w:p>
        </w:tc>
      </w:tr>
    </w:tbl>
    <w:p w14:paraId="15060287" w14:textId="77777777" w:rsidR="00BE6128" w:rsidRDefault="00BE6128">
      <w:pPr>
        <w:rPr>
          <w:rFonts w:ascii="Times New Roman" w:hAnsi="Times New Roman" w:cs="Times New Roman"/>
          <w:sz w:val="28"/>
          <w:szCs w:val="28"/>
          <w:lang w:val="kk-KZ"/>
        </w:rPr>
      </w:pPr>
    </w:p>
    <w:p w14:paraId="58CFD645" w14:textId="229BB1D0" w:rsidR="00FE7F79" w:rsidRDefault="00BE6128" w:rsidP="00BE6128">
      <w:pPr>
        <w:spacing w:after="0" w:line="240" w:lineRule="auto"/>
        <w:rPr>
          <w:rFonts w:ascii="Times New Roman" w:hAnsi="Times New Roman" w:cs="Times New Roman"/>
          <w:sz w:val="28"/>
          <w:szCs w:val="28"/>
          <w:lang w:val="kk-KZ"/>
        </w:rPr>
      </w:pPr>
      <w:r w:rsidRPr="00BE6128">
        <w:rPr>
          <w:rFonts w:ascii="Times New Roman" w:hAnsi="Times New Roman" w:cs="Times New Roman"/>
          <w:sz w:val="28"/>
          <w:szCs w:val="28"/>
          <w:lang w:val="kk-KZ"/>
        </w:rPr>
        <w:t>Продолжение таблицы 3</w:t>
      </w:r>
    </w:p>
    <w:p w14:paraId="4A0137F4" w14:textId="77777777" w:rsidR="00BE6128" w:rsidRPr="00BE6128" w:rsidRDefault="00BE6128" w:rsidP="00BE6128">
      <w:pPr>
        <w:spacing w:after="0" w:line="240" w:lineRule="auto"/>
        <w:rPr>
          <w:rFonts w:ascii="Times New Roman" w:hAnsi="Times New Roman" w:cs="Times New Roman"/>
          <w:sz w:val="28"/>
          <w:szCs w:val="28"/>
          <w:lang w:val="kk-KZ"/>
        </w:rPr>
      </w:pPr>
    </w:p>
    <w:tbl>
      <w:tblPr>
        <w:tblStyle w:val="ae"/>
        <w:tblW w:w="9634" w:type="dxa"/>
        <w:tblLook w:val="04A0" w:firstRow="1" w:lastRow="0" w:firstColumn="1" w:lastColumn="0" w:noHBand="0" w:noVBand="1"/>
      </w:tblPr>
      <w:tblGrid>
        <w:gridCol w:w="4430"/>
        <w:gridCol w:w="5204"/>
      </w:tblGrid>
      <w:tr w:rsidR="00FE7F79" w:rsidRPr="00916B3A" w14:paraId="09345D9B" w14:textId="77777777" w:rsidTr="00FE7F79">
        <w:tc>
          <w:tcPr>
            <w:tcW w:w="4430" w:type="dxa"/>
          </w:tcPr>
          <w:p w14:paraId="66EDF581" w14:textId="38F7B7C2" w:rsidR="00FE7F79" w:rsidRPr="00916B3A" w:rsidRDefault="00FE7F79" w:rsidP="00BE61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204" w:type="dxa"/>
          </w:tcPr>
          <w:p w14:paraId="51F04282" w14:textId="12516D03" w:rsidR="00FE7F79" w:rsidRPr="00916B3A" w:rsidRDefault="00FE7F79" w:rsidP="00BE612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C11A77" w:rsidRPr="00916B3A" w14:paraId="7E155DD5" w14:textId="77777777" w:rsidTr="00FE7F79">
        <w:tc>
          <w:tcPr>
            <w:tcW w:w="4430" w:type="dxa"/>
          </w:tcPr>
          <w:p w14:paraId="2E67F2F0" w14:textId="502E4E0F" w:rsidR="00C11A77" w:rsidRPr="00916B3A" w:rsidRDefault="00C11A77" w:rsidP="00BE6128">
            <w:pPr>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Место </w:t>
            </w:r>
            <w:proofErr w:type="gramStart"/>
            <w:r w:rsidR="00951C76" w:rsidRPr="00916B3A">
              <w:rPr>
                <w:rFonts w:ascii="Times New Roman" w:hAnsi="Times New Roman" w:cs="Times New Roman"/>
                <w:color w:val="000000" w:themeColor="text1"/>
                <w:sz w:val="24"/>
                <w:szCs w:val="24"/>
              </w:rPr>
              <w:t xml:space="preserve">жительство:  </w:t>
            </w:r>
            <w:r w:rsidRPr="00916B3A">
              <w:rPr>
                <w:rFonts w:ascii="Times New Roman" w:hAnsi="Times New Roman" w:cs="Times New Roman"/>
                <w:color w:val="000000" w:themeColor="text1"/>
                <w:sz w:val="24"/>
                <w:szCs w:val="24"/>
              </w:rPr>
              <w:t xml:space="preserve"> </w:t>
            </w:r>
            <w:proofErr w:type="gramEnd"/>
            <w:r w:rsidRPr="00916B3A">
              <w:rPr>
                <w:rFonts w:ascii="Times New Roman" w:hAnsi="Times New Roman" w:cs="Times New Roman"/>
                <w:color w:val="000000" w:themeColor="text1"/>
                <w:sz w:val="24"/>
                <w:szCs w:val="24"/>
              </w:rPr>
              <w:t xml:space="preserve">                            город</w:t>
            </w:r>
          </w:p>
          <w:p w14:paraId="64DFB345" w14:textId="706BBC35" w:rsidR="00C11A77" w:rsidRPr="00916B3A" w:rsidRDefault="001B35D5" w:rsidP="00BE6128">
            <w:pPr>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С</w:t>
            </w:r>
            <w:r w:rsidR="00C11A77" w:rsidRPr="00916B3A">
              <w:rPr>
                <w:rFonts w:ascii="Times New Roman" w:hAnsi="Times New Roman" w:cs="Times New Roman"/>
                <w:color w:val="000000" w:themeColor="text1"/>
                <w:sz w:val="24"/>
                <w:szCs w:val="24"/>
              </w:rPr>
              <w:t>ело</w:t>
            </w:r>
          </w:p>
        </w:tc>
        <w:tc>
          <w:tcPr>
            <w:tcW w:w="5204" w:type="dxa"/>
          </w:tcPr>
          <w:p w14:paraId="74ED4A99" w14:textId="77777777" w:rsidR="00C11A77" w:rsidRPr="00916B3A" w:rsidRDefault="00C11A77" w:rsidP="00BE6128">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133 (47.7)</w:t>
            </w:r>
          </w:p>
          <w:p w14:paraId="4E53C0B9" w14:textId="77777777" w:rsidR="00C11A77" w:rsidRPr="00916B3A" w:rsidRDefault="00C11A77" w:rsidP="00BE6128">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146 (52.3)</w:t>
            </w:r>
          </w:p>
        </w:tc>
      </w:tr>
      <w:tr w:rsidR="00C11A77" w:rsidRPr="00916B3A" w14:paraId="01EE7C36" w14:textId="77777777" w:rsidTr="00FE7F79">
        <w:tc>
          <w:tcPr>
            <w:tcW w:w="4430" w:type="dxa"/>
          </w:tcPr>
          <w:p w14:paraId="14BDB269" w14:textId="536CD1CC" w:rsidR="00C11A77" w:rsidRPr="00916B3A" w:rsidRDefault="00C11A77" w:rsidP="00BE6128">
            <w:pPr>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Социальный </w:t>
            </w:r>
            <w:proofErr w:type="gramStart"/>
            <w:r w:rsidR="00951C76" w:rsidRPr="00916B3A">
              <w:rPr>
                <w:rFonts w:ascii="Times New Roman" w:hAnsi="Times New Roman" w:cs="Times New Roman"/>
                <w:color w:val="000000" w:themeColor="text1"/>
                <w:sz w:val="24"/>
                <w:szCs w:val="24"/>
              </w:rPr>
              <w:t xml:space="preserve">статус:  </w:t>
            </w:r>
            <w:r w:rsidRPr="00916B3A">
              <w:rPr>
                <w:rFonts w:ascii="Times New Roman" w:hAnsi="Times New Roman" w:cs="Times New Roman"/>
                <w:color w:val="000000" w:themeColor="text1"/>
                <w:sz w:val="24"/>
                <w:szCs w:val="24"/>
              </w:rPr>
              <w:t xml:space="preserve"> </w:t>
            </w:r>
            <w:proofErr w:type="gramEnd"/>
            <w:r w:rsidRPr="00916B3A">
              <w:rPr>
                <w:rFonts w:ascii="Times New Roman" w:hAnsi="Times New Roman" w:cs="Times New Roman"/>
                <w:color w:val="000000" w:themeColor="text1"/>
                <w:sz w:val="24"/>
                <w:szCs w:val="24"/>
              </w:rPr>
              <w:t xml:space="preserve">                   Работает</w:t>
            </w:r>
          </w:p>
          <w:p w14:paraId="4C722DB3" w14:textId="77777777" w:rsidR="00C11A77" w:rsidRPr="00916B3A" w:rsidRDefault="00C11A77" w:rsidP="00BE6128">
            <w:pPr>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Не работает</w:t>
            </w:r>
          </w:p>
          <w:p w14:paraId="535017C6" w14:textId="77777777" w:rsidR="00C11A77" w:rsidRPr="00916B3A" w:rsidRDefault="00C11A77" w:rsidP="00BE6128">
            <w:pPr>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Частный предприниматель</w:t>
            </w:r>
          </w:p>
        </w:tc>
        <w:tc>
          <w:tcPr>
            <w:tcW w:w="5204" w:type="dxa"/>
          </w:tcPr>
          <w:p w14:paraId="42ACE869" w14:textId="77777777" w:rsidR="00C11A77" w:rsidRPr="00916B3A" w:rsidRDefault="00C11A77" w:rsidP="00BE6128">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101 (36.2)</w:t>
            </w:r>
          </w:p>
          <w:p w14:paraId="7E5CEA0B" w14:textId="77777777" w:rsidR="00C11A77" w:rsidRPr="00916B3A" w:rsidRDefault="00C11A77" w:rsidP="00BE6128">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175 (62.7)</w:t>
            </w:r>
          </w:p>
          <w:p w14:paraId="4D8BA966" w14:textId="77777777" w:rsidR="00C11A77" w:rsidRPr="00916B3A" w:rsidRDefault="00C11A77" w:rsidP="00BE6128">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 (0.7)</w:t>
            </w:r>
          </w:p>
        </w:tc>
      </w:tr>
      <w:tr w:rsidR="00C11A77" w:rsidRPr="00916B3A" w14:paraId="0D4D9E64" w14:textId="77777777" w:rsidTr="00FE7F79">
        <w:tc>
          <w:tcPr>
            <w:tcW w:w="4430" w:type="dxa"/>
          </w:tcPr>
          <w:p w14:paraId="351FC20A" w14:textId="77777777" w:rsidR="00C11A77" w:rsidRPr="00916B3A" w:rsidRDefault="00C11A77" w:rsidP="00BE6128">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Длительность бесплодия, год</w:t>
            </w:r>
          </w:p>
        </w:tc>
        <w:tc>
          <w:tcPr>
            <w:tcW w:w="5204" w:type="dxa"/>
          </w:tcPr>
          <w:p w14:paraId="1E63C9BC" w14:textId="77777777" w:rsidR="00C11A77" w:rsidRPr="00916B3A" w:rsidRDefault="00C11A77" w:rsidP="00BE6128">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6.54±3.9</w:t>
            </w:r>
          </w:p>
          <w:p w14:paraId="753F0271" w14:textId="77777777" w:rsidR="00C11A77" w:rsidRPr="00916B3A" w:rsidRDefault="00C11A77" w:rsidP="00BE6128">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Range (1-20)</w:t>
            </w:r>
          </w:p>
        </w:tc>
      </w:tr>
      <w:tr w:rsidR="00C11A77" w:rsidRPr="00916B3A" w14:paraId="299DFF44" w14:textId="77777777" w:rsidTr="00FE7F79">
        <w:tc>
          <w:tcPr>
            <w:tcW w:w="4430" w:type="dxa"/>
          </w:tcPr>
          <w:p w14:paraId="75C2272F"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Бесплодие                                                    да</w:t>
            </w:r>
          </w:p>
          <w:p w14:paraId="34663381"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4FD2B866"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119 (42.7)</w:t>
            </w:r>
          </w:p>
          <w:p w14:paraId="61F90768"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160 (57.3)</w:t>
            </w:r>
          </w:p>
        </w:tc>
      </w:tr>
      <w:tr w:rsidR="00C11A77" w:rsidRPr="00916B3A" w14:paraId="2885B225" w14:textId="77777777" w:rsidTr="00FE7F79">
        <w:tc>
          <w:tcPr>
            <w:tcW w:w="4430" w:type="dxa"/>
          </w:tcPr>
          <w:p w14:paraId="2D56AF6B"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Выкидыш в 1 триместре                             да</w:t>
            </w:r>
          </w:p>
          <w:p w14:paraId="71945BEF"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6397C546"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66 (23.7)</w:t>
            </w:r>
          </w:p>
          <w:p w14:paraId="50780C89"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213 (76.3)</w:t>
            </w:r>
          </w:p>
        </w:tc>
      </w:tr>
      <w:tr w:rsidR="00C11A77" w:rsidRPr="00916B3A" w14:paraId="4F57F19C" w14:textId="77777777" w:rsidTr="00FE7F79">
        <w:tc>
          <w:tcPr>
            <w:tcW w:w="4430" w:type="dxa"/>
          </w:tcPr>
          <w:p w14:paraId="2C100F22"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Эктопическая беременность                     да</w:t>
            </w:r>
          </w:p>
          <w:p w14:paraId="7F214F15"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3BE3E0A0"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64 (22.9)</w:t>
            </w:r>
          </w:p>
          <w:p w14:paraId="302D27AD"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215 (77.1)</w:t>
            </w:r>
          </w:p>
        </w:tc>
      </w:tr>
      <w:tr w:rsidR="00C11A77" w:rsidRPr="00916B3A" w14:paraId="147DB20A" w14:textId="77777777" w:rsidTr="00FE7F79">
        <w:tc>
          <w:tcPr>
            <w:tcW w:w="4430" w:type="dxa"/>
          </w:tcPr>
          <w:p w14:paraId="7BDCDEBC"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Безэффективность ЭКО                            да</w:t>
            </w:r>
          </w:p>
          <w:p w14:paraId="6359D62B"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087A23D7"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23 (8.2)</w:t>
            </w:r>
          </w:p>
          <w:p w14:paraId="50BD9804"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256 (91.8)</w:t>
            </w:r>
          </w:p>
        </w:tc>
      </w:tr>
      <w:tr w:rsidR="00C11A77" w:rsidRPr="00916B3A" w14:paraId="0B6C2305" w14:textId="77777777" w:rsidTr="00FE7F79">
        <w:tc>
          <w:tcPr>
            <w:tcW w:w="4430" w:type="dxa"/>
          </w:tcPr>
          <w:p w14:paraId="3523E248"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Мужской фактор                                        да</w:t>
            </w:r>
          </w:p>
          <w:p w14:paraId="3CACA3EC"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46195E50"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145 (52.0)</w:t>
            </w:r>
          </w:p>
          <w:p w14:paraId="56440B23"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134 (48.0)</w:t>
            </w:r>
          </w:p>
        </w:tc>
      </w:tr>
      <w:tr w:rsidR="00C11A77" w:rsidRPr="00916B3A" w14:paraId="275C0827" w14:textId="77777777" w:rsidTr="00FE7F79">
        <w:tc>
          <w:tcPr>
            <w:tcW w:w="4430" w:type="dxa"/>
          </w:tcPr>
          <w:p w14:paraId="4E884078"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Трубный фактор                                         да</w:t>
            </w:r>
          </w:p>
          <w:p w14:paraId="5C1E2AA3"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0C569066"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207 (74.2)</w:t>
            </w:r>
          </w:p>
          <w:p w14:paraId="6FEE6315"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72 (25.8)</w:t>
            </w:r>
          </w:p>
        </w:tc>
      </w:tr>
      <w:tr w:rsidR="00C11A77" w:rsidRPr="00916B3A" w14:paraId="18F5C764" w14:textId="77777777" w:rsidTr="00FE7F79">
        <w:tc>
          <w:tcPr>
            <w:tcW w:w="4430" w:type="dxa"/>
          </w:tcPr>
          <w:p w14:paraId="10B18CD3"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Эндометриоз                                               да</w:t>
            </w:r>
          </w:p>
          <w:p w14:paraId="0674272A"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310F25B0"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33 (11.8)</w:t>
            </w:r>
          </w:p>
          <w:p w14:paraId="2D25A9F4"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246 (88.2)</w:t>
            </w:r>
          </w:p>
        </w:tc>
      </w:tr>
      <w:tr w:rsidR="00C11A77" w:rsidRPr="00916B3A" w14:paraId="32C123FB" w14:textId="77777777" w:rsidTr="00FE7F79">
        <w:tc>
          <w:tcPr>
            <w:tcW w:w="4430" w:type="dxa"/>
          </w:tcPr>
          <w:p w14:paraId="27EF0153"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Хронический эндометрит                          да</w:t>
            </w:r>
          </w:p>
          <w:p w14:paraId="17129742"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3F418B1B"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51 (18.3)</w:t>
            </w:r>
          </w:p>
          <w:p w14:paraId="50825343"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228 (81.7)</w:t>
            </w:r>
          </w:p>
        </w:tc>
      </w:tr>
      <w:tr w:rsidR="00C11A77" w:rsidRPr="00916B3A" w14:paraId="01C598A0" w14:textId="77777777" w:rsidTr="00FE7F79">
        <w:tc>
          <w:tcPr>
            <w:tcW w:w="4430" w:type="dxa"/>
          </w:tcPr>
          <w:p w14:paraId="368E2A94"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Эндокринные факторы</w:t>
            </w:r>
            <w:r w:rsidRPr="00916B3A">
              <w:rPr>
                <w:rFonts w:ascii="Times New Roman" w:hAnsi="Times New Roman" w:cs="Times New Roman"/>
                <w:color w:val="000000" w:themeColor="text1"/>
                <w:sz w:val="24"/>
                <w:szCs w:val="24"/>
                <w:vertAlign w:val="superscript"/>
              </w:rPr>
              <w:t xml:space="preserve">1                                         </w:t>
            </w:r>
            <w:r w:rsidRPr="00916B3A">
              <w:rPr>
                <w:rFonts w:ascii="Times New Roman" w:hAnsi="Times New Roman" w:cs="Times New Roman"/>
                <w:color w:val="000000" w:themeColor="text1"/>
                <w:sz w:val="24"/>
                <w:szCs w:val="24"/>
              </w:rPr>
              <w:t>да</w:t>
            </w:r>
          </w:p>
          <w:p w14:paraId="070433CE"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4744169D"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22 (7.9)</w:t>
            </w:r>
          </w:p>
          <w:p w14:paraId="1A246865"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254 (91.0)</w:t>
            </w:r>
          </w:p>
        </w:tc>
      </w:tr>
      <w:tr w:rsidR="00C11A77" w:rsidRPr="00916B3A" w14:paraId="5E929C2B" w14:textId="77777777" w:rsidTr="00FE7F79">
        <w:tc>
          <w:tcPr>
            <w:tcW w:w="4430" w:type="dxa"/>
          </w:tcPr>
          <w:p w14:paraId="147CF2DE"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Неуточненный фактор </w:t>
            </w:r>
            <w:r w:rsidRPr="00916B3A">
              <w:rPr>
                <w:rFonts w:ascii="Times New Roman" w:hAnsi="Times New Roman" w:cs="Times New Roman"/>
                <w:color w:val="000000" w:themeColor="text1"/>
                <w:sz w:val="24"/>
                <w:szCs w:val="24"/>
                <w:vertAlign w:val="superscript"/>
              </w:rPr>
              <w:t xml:space="preserve">1 </w:t>
            </w:r>
            <w:r w:rsidRPr="00916B3A">
              <w:rPr>
                <w:rFonts w:ascii="Times New Roman" w:hAnsi="Times New Roman" w:cs="Times New Roman"/>
                <w:color w:val="000000" w:themeColor="text1"/>
                <w:sz w:val="24"/>
                <w:szCs w:val="24"/>
              </w:rPr>
              <w:t xml:space="preserve">                            да</w:t>
            </w:r>
          </w:p>
          <w:p w14:paraId="187DDFBB"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 xml:space="preserve">нет      </w:t>
            </w:r>
          </w:p>
        </w:tc>
        <w:tc>
          <w:tcPr>
            <w:tcW w:w="5204" w:type="dxa"/>
          </w:tcPr>
          <w:p w14:paraId="2FFCD271"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9 (3.2)</w:t>
            </w:r>
          </w:p>
          <w:p w14:paraId="1121F3CC"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268 (96.1)</w:t>
            </w:r>
          </w:p>
        </w:tc>
      </w:tr>
      <w:tr w:rsidR="00C11A77" w:rsidRPr="00916B3A" w14:paraId="646768F3" w14:textId="77777777" w:rsidTr="00FE7F79">
        <w:tc>
          <w:tcPr>
            <w:tcW w:w="4430" w:type="dxa"/>
          </w:tcPr>
          <w:p w14:paraId="397E0D44"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Тонкий эндометрий, мм                             &gt;5</w:t>
            </w:r>
          </w:p>
          <w:p w14:paraId="33CFB5E8"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5-7</w:t>
            </w:r>
          </w:p>
          <w:p w14:paraId="428254B5"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&lt;7</w:t>
            </w:r>
          </w:p>
          <w:p w14:paraId="1CF86BEA" w14:textId="77777777" w:rsidR="00C11A77" w:rsidRPr="00916B3A" w:rsidRDefault="00C11A77" w:rsidP="00EE4AF0">
            <w:pPr>
              <w:jc w:val="right"/>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Mean (SD)</w:t>
            </w:r>
          </w:p>
        </w:tc>
        <w:tc>
          <w:tcPr>
            <w:tcW w:w="5204" w:type="dxa"/>
          </w:tcPr>
          <w:p w14:paraId="0150A06A"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70 (25.1)</w:t>
            </w:r>
          </w:p>
          <w:p w14:paraId="0D26C306"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120 (43.0)</w:t>
            </w:r>
          </w:p>
          <w:p w14:paraId="23147FB8"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89 (31.9)</w:t>
            </w:r>
          </w:p>
          <w:p w14:paraId="64748035"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6.21 ± 2.5</w:t>
            </w:r>
          </w:p>
        </w:tc>
      </w:tr>
      <w:tr w:rsidR="00C11A77" w:rsidRPr="00916B3A" w14:paraId="2ECC1701" w14:textId="77777777" w:rsidTr="00FE7F79">
        <w:tc>
          <w:tcPr>
            <w:tcW w:w="4430" w:type="dxa"/>
          </w:tcPr>
          <w:p w14:paraId="6E3225D0"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АМГ ng/mL</w:t>
            </w:r>
          </w:p>
        </w:tc>
        <w:tc>
          <w:tcPr>
            <w:tcW w:w="5204" w:type="dxa"/>
          </w:tcPr>
          <w:p w14:paraId="14E1A037"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3.20±3.0</w:t>
            </w:r>
          </w:p>
        </w:tc>
      </w:tr>
      <w:tr w:rsidR="00C11A77" w:rsidRPr="00916B3A" w14:paraId="014B29E5" w14:textId="77777777" w:rsidTr="00FE7F79">
        <w:trPr>
          <w:trHeight w:val="170"/>
        </w:trPr>
        <w:tc>
          <w:tcPr>
            <w:tcW w:w="4430" w:type="dxa"/>
          </w:tcPr>
          <w:p w14:paraId="669B3D9B"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ЛГ IU/L</w:t>
            </w:r>
          </w:p>
        </w:tc>
        <w:tc>
          <w:tcPr>
            <w:tcW w:w="5204" w:type="dxa"/>
          </w:tcPr>
          <w:p w14:paraId="6C973EA5"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6.36±4.3</w:t>
            </w:r>
          </w:p>
        </w:tc>
      </w:tr>
      <w:tr w:rsidR="00C11A77" w:rsidRPr="00916B3A" w14:paraId="4A453759" w14:textId="77777777" w:rsidTr="00FE7F79">
        <w:tc>
          <w:tcPr>
            <w:tcW w:w="4430" w:type="dxa"/>
          </w:tcPr>
          <w:p w14:paraId="3B92E3AC" w14:textId="77777777" w:rsidR="00C11A77" w:rsidRPr="00916B3A" w:rsidRDefault="00C11A77" w:rsidP="00EE4AF0">
            <w:pPr>
              <w:jc w:val="both"/>
              <w:rPr>
                <w:rFonts w:ascii="Times New Roman" w:hAnsi="Times New Roman" w:cs="Times New Roman"/>
                <w:color w:val="000000" w:themeColor="text1"/>
                <w:sz w:val="24"/>
                <w:szCs w:val="24"/>
                <w:lang w:val="en-US"/>
              </w:rPr>
            </w:pPr>
            <w:r w:rsidRPr="00916B3A">
              <w:rPr>
                <w:rFonts w:ascii="Times New Roman" w:hAnsi="Times New Roman" w:cs="Times New Roman"/>
                <w:color w:val="000000" w:themeColor="text1"/>
                <w:sz w:val="24"/>
                <w:szCs w:val="24"/>
              </w:rPr>
              <w:t>ФСГ</w:t>
            </w:r>
            <w:r w:rsidRPr="00916B3A">
              <w:rPr>
                <w:rFonts w:ascii="Times New Roman" w:hAnsi="Times New Roman" w:cs="Times New Roman"/>
                <w:color w:val="000000" w:themeColor="text1"/>
                <w:sz w:val="24"/>
                <w:szCs w:val="24"/>
                <w:lang w:val="en-US"/>
              </w:rPr>
              <w:t xml:space="preserve"> (on 2-5 day of cycle) mIU/mL</w:t>
            </w:r>
          </w:p>
        </w:tc>
        <w:tc>
          <w:tcPr>
            <w:tcW w:w="5204" w:type="dxa"/>
          </w:tcPr>
          <w:p w14:paraId="0D352125" w14:textId="77777777" w:rsidR="00C11A77" w:rsidRPr="00916B3A" w:rsidRDefault="00C11A77" w:rsidP="00EE4AF0">
            <w:pPr>
              <w:jc w:val="both"/>
              <w:rPr>
                <w:rFonts w:ascii="Times New Roman" w:hAnsi="Times New Roman" w:cs="Times New Roman"/>
                <w:color w:val="000000" w:themeColor="text1"/>
                <w:sz w:val="24"/>
                <w:szCs w:val="24"/>
              </w:rPr>
            </w:pPr>
            <w:r w:rsidRPr="00916B3A">
              <w:rPr>
                <w:rFonts w:ascii="Times New Roman" w:hAnsi="Times New Roman" w:cs="Times New Roman"/>
                <w:color w:val="000000" w:themeColor="text1"/>
                <w:sz w:val="24"/>
                <w:szCs w:val="24"/>
              </w:rPr>
              <w:t>7.14±5.6</w:t>
            </w:r>
          </w:p>
        </w:tc>
      </w:tr>
      <w:tr w:rsidR="00BE6128" w:rsidRPr="00916B3A" w14:paraId="505DCC85" w14:textId="77777777" w:rsidTr="001A5AC8">
        <w:tc>
          <w:tcPr>
            <w:tcW w:w="9634" w:type="dxa"/>
            <w:gridSpan w:val="2"/>
          </w:tcPr>
          <w:p w14:paraId="6BA26732" w14:textId="42337FAA" w:rsidR="00BE6128" w:rsidRPr="00BE6128" w:rsidRDefault="00BE6128" w:rsidP="00BE6128">
            <w:pPr>
              <w:pStyle w:val="a9"/>
              <w:shd w:val="clear" w:color="auto" w:fill="FFFFFF"/>
              <w:spacing w:before="0" w:beforeAutospacing="0" w:after="0" w:afterAutospacing="0"/>
              <w:ind w:firstLine="739"/>
              <w:jc w:val="both"/>
              <w:rPr>
                <w:color w:val="000000" w:themeColor="text1"/>
                <w:lang w:val="kk-KZ" w:eastAsia="en-US"/>
              </w:rPr>
            </w:pPr>
            <w:r w:rsidRPr="00916B3A">
              <w:rPr>
                <w:color w:val="000000" w:themeColor="text1"/>
                <w:lang w:eastAsia="en-US"/>
              </w:rPr>
              <w:t xml:space="preserve">Сокращения: </w:t>
            </w:r>
            <w:r w:rsidRPr="00916B3A">
              <w:rPr>
                <w:color w:val="000000" w:themeColor="text1"/>
                <w:lang w:val="en-US" w:eastAsia="en-US"/>
              </w:rPr>
              <w:t>AMH</w:t>
            </w:r>
            <w:r w:rsidRPr="00916B3A">
              <w:rPr>
                <w:color w:val="000000" w:themeColor="text1"/>
                <w:lang w:eastAsia="en-US"/>
              </w:rPr>
              <w:t xml:space="preserve">: антимюллеров гормон; </w:t>
            </w:r>
            <w:r w:rsidRPr="00916B3A">
              <w:rPr>
                <w:color w:val="000000" w:themeColor="text1"/>
                <w:lang w:val="en-US" w:eastAsia="en-US"/>
              </w:rPr>
              <w:t>BMI</w:t>
            </w:r>
            <w:r w:rsidRPr="00916B3A">
              <w:rPr>
                <w:color w:val="000000" w:themeColor="text1"/>
                <w:lang w:eastAsia="en-US"/>
              </w:rPr>
              <w:t xml:space="preserve">: индекс массы тела; ФСГ: фолликулостимулирующий гормон; ЛГ: лютеинизирующий гормон; </w:t>
            </w:r>
            <w:r w:rsidRPr="00916B3A">
              <w:rPr>
                <w:color w:val="000000" w:themeColor="text1"/>
                <w:lang w:val="en-US" w:eastAsia="en-US"/>
              </w:rPr>
              <w:t>SD</w:t>
            </w:r>
            <w:r w:rsidRPr="00916B3A">
              <w:rPr>
                <w:color w:val="000000" w:themeColor="text1"/>
                <w:lang w:eastAsia="en-US"/>
              </w:rPr>
              <w:t>: стандартное отклонение.</w:t>
            </w:r>
          </w:p>
        </w:tc>
      </w:tr>
    </w:tbl>
    <w:p w14:paraId="47FADC0E" w14:textId="77777777" w:rsidR="00C11A77" w:rsidRPr="00916B3A" w:rsidRDefault="00C11A77" w:rsidP="00C11A77">
      <w:pPr>
        <w:spacing w:after="0" w:line="240" w:lineRule="auto"/>
        <w:jc w:val="both"/>
        <w:rPr>
          <w:rFonts w:ascii="Times New Roman" w:eastAsia="Calibri" w:hAnsi="Times New Roman" w:cs="Times New Roman"/>
          <w:sz w:val="28"/>
          <w:szCs w:val="28"/>
        </w:rPr>
      </w:pPr>
    </w:p>
    <w:p w14:paraId="17FB9766" w14:textId="0CFFD100" w:rsidR="00951C76" w:rsidRPr="00E475DC" w:rsidRDefault="00C11A77" w:rsidP="00E475DC">
      <w:pPr>
        <w:spacing w:after="0" w:line="240" w:lineRule="auto"/>
        <w:ind w:firstLine="709"/>
        <w:jc w:val="both"/>
        <w:rPr>
          <w:rFonts w:ascii="Times New Roman" w:eastAsia="Calibri" w:hAnsi="Times New Roman" w:cs="Times New Roman"/>
          <w:sz w:val="28"/>
          <w:szCs w:val="28"/>
        </w:rPr>
      </w:pPr>
      <w:r w:rsidRPr="00916B3A">
        <w:rPr>
          <w:rFonts w:ascii="Times New Roman" w:eastAsia="Calibri" w:hAnsi="Times New Roman" w:cs="Times New Roman"/>
          <w:sz w:val="28"/>
          <w:szCs w:val="28"/>
        </w:rPr>
        <w:t xml:space="preserve">В результате всестороннего поиска в </w:t>
      </w:r>
      <w:r w:rsidRPr="00916B3A">
        <w:rPr>
          <w:rFonts w:ascii="Times New Roman" w:eastAsia="Calibri" w:hAnsi="Times New Roman" w:cs="Times New Roman"/>
          <w:sz w:val="28"/>
          <w:szCs w:val="28"/>
          <w:lang w:val="en-US"/>
        </w:rPr>
        <w:t>Pubmed</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US"/>
        </w:rPr>
        <w:t>Web</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US"/>
        </w:rPr>
        <w:t>of</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US"/>
        </w:rPr>
        <w:t>Science</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US"/>
        </w:rPr>
        <w:t>ScienceDirect</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US"/>
        </w:rPr>
        <w:t>Scopus</w:t>
      </w:r>
      <w:r w:rsidRPr="00916B3A">
        <w:rPr>
          <w:rFonts w:ascii="Times New Roman" w:eastAsia="Calibri" w:hAnsi="Times New Roman" w:cs="Times New Roman"/>
          <w:sz w:val="28"/>
          <w:szCs w:val="28"/>
        </w:rPr>
        <w:t xml:space="preserve"> и </w:t>
      </w:r>
      <w:r w:rsidRPr="00916B3A">
        <w:rPr>
          <w:rFonts w:ascii="Times New Roman" w:eastAsia="Calibri" w:hAnsi="Times New Roman" w:cs="Times New Roman"/>
          <w:sz w:val="28"/>
          <w:szCs w:val="28"/>
          <w:lang w:val="en-US"/>
        </w:rPr>
        <w:t>Google</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US"/>
        </w:rPr>
        <w:t>Scholar</w:t>
      </w:r>
      <w:r w:rsidRPr="00916B3A">
        <w:rPr>
          <w:rFonts w:ascii="Times New Roman" w:eastAsia="Calibri" w:hAnsi="Times New Roman" w:cs="Times New Roman"/>
          <w:sz w:val="28"/>
          <w:szCs w:val="28"/>
        </w:rPr>
        <w:t xml:space="preserve"> было найдено 1939 недублирующих названий. Дальнейший отбор соответствующих статей на основе названия и аннотации дал 837 записей. 81 полнотекстовая статья была отобрана на предмет соответствия требованиям, и 20 статей были включены в систематический об</w:t>
      </w:r>
      <w:r w:rsidR="007F19EC" w:rsidRPr="00916B3A">
        <w:rPr>
          <w:rFonts w:ascii="Times New Roman" w:eastAsia="Calibri" w:hAnsi="Times New Roman" w:cs="Times New Roman"/>
          <w:sz w:val="28"/>
          <w:szCs w:val="28"/>
        </w:rPr>
        <w:t xml:space="preserve">зор, которые </w:t>
      </w:r>
      <w:r w:rsidR="00D219EB" w:rsidRPr="00916B3A">
        <w:rPr>
          <w:rFonts w:ascii="Times New Roman" w:eastAsia="Calibri" w:hAnsi="Times New Roman" w:cs="Times New Roman"/>
          <w:sz w:val="28"/>
          <w:szCs w:val="28"/>
        </w:rPr>
        <w:t xml:space="preserve">представлены </w:t>
      </w:r>
      <w:r w:rsidR="007F19EC" w:rsidRPr="00916B3A">
        <w:rPr>
          <w:rFonts w:ascii="Times New Roman" w:eastAsia="Calibri" w:hAnsi="Times New Roman" w:cs="Times New Roman"/>
          <w:sz w:val="28"/>
          <w:szCs w:val="28"/>
        </w:rPr>
        <w:t xml:space="preserve">в </w:t>
      </w:r>
      <w:r w:rsidRPr="00916B3A">
        <w:rPr>
          <w:rFonts w:ascii="Times New Roman" w:eastAsia="Calibri" w:hAnsi="Times New Roman" w:cs="Times New Roman"/>
          <w:sz w:val="28"/>
          <w:szCs w:val="28"/>
        </w:rPr>
        <w:t>таблице</w:t>
      </w:r>
      <w:r w:rsidR="00A071D5" w:rsidRPr="00916B3A">
        <w:rPr>
          <w:rFonts w:ascii="Times New Roman" w:eastAsia="Calibri" w:hAnsi="Times New Roman" w:cs="Times New Roman"/>
          <w:sz w:val="28"/>
          <w:szCs w:val="28"/>
        </w:rPr>
        <w:t xml:space="preserve"> 4</w:t>
      </w:r>
      <w:r w:rsidRPr="00916B3A">
        <w:rPr>
          <w:rFonts w:ascii="Times New Roman" w:eastAsia="Calibri" w:hAnsi="Times New Roman" w:cs="Times New Roman"/>
          <w:sz w:val="28"/>
          <w:szCs w:val="28"/>
        </w:rPr>
        <w:t xml:space="preserve">. </w:t>
      </w:r>
      <w:bookmarkStart w:id="18" w:name="_Hlk111213616"/>
      <w:bookmarkStart w:id="19" w:name="_Hlk131889767"/>
    </w:p>
    <w:p w14:paraId="4B73DD0E" w14:textId="7B3C8235" w:rsidR="00BE6128" w:rsidRDefault="00C11A77" w:rsidP="00A071D5">
      <w:pPr>
        <w:spacing w:after="0" w:line="240" w:lineRule="auto"/>
        <w:rPr>
          <w:rFonts w:ascii="Times New Roman" w:hAnsi="Times New Roman" w:cs="Times New Roman"/>
          <w:bCs/>
          <w:color w:val="231F20"/>
          <w:spacing w:val="-6"/>
          <w:sz w:val="28"/>
          <w:szCs w:val="28"/>
        </w:rPr>
      </w:pPr>
      <w:r w:rsidRPr="00916B3A">
        <w:rPr>
          <w:rFonts w:ascii="Times New Roman" w:hAnsi="Times New Roman" w:cs="Times New Roman"/>
          <w:bCs/>
          <w:color w:val="231F20"/>
          <w:spacing w:val="-6"/>
          <w:sz w:val="28"/>
          <w:szCs w:val="28"/>
        </w:rPr>
        <w:t xml:space="preserve"> </w:t>
      </w:r>
    </w:p>
    <w:p w14:paraId="125E2A71" w14:textId="77777777" w:rsidR="001A5AC8" w:rsidRDefault="001A5AC8" w:rsidP="00A071D5">
      <w:pPr>
        <w:spacing w:after="0" w:line="240" w:lineRule="auto"/>
        <w:rPr>
          <w:rFonts w:ascii="Times New Roman" w:hAnsi="Times New Roman" w:cs="Times New Roman"/>
          <w:bCs/>
          <w:color w:val="231F20"/>
          <w:spacing w:val="-6"/>
          <w:sz w:val="28"/>
          <w:szCs w:val="28"/>
        </w:rPr>
        <w:sectPr w:rsidR="001A5AC8" w:rsidSect="001A5AC8">
          <w:footerReference w:type="default" r:id="rId9"/>
          <w:pgSz w:w="11907" w:h="16840" w:code="9"/>
          <w:pgMar w:top="1134" w:right="567" w:bottom="1134" w:left="1701" w:header="709" w:footer="709" w:gutter="0"/>
          <w:cols w:space="720"/>
          <w:titlePg/>
          <w:docGrid w:linePitch="299"/>
        </w:sectPr>
      </w:pPr>
    </w:p>
    <w:p w14:paraId="5291E5EF" w14:textId="440F19D0" w:rsidR="00BE6128" w:rsidRDefault="00BE6128" w:rsidP="00A071D5">
      <w:pPr>
        <w:spacing w:after="0" w:line="240" w:lineRule="auto"/>
        <w:rPr>
          <w:rFonts w:ascii="Times New Roman" w:hAnsi="Times New Roman" w:cs="Times New Roman"/>
          <w:bCs/>
          <w:color w:val="231F20"/>
          <w:spacing w:val="-6"/>
          <w:sz w:val="28"/>
          <w:szCs w:val="28"/>
        </w:rPr>
      </w:pPr>
    </w:p>
    <w:p w14:paraId="1A6BBD68" w14:textId="77777777" w:rsidR="00BE6128" w:rsidRDefault="00BE6128" w:rsidP="00A071D5">
      <w:pPr>
        <w:spacing w:after="0" w:line="240" w:lineRule="auto"/>
        <w:rPr>
          <w:rFonts w:ascii="Times New Roman" w:hAnsi="Times New Roman" w:cs="Times New Roman"/>
          <w:bCs/>
          <w:color w:val="231F20"/>
          <w:spacing w:val="-6"/>
          <w:sz w:val="28"/>
          <w:szCs w:val="28"/>
        </w:rPr>
      </w:pPr>
    </w:p>
    <w:p w14:paraId="1BD1106C" w14:textId="314DA564" w:rsidR="00C11A77" w:rsidRPr="00916B3A" w:rsidRDefault="00BE6128" w:rsidP="00A071D5">
      <w:pPr>
        <w:spacing w:after="0" w:line="240" w:lineRule="auto"/>
        <w:rPr>
          <w:rFonts w:ascii="Times New Roman" w:hAnsi="Times New Roman" w:cs="Times New Roman"/>
          <w:bCs/>
          <w:sz w:val="28"/>
          <w:szCs w:val="28"/>
          <w:lang w:val="en-US"/>
        </w:rPr>
      </w:pPr>
      <w:r>
        <w:rPr>
          <w:rFonts w:ascii="Times New Roman" w:hAnsi="Times New Roman" w:cs="Times New Roman"/>
          <w:bCs/>
          <w:color w:val="231F20"/>
          <w:spacing w:val="-6"/>
          <w:sz w:val="28"/>
          <w:szCs w:val="28"/>
        </w:rPr>
        <w:t xml:space="preserve">    Таблица 4 - </w:t>
      </w:r>
      <w:r w:rsidR="00C11A77" w:rsidRPr="00916B3A">
        <w:rPr>
          <w:rFonts w:ascii="Times New Roman" w:hAnsi="Times New Roman" w:cs="Times New Roman"/>
          <w:bCs/>
          <w:color w:val="231F20"/>
          <w:spacing w:val="-6"/>
          <w:sz w:val="28"/>
          <w:szCs w:val="28"/>
        </w:rPr>
        <w:t>Характеристика включенных исследований</w:t>
      </w:r>
    </w:p>
    <w:p w14:paraId="3E6FC884" w14:textId="77777777" w:rsidR="00C11A77" w:rsidRPr="00916B3A" w:rsidRDefault="00C11A77" w:rsidP="00C11A77">
      <w:pPr>
        <w:pStyle w:val="affc"/>
        <w:spacing w:after="0" w:line="240" w:lineRule="auto"/>
        <w:rPr>
          <w:rFonts w:ascii="Times New Roman" w:hAnsi="Times New Roman" w:cs="Times New Roman"/>
          <w:sz w:val="24"/>
          <w:szCs w:val="24"/>
          <w:lang w:val="en-US"/>
        </w:rPr>
      </w:pPr>
    </w:p>
    <w:tbl>
      <w:tblPr>
        <w:tblStyle w:val="TableNormal"/>
        <w:tblW w:w="14458" w:type="dxa"/>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5"/>
        <w:gridCol w:w="1276"/>
        <w:gridCol w:w="425"/>
        <w:gridCol w:w="1701"/>
        <w:gridCol w:w="1701"/>
        <w:gridCol w:w="3402"/>
        <w:gridCol w:w="1559"/>
        <w:gridCol w:w="1843"/>
        <w:gridCol w:w="2126"/>
      </w:tblGrid>
      <w:tr w:rsidR="00BE6128" w:rsidRPr="00BE6128" w14:paraId="0642A53B" w14:textId="77777777" w:rsidTr="0060156A">
        <w:trPr>
          <w:trHeight w:val="724"/>
        </w:trPr>
        <w:tc>
          <w:tcPr>
            <w:tcW w:w="425" w:type="dxa"/>
          </w:tcPr>
          <w:p w14:paraId="104C99F5" w14:textId="0C2D9D56" w:rsidR="00C11A77" w:rsidRPr="00BE6128" w:rsidRDefault="00BE6128" w:rsidP="00BE6128">
            <w:pPr>
              <w:pStyle w:val="TableParagraph"/>
              <w:spacing w:before="0"/>
              <w:ind w:left="80"/>
              <w:jc w:val="center"/>
              <w:rPr>
                <w:rFonts w:ascii="Times New Roman" w:hAnsi="Times New Roman" w:cs="Times New Roman"/>
                <w:b/>
                <w:sz w:val="24"/>
                <w:szCs w:val="24"/>
                <w:lang w:val="ru-RU"/>
              </w:rPr>
            </w:pPr>
            <w:r w:rsidRPr="00BE6128">
              <w:rPr>
                <w:rFonts w:ascii="Times New Roman" w:hAnsi="Times New Roman" w:cs="Times New Roman"/>
                <w:b/>
                <w:color w:val="231F20"/>
                <w:spacing w:val="-10"/>
                <w:w w:val="90"/>
                <w:sz w:val="24"/>
                <w:szCs w:val="24"/>
                <w:lang w:val="ru-RU"/>
              </w:rPr>
              <w:t>№</w:t>
            </w:r>
          </w:p>
        </w:tc>
        <w:tc>
          <w:tcPr>
            <w:tcW w:w="1276" w:type="dxa"/>
          </w:tcPr>
          <w:p w14:paraId="65BB1428" w14:textId="77777777" w:rsidR="00C11A77" w:rsidRPr="00BE6128" w:rsidRDefault="00C11A77" w:rsidP="00BE6128">
            <w:pPr>
              <w:jc w:val="center"/>
              <w:rPr>
                <w:rFonts w:ascii="Times New Roman" w:eastAsia="Times New Roman" w:hAnsi="Times New Roman" w:cs="Times New Roman"/>
                <w:sz w:val="24"/>
                <w:szCs w:val="24"/>
                <w:lang w:eastAsia="ru-RU"/>
              </w:rPr>
            </w:pPr>
            <w:r w:rsidRPr="00BE6128">
              <w:rPr>
                <w:rFonts w:ascii="Times New Roman" w:eastAsia="Times New Roman" w:hAnsi="Times New Roman" w:cs="Times New Roman"/>
                <w:sz w:val="24"/>
                <w:szCs w:val="24"/>
                <w:lang w:eastAsia="ru-RU"/>
              </w:rPr>
              <w:t>Первый автор, год, страна</w:t>
            </w:r>
          </w:p>
        </w:tc>
        <w:tc>
          <w:tcPr>
            <w:tcW w:w="425" w:type="dxa"/>
          </w:tcPr>
          <w:p w14:paraId="2BF41D46" w14:textId="77777777" w:rsidR="00C11A77" w:rsidRPr="00BE6128" w:rsidRDefault="00C11A77" w:rsidP="00BE6128">
            <w:pPr>
              <w:pStyle w:val="TableParagraph"/>
              <w:spacing w:before="0"/>
              <w:ind w:left="7"/>
              <w:jc w:val="center"/>
              <w:rPr>
                <w:rFonts w:ascii="Times New Roman" w:hAnsi="Times New Roman" w:cs="Times New Roman"/>
                <w:sz w:val="24"/>
                <w:szCs w:val="24"/>
              </w:rPr>
            </w:pPr>
            <w:r w:rsidRPr="00BE6128">
              <w:rPr>
                <w:rFonts w:ascii="Times New Roman" w:hAnsi="Times New Roman" w:cs="Times New Roman"/>
                <w:color w:val="231F20"/>
                <w:spacing w:val="-10"/>
                <w:w w:val="120"/>
                <w:sz w:val="24"/>
                <w:szCs w:val="24"/>
              </w:rPr>
              <w:t>N</w:t>
            </w:r>
          </w:p>
        </w:tc>
        <w:tc>
          <w:tcPr>
            <w:tcW w:w="1701" w:type="dxa"/>
          </w:tcPr>
          <w:p w14:paraId="4F13C8F7" w14:textId="104C117E" w:rsidR="00C11A77" w:rsidRPr="00BE6128" w:rsidRDefault="00C11A77" w:rsidP="00BE6128">
            <w:pPr>
              <w:pStyle w:val="TableParagraph"/>
              <w:spacing w:before="0"/>
              <w:ind w:left="8"/>
              <w:jc w:val="center"/>
              <w:rPr>
                <w:rFonts w:ascii="Times New Roman" w:hAnsi="Times New Roman" w:cs="Times New Roman"/>
                <w:sz w:val="24"/>
                <w:szCs w:val="24"/>
                <w:lang w:val="ru-RU"/>
              </w:rPr>
            </w:pPr>
            <w:r w:rsidRPr="00BE6128">
              <w:rPr>
                <w:rFonts w:ascii="Times New Roman" w:eastAsia="Times New Roman" w:hAnsi="Times New Roman" w:cs="Times New Roman"/>
                <w:sz w:val="24"/>
                <w:szCs w:val="24"/>
                <w:lang w:val="ru-RU" w:eastAsia="ru-RU"/>
              </w:rPr>
              <w:t xml:space="preserve">Возраст, лет </w:t>
            </w:r>
            <w:r w:rsidRPr="00BE6128">
              <w:rPr>
                <w:rFonts w:ascii="Times New Roman" w:hAnsi="Times New Roman" w:cs="Times New Roman"/>
                <w:color w:val="231F20"/>
                <w:sz w:val="24"/>
                <w:szCs w:val="24"/>
              </w:rPr>
              <w:t>mean</w:t>
            </w:r>
            <w:r w:rsidRPr="00BE6128">
              <w:rPr>
                <w:rFonts w:ascii="Times New Roman" w:hAnsi="Times New Roman" w:cs="Times New Roman"/>
                <w:color w:val="231F20"/>
                <w:sz w:val="24"/>
                <w:szCs w:val="24"/>
                <w:lang w:val="ru-RU"/>
              </w:rPr>
              <w:t>±</w:t>
            </w:r>
            <w:r w:rsidRPr="00BE6128">
              <w:rPr>
                <w:rFonts w:ascii="Times New Roman" w:hAnsi="Times New Roman" w:cs="Times New Roman"/>
                <w:color w:val="231F20"/>
                <w:sz w:val="24"/>
                <w:szCs w:val="24"/>
              </w:rPr>
              <w:t>SD</w:t>
            </w:r>
            <w:r w:rsidRPr="00BE6128">
              <w:rPr>
                <w:rFonts w:ascii="Times New Roman" w:hAnsi="Times New Roman" w:cs="Times New Roman"/>
                <w:color w:val="231F20"/>
                <w:spacing w:val="-10"/>
                <w:sz w:val="24"/>
                <w:szCs w:val="24"/>
                <w:lang w:val="ru-RU"/>
              </w:rPr>
              <w:t xml:space="preserve"> </w:t>
            </w:r>
            <w:r w:rsidRPr="00BE6128">
              <w:rPr>
                <w:rFonts w:ascii="Times New Roman" w:hAnsi="Times New Roman" w:cs="Times New Roman"/>
                <w:color w:val="231F20"/>
                <w:sz w:val="24"/>
                <w:szCs w:val="24"/>
                <w:lang w:val="ru-RU"/>
              </w:rPr>
              <w:t>или</w:t>
            </w:r>
            <w:r w:rsidRPr="00BE6128">
              <w:rPr>
                <w:rFonts w:ascii="Times New Roman" w:hAnsi="Times New Roman" w:cs="Times New Roman"/>
                <w:color w:val="231F20"/>
                <w:spacing w:val="40"/>
                <w:sz w:val="24"/>
                <w:szCs w:val="24"/>
                <w:lang w:val="ru-RU"/>
              </w:rPr>
              <w:t xml:space="preserve"> </w:t>
            </w:r>
            <w:r w:rsidRPr="00BE6128">
              <w:rPr>
                <w:rFonts w:ascii="Times New Roman" w:hAnsi="Times New Roman" w:cs="Times New Roman"/>
                <w:color w:val="231F20"/>
                <w:spacing w:val="-2"/>
                <w:sz w:val="24"/>
                <w:szCs w:val="24"/>
              </w:rPr>
              <w:t>mediana</w:t>
            </w:r>
          </w:p>
        </w:tc>
        <w:tc>
          <w:tcPr>
            <w:tcW w:w="1701" w:type="dxa"/>
          </w:tcPr>
          <w:p w14:paraId="451190F5" w14:textId="77777777" w:rsidR="00C11A77" w:rsidRPr="00BE6128" w:rsidRDefault="00C11A77" w:rsidP="00BE6128">
            <w:pPr>
              <w:pStyle w:val="TableParagraph"/>
              <w:spacing w:before="0"/>
              <w:ind w:left="8" w:right="2"/>
              <w:jc w:val="center"/>
              <w:rPr>
                <w:rFonts w:ascii="Times New Roman" w:hAnsi="Times New Roman" w:cs="Times New Roman"/>
                <w:sz w:val="24"/>
                <w:szCs w:val="24"/>
              </w:rPr>
            </w:pPr>
            <w:r w:rsidRPr="00BE6128">
              <w:rPr>
                <w:rFonts w:ascii="Times New Roman" w:hAnsi="Times New Roman" w:cs="Times New Roman"/>
                <w:color w:val="231F20"/>
                <w:spacing w:val="-6"/>
                <w:sz w:val="24"/>
                <w:szCs w:val="24"/>
                <w:lang w:val="ru-RU"/>
              </w:rPr>
              <w:t>ИМТ</w:t>
            </w:r>
            <w:r w:rsidRPr="00BE6128">
              <w:rPr>
                <w:rFonts w:ascii="Times New Roman" w:hAnsi="Times New Roman" w:cs="Times New Roman"/>
                <w:color w:val="231F20"/>
                <w:spacing w:val="-4"/>
                <w:sz w:val="24"/>
                <w:szCs w:val="24"/>
              </w:rPr>
              <w:t xml:space="preserve"> </w:t>
            </w:r>
            <w:r w:rsidRPr="00BE6128">
              <w:rPr>
                <w:rFonts w:ascii="Times New Roman" w:hAnsi="Times New Roman" w:cs="Times New Roman"/>
                <w:color w:val="231F20"/>
                <w:spacing w:val="-6"/>
                <w:sz w:val="24"/>
                <w:szCs w:val="24"/>
              </w:rPr>
              <w:t>(</w:t>
            </w:r>
            <w:r w:rsidRPr="00BE6128">
              <w:rPr>
                <w:rFonts w:ascii="Times New Roman" w:hAnsi="Times New Roman" w:cs="Times New Roman"/>
                <w:color w:val="231F20"/>
                <w:spacing w:val="-6"/>
                <w:sz w:val="24"/>
                <w:szCs w:val="24"/>
                <w:lang w:val="ru-RU"/>
              </w:rPr>
              <w:t>кг</w:t>
            </w:r>
            <w:r w:rsidRPr="00BE6128">
              <w:rPr>
                <w:rFonts w:ascii="Times New Roman" w:hAnsi="Times New Roman" w:cs="Times New Roman"/>
                <w:color w:val="231F20"/>
                <w:spacing w:val="-6"/>
                <w:sz w:val="24"/>
                <w:szCs w:val="24"/>
              </w:rPr>
              <w:t>/</w:t>
            </w:r>
            <w:r w:rsidRPr="00BE6128">
              <w:rPr>
                <w:rFonts w:ascii="Times New Roman" w:hAnsi="Times New Roman" w:cs="Times New Roman"/>
                <w:color w:val="231F20"/>
                <w:spacing w:val="-6"/>
                <w:sz w:val="24"/>
                <w:szCs w:val="24"/>
                <w:lang w:val="ru-RU"/>
              </w:rPr>
              <w:t>м</w:t>
            </w:r>
            <w:r w:rsidRPr="00BE6128">
              <w:rPr>
                <w:rFonts w:ascii="Times New Roman" w:hAnsi="Times New Roman" w:cs="Times New Roman"/>
                <w:color w:val="231F20"/>
                <w:spacing w:val="-6"/>
                <w:sz w:val="24"/>
                <w:szCs w:val="24"/>
              </w:rPr>
              <w:t>2)</w:t>
            </w:r>
            <w:r w:rsidRPr="00BE6128">
              <w:rPr>
                <w:rFonts w:ascii="Times New Roman" w:hAnsi="Times New Roman" w:cs="Times New Roman"/>
                <w:color w:val="231F20"/>
                <w:spacing w:val="40"/>
                <w:sz w:val="24"/>
                <w:szCs w:val="24"/>
              </w:rPr>
              <w:t xml:space="preserve"> </w:t>
            </w:r>
            <w:r w:rsidRPr="00BE6128">
              <w:rPr>
                <w:rFonts w:ascii="Times New Roman" w:hAnsi="Times New Roman" w:cs="Times New Roman"/>
                <w:color w:val="231F20"/>
                <w:sz w:val="24"/>
                <w:szCs w:val="24"/>
              </w:rPr>
              <w:t>mean±SD</w:t>
            </w:r>
            <w:r w:rsidRPr="00BE6128">
              <w:rPr>
                <w:rFonts w:ascii="Times New Roman" w:hAnsi="Times New Roman" w:cs="Times New Roman"/>
                <w:color w:val="231F20"/>
                <w:spacing w:val="-10"/>
                <w:sz w:val="24"/>
                <w:szCs w:val="24"/>
              </w:rPr>
              <w:t xml:space="preserve"> </w:t>
            </w:r>
            <w:r w:rsidRPr="00BE6128">
              <w:rPr>
                <w:rFonts w:ascii="Times New Roman" w:hAnsi="Times New Roman" w:cs="Times New Roman"/>
                <w:color w:val="231F20"/>
                <w:sz w:val="24"/>
                <w:szCs w:val="24"/>
                <w:lang w:val="ru-RU"/>
              </w:rPr>
              <w:t>или</w:t>
            </w:r>
            <w:r w:rsidRPr="00BE6128">
              <w:rPr>
                <w:rFonts w:ascii="Times New Roman" w:hAnsi="Times New Roman" w:cs="Times New Roman"/>
                <w:color w:val="231F20"/>
                <w:spacing w:val="40"/>
                <w:sz w:val="24"/>
                <w:szCs w:val="24"/>
              </w:rPr>
              <w:t xml:space="preserve"> </w:t>
            </w:r>
            <w:r w:rsidRPr="00BE6128">
              <w:rPr>
                <w:rFonts w:ascii="Times New Roman" w:hAnsi="Times New Roman" w:cs="Times New Roman"/>
                <w:color w:val="231F20"/>
                <w:spacing w:val="-2"/>
                <w:sz w:val="24"/>
                <w:szCs w:val="24"/>
              </w:rPr>
              <w:t>mediana</w:t>
            </w:r>
          </w:p>
        </w:tc>
        <w:tc>
          <w:tcPr>
            <w:tcW w:w="3402" w:type="dxa"/>
          </w:tcPr>
          <w:p w14:paraId="7BF015E2" w14:textId="77777777" w:rsidR="00C11A77" w:rsidRPr="00BE6128" w:rsidRDefault="00C11A77" w:rsidP="00BE6128">
            <w:pPr>
              <w:jc w:val="center"/>
              <w:rPr>
                <w:rFonts w:ascii="Times New Roman" w:eastAsia="Times New Roman" w:hAnsi="Times New Roman" w:cs="Times New Roman"/>
                <w:sz w:val="24"/>
                <w:szCs w:val="24"/>
                <w:lang w:val="ru-RU" w:eastAsia="ru-RU"/>
              </w:rPr>
            </w:pPr>
            <w:r w:rsidRPr="00BE6128">
              <w:rPr>
                <w:rFonts w:ascii="Times New Roman" w:eastAsia="Times New Roman" w:hAnsi="Times New Roman" w:cs="Times New Roman"/>
                <w:sz w:val="24"/>
                <w:szCs w:val="24"/>
                <w:lang w:val="ru-RU" w:eastAsia="ru-RU"/>
              </w:rPr>
              <w:t>Установка и время измерения толщины эндометрия</w:t>
            </w:r>
          </w:p>
        </w:tc>
        <w:tc>
          <w:tcPr>
            <w:tcW w:w="1559" w:type="dxa"/>
          </w:tcPr>
          <w:p w14:paraId="2B1FF8FB" w14:textId="77777777" w:rsidR="00C11A77" w:rsidRPr="00BE6128" w:rsidRDefault="00C11A77" w:rsidP="00BE6128">
            <w:pPr>
              <w:pStyle w:val="TableParagraph"/>
              <w:spacing w:before="0"/>
              <w:ind w:right="89"/>
              <w:jc w:val="center"/>
              <w:rPr>
                <w:rFonts w:ascii="Times New Roman" w:hAnsi="Times New Roman" w:cs="Times New Roman"/>
                <w:sz w:val="24"/>
                <w:szCs w:val="24"/>
                <w:lang w:val="ru-RU"/>
              </w:rPr>
            </w:pPr>
            <w:r w:rsidRPr="00BE6128">
              <w:rPr>
                <w:rFonts w:ascii="Times New Roman" w:hAnsi="Times New Roman" w:cs="Times New Roman"/>
                <w:color w:val="231F20"/>
                <w:spacing w:val="-5"/>
                <w:w w:val="115"/>
                <w:sz w:val="24"/>
                <w:szCs w:val="24"/>
                <w:lang w:val="ru-RU"/>
              </w:rPr>
              <w:t>Толщина эндометрия</w:t>
            </w:r>
          </w:p>
        </w:tc>
        <w:tc>
          <w:tcPr>
            <w:tcW w:w="1843" w:type="dxa"/>
          </w:tcPr>
          <w:p w14:paraId="783BCAFA" w14:textId="77777777" w:rsidR="00C11A77" w:rsidRPr="00BE6128" w:rsidRDefault="00C11A77" w:rsidP="00BE6128">
            <w:pPr>
              <w:pStyle w:val="TableParagraph"/>
              <w:spacing w:before="0"/>
              <w:jc w:val="center"/>
              <w:rPr>
                <w:rFonts w:ascii="Times New Roman" w:hAnsi="Times New Roman" w:cs="Times New Roman"/>
                <w:sz w:val="24"/>
                <w:szCs w:val="24"/>
                <w:lang w:val="ru-RU"/>
              </w:rPr>
            </w:pPr>
            <w:r w:rsidRPr="00BE6128">
              <w:rPr>
                <w:rFonts w:ascii="Times New Roman" w:hAnsi="Times New Roman" w:cs="Times New Roman"/>
                <w:color w:val="231F20"/>
                <w:spacing w:val="-5"/>
                <w:w w:val="115"/>
                <w:sz w:val="24"/>
                <w:szCs w:val="24"/>
                <w:lang w:val="ru-RU"/>
              </w:rPr>
              <w:t>Показатель клиниечской беременности</w:t>
            </w:r>
          </w:p>
        </w:tc>
        <w:tc>
          <w:tcPr>
            <w:tcW w:w="2126" w:type="dxa"/>
          </w:tcPr>
          <w:p w14:paraId="3BAD6684" w14:textId="77777777" w:rsidR="00C11A77" w:rsidRPr="00BE6128" w:rsidRDefault="00C11A77" w:rsidP="00BE6128">
            <w:pPr>
              <w:pStyle w:val="TableParagraph"/>
              <w:spacing w:before="0"/>
              <w:jc w:val="center"/>
              <w:rPr>
                <w:rFonts w:ascii="Times New Roman" w:hAnsi="Times New Roman" w:cs="Times New Roman"/>
                <w:sz w:val="24"/>
                <w:szCs w:val="24"/>
                <w:lang w:val="ru-RU"/>
              </w:rPr>
            </w:pPr>
            <w:r w:rsidRPr="00BE6128">
              <w:rPr>
                <w:rFonts w:ascii="Times New Roman" w:hAnsi="Times New Roman" w:cs="Times New Roman"/>
                <w:color w:val="231F20"/>
                <w:spacing w:val="-5"/>
                <w:w w:val="110"/>
                <w:sz w:val="24"/>
                <w:szCs w:val="24"/>
                <w:lang w:val="ru-RU"/>
              </w:rPr>
              <w:t>Показатель живорождаемости</w:t>
            </w:r>
          </w:p>
        </w:tc>
      </w:tr>
      <w:tr w:rsidR="00BE6128" w:rsidRPr="00BE6128" w14:paraId="414D2545" w14:textId="77777777" w:rsidTr="0060156A">
        <w:trPr>
          <w:trHeight w:val="275"/>
        </w:trPr>
        <w:tc>
          <w:tcPr>
            <w:tcW w:w="425" w:type="dxa"/>
          </w:tcPr>
          <w:p w14:paraId="7666101C" w14:textId="479B9FCF" w:rsidR="00BE6128" w:rsidRPr="00BE6128" w:rsidRDefault="00BE6128" w:rsidP="00BE6128">
            <w:pPr>
              <w:pStyle w:val="TableParagraph"/>
              <w:spacing w:before="0"/>
              <w:ind w:left="80"/>
              <w:jc w:val="center"/>
              <w:rPr>
                <w:rFonts w:ascii="Times New Roman" w:hAnsi="Times New Roman" w:cs="Times New Roman"/>
                <w:b/>
                <w:color w:val="231F20"/>
                <w:spacing w:val="-10"/>
                <w:w w:val="90"/>
                <w:sz w:val="24"/>
                <w:szCs w:val="24"/>
                <w:lang w:val="ru-RU"/>
              </w:rPr>
            </w:pPr>
            <w:r>
              <w:rPr>
                <w:rFonts w:ascii="Times New Roman" w:hAnsi="Times New Roman" w:cs="Times New Roman"/>
                <w:b/>
                <w:color w:val="231F20"/>
                <w:spacing w:val="-10"/>
                <w:w w:val="90"/>
                <w:sz w:val="24"/>
                <w:szCs w:val="24"/>
                <w:lang w:val="ru-RU"/>
              </w:rPr>
              <w:t>1</w:t>
            </w:r>
          </w:p>
        </w:tc>
        <w:tc>
          <w:tcPr>
            <w:tcW w:w="1276" w:type="dxa"/>
          </w:tcPr>
          <w:p w14:paraId="4484E899" w14:textId="384E9693" w:rsidR="00BE6128" w:rsidRPr="00BE6128" w:rsidRDefault="00BE6128" w:rsidP="00BE6128">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425" w:type="dxa"/>
          </w:tcPr>
          <w:p w14:paraId="39DC1B1C" w14:textId="39F35F18" w:rsidR="00BE6128" w:rsidRPr="00BE6128" w:rsidRDefault="00BE6128" w:rsidP="00BE6128">
            <w:pPr>
              <w:pStyle w:val="TableParagraph"/>
              <w:spacing w:before="0"/>
              <w:ind w:left="7"/>
              <w:jc w:val="center"/>
              <w:rPr>
                <w:rFonts w:ascii="Times New Roman" w:hAnsi="Times New Roman" w:cs="Times New Roman"/>
                <w:color w:val="231F20"/>
                <w:spacing w:val="-10"/>
                <w:w w:val="120"/>
                <w:sz w:val="24"/>
                <w:szCs w:val="24"/>
                <w:lang w:val="ru-RU"/>
              </w:rPr>
            </w:pPr>
            <w:r>
              <w:rPr>
                <w:rFonts w:ascii="Times New Roman" w:hAnsi="Times New Roman" w:cs="Times New Roman"/>
                <w:color w:val="231F20"/>
                <w:spacing w:val="-10"/>
                <w:w w:val="120"/>
                <w:sz w:val="24"/>
                <w:szCs w:val="24"/>
                <w:lang w:val="ru-RU"/>
              </w:rPr>
              <w:t>3</w:t>
            </w:r>
          </w:p>
        </w:tc>
        <w:tc>
          <w:tcPr>
            <w:tcW w:w="1701" w:type="dxa"/>
          </w:tcPr>
          <w:p w14:paraId="4C08DFBB" w14:textId="4893DF74" w:rsidR="00BE6128" w:rsidRPr="00BE6128" w:rsidRDefault="00BE6128" w:rsidP="00BE6128">
            <w:pPr>
              <w:pStyle w:val="TableParagraph"/>
              <w:spacing w:before="0"/>
              <w:ind w:left="8"/>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1701" w:type="dxa"/>
          </w:tcPr>
          <w:p w14:paraId="0B7BEB9E" w14:textId="6BF046C5" w:rsidR="00BE6128" w:rsidRPr="00BE6128" w:rsidRDefault="00BE6128" w:rsidP="00BE6128">
            <w:pPr>
              <w:pStyle w:val="TableParagraph"/>
              <w:spacing w:before="0"/>
              <w:ind w:left="8" w:right="2"/>
              <w:jc w:val="center"/>
              <w:rPr>
                <w:rFonts w:ascii="Times New Roman" w:hAnsi="Times New Roman" w:cs="Times New Roman"/>
                <w:color w:val="231F20"/>
                <w:spacing w:val="-6"/>
                <w:sz w:val="24"/>
                <w:szCs w:val="24"/>
                <w:lang w:val="ru-RU"/>
              </w:rPr>
            </w:pPr>
            <w:r>
              <w:rPr>
                <w:rFonts w:ascii="Times New Roman" w:hAnsi="Times New Roman" w:cs="Times New Roman"/>
                <w:color w:val="231F20"/>
                <w:spacing w:val="-6"/>
                <w:sz w:val="24"/>
                <w:szCs w:val="24"/>
                <w:lang w:val="ru-RU"/>
              </w:rPr>
              <w:t>5</w:t>
            </w:r>
          </w:p>
        </w:tc>
        <w:tc>
          <w:tcPr>
            <w:tcW w:w="3402" w:type="dxa"/>
          </w:tcPr>
          <w:p w14:paraId="2C0AC858" w14:textId="7BD7E767" w:rsidR="00BE6128" w:rsidRPr="00BE6128" w:rsidRDefault="00BE6128" w:rsidP="00BE6128">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c>
          <w:tcPr>
            <w:tcW w:w="1559" w:type="dxa"/>
          </w:tcPr>
          <w:p w14:paraId="34B4976F" w14:textId="24D553BB" w:rsidR="00BE6128" w:rsidRPr="00BE6128" w:rsidRDefault="00BE6128" w:rsidP="00BE6128">
            <w:pPr>
              <w:pStyle w:val="TableParagraph"/>
              <w:spacing w:before="0"/>
              <w:ind w:right="89"/>
              <w:jc w:val="center"/>
              <w:rPr>
                <w:rFonts w:ascii="Times New Roman" w:hAnsi="Times New Roman" w:cs="Times New Roman"/>
                <w:color w:val="231F20"/>
                <w:spacing w:val="-5"/>
                <w:w w:val="115"/>
                <w:sz w:val="24"/>
                <w:szCs w:val="24"/>
                <w:lang w:val="ru-RU"/>
              </w:rPr>
            </w:pPr>
            <w:r>
              <w:rPr>
                <w:rFonts w:ascii="Times New Roman" w:hAnsi="Times New Roman" w:cs="Times New Roman"/>
                <w:color w:val="231F20"/>
                <w:spacing w:val="-5"/>
                <w:w w:val="115"/>
                <w:sz w:val="24"/>
                <w:szCs w:val="24"/>
                <w:lang w:val="ru-RU"/>
              </w:rPr>
              <w:t>7</w:t>
            </w:r>
          </w:p>
        </w:tc>
        <w:tc>
          <w:tcPr>
            <w:tcW w:w="1843" w:type="dxa"/>
          </w:tcPr>
          <w:p w14:paraId="0F225166" w14:textId="26F9E369" w:rsidR="00BE6128" w:rsidRPr="00BE6128" w:rsidRDefault="00BE6128" w:rsidP="00BE6128">
            <w:pPr>
              <w:pStyle w:val="TableParagraph"/>
              <w:spacing w:before="0"/>
              <w:jc w:val="center"/>
              <w:rPr>
                <w:rFonts w:ascii="Times New Roman" w:hAnsi="Times New Roman" w:cs="Times New Roman"/>
                <w:color w:val="231F20"/>
                <w:spacing w:val="-5"/>
                <w:w w:val="115"/>
                <w:sz w:val="24"/>
                <w:szCs w:val="24"/>
                <w:lang w:val="ru-RU"/>
              </w:rPr>
            </w:pPr>
            <w:r>
              <w:rPr>
                <w:rFonts w:ascii="Times New Roman" w:hAnsi="Times New Roman" w:cs="Times New Roman"/>
                <w:color w:val="231F20"/>
                <w:spacing w:val="-5"/>
                <w:w w:val="115"/>
                <w:sz w:val="24"/>
                <w:szCs w:val="24"/>
                <w:lang w:val="ru-RU"/>
              </w:rPr>
              <w:t>8</w:t>
            </w:r>
          </w:p>
        </w:tc>
        <w:tc>
          <w:tcPr>
            <w:tcW w:w="2126" w:type="dxa"/>
          </w:tcPr>
          <w:p w14:paraId="329961E4" w14:textId="5B95E8A4" w:rsidR="00BE6128" w:rsidRPr="00BE6128" w:rsidRDefault="00BE6128" w:rsidP="00BE6128">
            <w:pPr>
              <w:pStyle w:val="TableParagraph"/>
              <w:spacing w:before="0"/>
              <w:jc w:val="center"/>
              <w:rPr>
                <w:rFonts w:ascii="Times New Roman" w:hAnsi="Times New Roman" w:cs="Times New Roman"/>
                <w:color w:val="231F20"/>
                <w:spacing w:val="-5"/>
                <w:w w:val="110"/>
                <w:sz w:val="24"/>
                <w:szCs w:val="24"/>
                <w:lang w:val="ru-RU"/>
              </w:rPr>
            </w:pPr>
            <w:r>
              <w:rPr>
                <w:rFonts w:ascii="Times New Roman" w:hAnsi="Times New Roman" w:cs="Times New Roman"/>
                <w:color w:val="231F20"/>
                <w:spacing w:val="-5"/>
                <w:w w:val="110"/>
                <w:sz w:val="24"/>
                <w:szCs w:val="24"/>
                <w:lang w:val="ru-RU"/>
              </w:rPr>
              <w:t>9</w:t>
            </w:r>
          </w:p>
        </w:tc>
      </w:tr>
      <w:tr w:rsidR="00BE6128" w:rsidRPr="00BE6128" w14:paraId="211B273D" w14:textId="77777777" w:rsidTr="0060156A">
        <w:trPr>
          <w:trHeight w:val="502"/>
        </w:trPr>
        <w:tc>
          <w:tcPr>
            <w:tcW w:w="425" w:type="dxa"/>
            <w:vMerge w:val="restart"/>
          </w:tcPr>
          <w:p w14:paraId="45C982A7" w14:textId="77777777" w:rsidR="00C11A77" w:rsidRPr="00BE6128" w:rsidRDefault="00C11A77" w:rsidP="00BE6128">
            <w:pPr>
              <w:pStyle w:val="TableParagraph"/>
              <w:spacing w:before="0"/>
              <w:ind w:left="170"/>
              <w:rPr>
                <w:rFonts w:ascii="Times New Roman" w:hAnsi="Times New Roman" w:cs="Times New Roman"/>
                <w:sz w:val="24"/>
                <w:szCs w:val="24"/>
              </w:rPr>
            </w:pPr>
            <w:r w:rsidRPr="00BE6128">
              <w:rPr>
                <w:rFonts w:ascii="Times New Roman" w:hAnsi="Times New Roman" w:cs="Times New Roman"/>
                <w:color w:val="231F20"/>
                <w:spacing w:val="-10"/>
                <w:sz w:val="24"/>
                <w:szCs w:val="24"/>
              </w:rPr>
              <w:t>1</w:t>
            </w:r>
          </w:p>
        </w:tc>
        <w:tc>
          <w:tcPr>
            <w:tcW w:w="1276" w:type="dxa"/>
            <w:vMerge w:val="restart"/>
          </w:tcPr>
          <w:p w14:paraId="5EA61FAD" w14:textId="3AAA5ED5" w:rsidR="00C11A77" w:rsidRPr="00BE6128" w:rsidRDefault="009D681C" w:rsidP="0060156A">
            <w:pPr>
              <w:pStyle w:val="TableParagraph"/>
              <w:spacing w:before="0"/>
              <w:ind w:left="79" w:right="227"/>
              <w:rPr>
                <w:rFonts w:ascii="Times New Roman" w:hAnsi="Times New Roman" w:cs="Times New Roman"/>
                <w:sz w:val="24"/>
                <w:szCs w:val="24"/>
              </w:rPr>
            </w:pPr>
            <w:r w:rsidRPr="00BE6128">
              <w:rPr>
                <w:rFonts w:ascii="Times New Roman" w:hAnsi="Times New Roman" w:cs="Times New Roman"/>
                <w:color w:val="231F20"/>
                <w:spacing w:val="-2"/>
                <w:sz w:val="24"/>
                <w:szCs w:val="24"/>
              </w:rPr>
              <w:t xml:space="preserve">Xu </w:t>
            </w:r>
            <w:r w:rsidR="00C11A77" w:rsidRPr="00BE6128">
              <w:rPr>
                <w:rFonts w:ascii="Times New Roman" w:hAnsi="Times New Roman" w:cs="Times New Roman"/>
                <w:color w:val="231F20"/>
                <w:spacing w:val="-2"/>
                <w:sz w:val="24"/>
                <w:szCs w:val="24"/>
              </w:rPr>
              <w:t>et</w:t>
            </w:r>
            <w:r w:rsidR="0060156A">
              <w:rPr>
                <w:rFonts w:ascii="Times New Roman" w:hAnsi="Times New Roman" w:cs="Times New Roman"/>
                <w:color w:val="231F20"/>
                <w:spacing w:val="-8"/>
                <w:sz w:val="24"/>
                <w:szCs w:val="24"/>
                <w:lang w:val="ru-RU"/>
              </w:rPr>
              <w:t xml:space="preserve"> </w:t>
            </w:r>
            <w:r w:rsidR="00C11A77" w:rsidRPr="00BE6128">
              <w:rPr>
                <w:rFonts w:ascii="Times New Roman" w:hAnsi="Times New Roman" w:cs="Times New Roman"/>
                <w:color w:val="231F20"/>
                <w:spacing w:val="-2"/>
                <w:sz w:val="24"/>
                <w:szCs w:val="24"/>
              </w:rPr>
              <w:t>al.,</w:t>
            </w:r>
            <w:r w:rsidR="00C11A77" w:rsidRPr="00BE6128">
              <w:rPr>
                <w:rFonts w:ascii="Times New Roman" w:hAnsi="Times New Roman" w:cs="Times New Roman"/>
                <w:color w:val="231F20"/>
                <w:spacing w:val="-8"/>
                <w:sz w:val="24"/>
                <w:szCs w:val="24"/>
              </w:rPr>
              <w:t xml:space="preserve"> </w:t>
            </w:r>
            <w:r w:rsidRPr="00BE6128">
              <w:rPr>
                <w:rFonts w:ascii="Times New Roman" w:hAnsi="Times New Roman" w:cs="Times New Roman"/>
                <w:color w:val="231F20"/>
                <w:spacing w:val="-8"/>
                <w:sz w:val="24"/>
                <w:szCs w:val="24"/>
              </w:rPr>
              <w:fldChar w:fldCharType="begin" w:fldLock="1"/>
            </w:r>
            <w:r w:rsidR="008C6800">
              <w:rPr>
                <w:rFonts w:ascii="Times New Roman" w:hAnsi="Times New Roman" w:cs="Times New Roman"/>
                <w:color w:val="231F20"/>
                <w:spacing w:val="-8"/>
                <w:sz w:val="24"/>
                <w:szCs w:val="24"/>
              </w:rPr>
              <w:instrText>ADDIN CSL_CITATION {"citationItems":[{"id":"ITEM-1","itemData":{"DOI":"10.1016/j.rbmo.2014.12.006","ISSN":"14726491","PMID":"25682303","abstract":"The efficacy of two granulocyte colony-stimulating factor (G-CSF) protocols for thin endometrium were investigated. Eighty-two patients were diagnosed with thin endometrium (&lt;7mm). Thirty patients with previously cancelled embryo transfers received intrauterine G-CSF in subsequent frozen embryo transfer (FET) cycles. Patients were divided into the G-CSF only and G-CSF with endometrial scratch subgroups. Compared with previous cycles, endometrial thickness increased from 5.7 ± 0.7mm to 8.1 ± 2.1mm after G-CSF treatment (P &lt; 0.001). Endometrial thickness increases were not significantly different between the two subgroups. The G-CSF with endometrial scratch subgroup established nominally higher though non-significant clinical pregnancy and live birth rates than the G-CSF only subgroup (53.8 % versus 42.9% and 38.5% versus 28.6%, respectively). Fifty-two patients underwent FET despite edometrial thickness less than 7mm, and were included as controls. Significantly higher embryo implantation and clinical pregnancy rates were observed in the G-CSF group compared with the control group (31.5% versus 13.9%; P &lt; 0.01; 48.1% versus 25.0%; P = 0.038, respectively). Endometrial scracth did not impair G-CSF treatment for thin endometrium and favoured pregnancy and live birth rates. For patients with thin endometrium, embryo transfer cancellation and G-CSF treatment in subsequent FET cycles is beneficial.","author":[{"dropping-particle":"","family":"Xu","given":"Bin","non-dropping-particle":"","parse-names":false,"suffix":""},{"dropping-particle":"","family":"Zhang","given":"Qiong","non-dropping-particle":"","parse-names":false,"suffix":""},{"dropping-particle":"","family":"Hao","given":"Jie","non-dropping-particle":"","parse-names":false,"suffix":""},{"dropping-particle":"","family":"Xu","given":"Dabao","non-dropping-particle":"","parse-names":false,"suffix":""},{"dropping-particle":"","family":"Li","given":"Yanping","non-dropping-particle":"","parse-names":false,"suffix":""}],"container-title":"Reproductive BioMedicine Online","id":"ITEM-1","issue":"4","issued":{"date-parts":[["2015"]]},"page":"349-358","publisher":"Reproductive Healthcare Ltd.","title":"Two protocols to treat thin endometrium with granulocyte colony-stimulating factor during frozen embryo transfer cycles","type":"article-journal","volume":"30"},"uris":["http://www.mendeley.com/documents/?uuid=00abd8ad-8b31-4fa4-99f4-7f0a7580e44f"]}],"mendeley":{"formattedCitation":"[114]","plainTextFormattedCitation":"[114]","previouslyFormattedCitation":"(114)"},"properties":{"noteIndex":0},"schema":"https://github.com/citation-style-language/schema/raw/master/csl-citation.json"}</w:instrText>
            </w:r>
            <w:r w:rsidRPr="00BE6128">
              <w:rPr>
                <w:rFonts w:ascii="Times New Roman" w:hAnsi="Times New Roman" w:cs="Times New Roman"/>
                <w:color w:val="231F20"/>
                <w:spacing w:val="-8"/>
                <w:sz w:val="24"/>
                <w:szCs w:val="24"/>
              </w:rPr>
              <w:fldChar w:fldCharType="separate"/>
            </w:r>
            <w:r w:rsidR="008C6800" w:rsidRPr="008C6800">
              <w:rPr>
                <w:rFonts w:ascii="Times New Roman" w:hAnsi="Times New Roman" w:cs="Times New Roman"/>
                <w:noProof/>
                <w:color w:val="231F20"/>
                <w:spacing w:val="-8"/>
                <w:sz w:val="24"/>
                <w:szCs w:val="24"/>
              </w:rPr>
              <w:t>[114]</w:t>
            </w:r>
            <w:r w:rsidRPr="00BE6128">
              <w:rPr>
                <w:rFonts w:ascii="Times New Roman" w:hAnsi="Times New Roman" w:cs="Times New Roman"/>
                <w:color w:val="231F20"/>
                <w:spacing w:val="-8"/>
                <w:sz w:val="24"/>
                <w:szCs w:val="24"/>
              </w:rPr>
              <w:fldChar w:fldCharType="end"/>
            </w:r>
            <w:r w:rsidR="00C11A77" w:rsidRPr="00BE6128">
              <w:rPr>
                <w:rFonts w:ascii="Times New Roman" w:hAnsi="Times New Roman" w:cs="Times New Roman"/>
                <w:color w:val="231F20"/>
                <w:spacing w:val="40"/>
                <w:sz w:val="24"/>
                <w:szCs w:val="24"/>
              </w:rPr>
              <w:t xml:space="preserve"> </w:t>
            </w:r>
            <w:r w:rsidR="00C11A77" w:rsidRPr="00BE6128">
              <w:rPr>
                <w:rFonts w:ascii="Times New Roman" w:hAnsi="Times New Roman" w:cs="Times New Roman"/>
                <w:color w:val="231F20"/>
                <w:sz w:val="24"/>
                <w:szCs w:val="24"/>
              </w:rPr>
              <w:t>2015,</w:t>
            </w:r>
            <w:r w:rsidR="00C11A77" w:rsidRPr="00BE6128">
              <w:rPr>
                <w:rFonts w:ascii="Times New Roman" w:hAnsi="Times New Roman" w:cs="Times New Roman"/>
                <w:color w:val="231F20"/>
                <w:spacing w:val="-5"/>
                <w:sz w:val="24"/>
                <w:szCs w:val="24"/>
              </w:rPr>
              <w:t xml:space="preserve"> </w:t>
            </w:r>
            <w:r w:rsidR="00C11A77" w:rsidRPr="00BE6128">
              <w:rPr>
                <w:rFonts w:ascii="Times New Roman" w:hAnsi="Times New Roman" w:cs="Times New Roman"/>
                <w:color w:val="231F20"/>
                <w:sz w:val="24"/>
                <w:szCs w:val="24"/>
              </w:rPr>
              <w:t>China</w:t>
            </w:r>
          </w:p>
        </w:tc>
        <w:tc>
          <w:tcPr>
            <w:tcW w:w="425" w:type="dxa"/>
            <w:vMerge w:val="restart"/>
          </w:tcPr>
          <w:p w14:paraId="261A15FA" w14:textId="77777777" w:rsidR="00C11A77" w:rsidRPr="00BE6128" w:rsidRDefault="00C11A77" w:rsidP="00BE6128">
            <w:pPr>
              <w:pStyle w:val="TableParagraph"/>
              <w:spacing w:before="0"/>
              <w:ind w:left="25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82</w:t>
            </w:r>
          </w:p>
        </w:tc>
        <w:tc>
          <w:tcPr>
            <w:tcW w:w="1701" w:type="dxa"/>
          </w:tcPr>
          <w:p w14:paraId="51C9E166" w14:textId="77777777" w:rsidR="00C11A77" w:rsidRPr="00BE6128" w:rsidRDefault="00C11A77" w:rsidP="00BE6128">
            <w:pPr>
              <w:pStyle w:val="TableParagraph"/>
              <w:spacing w:before="0"/>
              <w:ind w:left="229"/>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31.4</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4.0</w:t>
            </w:r>
          </w:p>
        </w:tc>
        <w:tc>
          <w:tcPr>
            <w:tcW w:w="1701" w:type="dxa"/>
          </w:tcPr>
          <w:p w14:paraId="48D8EE21" w14:textId="77777777" w:rsidR="00C11A77" w:rsidRPr="00BE6128" w:rsidRDefault="00C11A77" w:rsidP="00BE6128">
            <w:pPr>
              <w:pStyle w:val="TableParagraph"/>
              <w:spacing w:before="0"/>
              <w:ind w:left="228"/>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21.8</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2.5</w:t>
            </w:r>
          </w:p>
        </w:tc>
        <w:tc>
          <w:tcPr>
            <w:tcW w:w="3402" w:type="dxa"/>
          </w:tcPr>
          <w:p w14:paraId="45344D4B" w14:textId="5AE4B827" w:rsidR="00C11A77" w:rsidRPr="00BE6128" w:rsidRDefault="00C11A77" w:rsidP="00BE6128">
            <w:pPr>
              <w:pStyle w:val="TableParagraph"/>
              <w:spacing w:before="0"/>
              <w:ind w:left="76" w:right="250"/>
              <w:jc w:val="center"/>
              <w:rPr>
                <w:rFonts w:ascii="Times New Roman" w:hAnsi="Times New Roman" w:cs="Times New Roman"/>
                <w:sz w:val="24"/>
                <w:szCs w:val="24"/>
                <w:lang w:val="ru-RU"/>
              </w:rPr>
            </w:pPr>
            <w:r w:rsidRPr="00BE6128">
              <w:rPr>
                <w:rFonts w:ascii="Times New Roman" w:hAnsi="Times New Roman" w:cs="Times New Roman"/>
                <w:color w:val="231F20"/>
                <w:sz w:val="24"/>
                <w:szCs w:val="24"/>
              </w:rPr>
              <w:t>FET</w:t>
            </w:r>
            <w:r w:rsidRPr="00BE6128">
              <w:rPr>
                <w:rFonts w:ascii="Times New Roman" w:hAnsi="Times New Roman" w:cs="Times New Roman"/>
                <w:color w:val="231F20"/>
                <w:sz w:val="24"/>
                <w:szCs w:val="24"/>
                <w:lang w:val="ru-RU"/>
              </w:rPr>
              <w:t>:</w:t>
            </w:r>
            <w:r w:rsidRPr="00BE6128">
              <w:rPr>
                <w:rFonts w:ascii="Times New Roman" w:hAnsi="Times New Roman" w:cs="Times New Roman"/>
                <w:color w:val="231F20"/>
                <w:spacing w:val="-10"/>
                <w:sz w:val="24"/>
                <w:szCs w:val="24"/>
                <w:lang w:val="ru-RU"/>
              </w:rPr>
              <w:t xml:space="preserve"> </w:t>
            </w:r>
            <w:r w:rsidRPr="00BE6128">
              <w:rPr>
                <w:rFonts w:ascii="Times New Roman" w:hAnsi="Times New Roman" w:cs="Times New Roman"/>
                <w:color w:val="231F20"/>
                <w:sz w:val="24"/>
                <w:szCs w:val="24"/>
              </w:rPr>
              <w:t>G</w:t>
            </w:r>
            <w:r w:rsidRPr="00BE6128">
              <w:rPr>
                <w:rFonts w:ascii="Times New Roman" w:hAnsi="Times New Roman" w:cs="Times New Roman"/>
                <w:color w:val="231F20"/>
                <w:sz w:val="24"/>
                <w:szCs w:val="24"/>
                <w:lang w:val="ru-RU"/>
              </w:rPr>
              <w:t>-</w:t>
            </w:r>
            <w:r w:rsidRPr="00BE6128">
              <w:rPr>
                <w:rFonts w:ascii="Times New Roman" w:hAnsi="Times New Roman" w:cs="Times New Roman"/>
                <w:color w:val="231F20"/>
                <w:sz w:val="24"/>
                <w:szCs w:val="24"/>
              </w:rPr>
              <w:t>CSF</w:t>
            </w:r>
            <w:r w:rsidRPr="00BE6128">
              <w:rPr>
                <w:rFonts w:ascii="Times New Roman" w:hAnsi="Times New Roman" w:cs="Times New Roman"/>
                <w:color w:val="231F20"/>
                <w:spacing w:val="-5"/>
                <w:sz w:val="24"/>
                <w:szCs w:val="24"/>
                <w:lang w:val="ru-RU"/>
              </w:rPr>
              <w:t xml:space="preserve"> </w:t>
            </w:r>
            <w:r w:rsidRPr="00BE6128">
              <w:rPr>
                <w:rFonts w:ascii="Times New Roman" w:hAnsi="Times New Roman" w:cs="Times New Roman"/>
                <w:color w:val="231F20"/>
                <w:sz w:val="24"/>
                <w:szCs w:val="24"/>
                <w:lang w:val="ru-RU"/>
              </w:rPr>
              <w:t>группа:</w:t>
            </w:r>
            <w:r w:rsidRPr="00BE6128">
              <w:rPr>
                <w:rFonts w:ascii="Times New Roman" w:hAnsi="Times New Roman" w:cs="Times New Roman"/>
                <w:color w:val="231F20"/>
                <w:spacing w:val="-10"/>
                <w:sz w:val="24"/>
                <w:szCs w:val="24"/>
                <w:lang w:val="ru-RU"/>
              </w:rPr>
              <w:t xml:space="preserve"> </w:t>
            </w:r>
            <w:r w:rsidRPr="00BE6128">
              <w:rPr>
                <w:rFonts w:ascii="Times New Roman" w:hAnsi="Times New Roman" w:cs="Times New Roman"/>
                <w:color w:val="231F20"/>
                <w:sz w:val="24"/>
                <w:szCs w:val="24"/>
                <w:lang w:val="ru-RU"/>
              </w:rPr>
              <w:t xml:space="preserve">ежедневно или через день после перфузии </w:t>
            </w:r>
            <w:r w:rsidRPr="00BE6128">
              <w:rPr>
                <w:rFonts w:ascii="Times New Roman" w:hAnsi="Times New Roman" w:cs="Times New Roman"/>
                <w:color w:val="231F20"/>
                <w:sz w:val="24"/>
                <w:szCs w:val="24"/>
              </w:rPr>
              <w:t>G</w:t>
            </w:r>
            <w:r w:rsidRPr="00BE6128">
              <w:rPr>
                <w:rFonts w:ascii="Times New Roman" w:hAnsi="Times New Roman" w:cs="Times New Roman"/>
                <w:color w:val="231F20"/>
                <w:sz w:val="24"/>
                <w:szCs w:val="24"/>
                <w:lang w:val="ru-RU"/>
              </w:rPr>
              <w:t>-</w:t>
            </w:r>
            <w:r w:rsidRPr="00BE6128">
              <w:rPr>
                <w:rFonts w:ascii="Times New Roman" w:hAnsi="Times New Roman" w:cs="Times New Roman"/>
                <w:color w:val="231F20"/>
                <w:sz w:val="24"/>
                <w:szCs w:val="24"/>
              </w:rPr>
              <w:t>CSF</w:t>
            </w:r>
          </w:p>
        </w:tc>
        <w:tc>
          <w:tcPr>
            <w:tcW w:w="1559" w:type="dxa"/>
          </w:tcPr>
          <w:p w14:paraId="0285FFE8" w14:textId="77777777" w:rsidR="00C11A77" w:rsidRPr="00BE6128" w:rsidRDefault="00C11A77" w:rsidP="00BE6128">
            <w:pPr>
              <w:pStyle w:val="TableParagraph"/>
              <w:spacing w:before="0"/>
              <w:ind w:right="86"/>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Pr>
          <w:p w14:paraId="69B70999"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48.2%</w:t>
            </w:r>
          </w:p>
        </w:tc>
        <w:tc>
          <w:tcPr>
            <w:tcW w:w="2126" w:type="dxa"/>
          </w:tcPr>
          <w:p w14:paraId="2DF813C5"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33.3%</w:t>
            </w:r>
          </w:p>
        </w:tc>
      </w:tr>
      <w:tr w:rsidR="00BE6128" w:rsidRPr="00BE6128" w14:paraId="4A69B93C" w14:textId="77777777" w:rsidTr="0060156A">
        <w:trPr>
          <w:trHeight w:val="722"/>
        </w:trPr>
        <w:tc>
          <w:tcPr>
            <w:tcW w:w="425" w:type="dxa"/>
            <w:vMerge/>
            <w:tcBorders>
              <w:top w:val="nil"/>
            </w:tcBorders>
          </w:tcPr>
          <w:p w14:paraId="29BD0B41" w14:textId="77777777" w:rsidR="00C11A77" w:rsidRPr="00BE6128" w:rsidRDefault="00C11A77" w:rsidP="00BE6128">
            <w:pPr>
              <w:jc w:val="center"/>
              <w:rPr>
                <w:rFonts w:ascii="Times New Roman" w:hAnsi="Times New Roman" w:cs="Times New Roman"/>
                <w:sz w:val="24"/>
                <w:szCs w:val="24"/>
              </w:rPr>
            </w:pPr>
          </w:p>
        </w:tc>
        <w:tc>
          <w:tcPr>
            <w:tcW w:w="1276" w:type="dxa"/>
            <w:vMerge/>
            <w:tcBorders>
              <w:top w:val="nil"/>
            </w:tcBorders>
          </w:tcPr>
          <w:p w14:paraId="54658A03" w14:textId="77777777" w:rsidR="00C11A77" w:rsidRPr="00BE6128" w:rsidRDefault="00C11A77" w:rsidP="00BE6128">
            <w:pPr>
              <w:jc w:val="center"/>
              <w:rPr>
                <w:rFonts w:ascii="Times New Roman" w:hAnsi="Times New Roman" w:cs="Times New Roman"/>
                <w:sz w:val="24"/>
                <w:szCs w:val="24"/>
              </w:rPr>
            </w:pPr>
          </w:p>
        </w:tc>
        <w:tc>
          <w:tcPr>
            <w:tcW w:w="425" w:type="dxa"/>
            <w:vMerge/>
            <w:tcBorders>
              <w:top w:val="nil"/>
            </w:tcBorders>
          </w:tcPr>
          <w:p w14:paraId="566C8748" w14:textId="77777777" w:rsidR="00C11A77" w:rsidRPr="00BE6128" w:rsidRDefault="00C11A77" w:rsidP="00BE6128">
            <w:pPr>
              <w:jc w:val="center"/>
              <w:rPr>
                <w:rFonts w:ascii="Times New Roman" w:hAnsi="Times New Roman" w:cs="Times New Roman"/>
                <w:sz w:val="24"/>
                <w:szCs w:val="24"/>
              </w:rPr>
            </w:pPr>
          </w:p>
        </w:tc>
        <w:tc>
          <w:tcPr>
            <w:tcW w:w="1701" w:type="dxa"/>
          </w:tcPr>
          <w:p w14:paraId="1C8EA81B" w14:textId="77777777" w:rsidR="00C11A77" w:rsidRPr="00BE6128" w:rsidRDefault="00C11A77" w:rsidP="00BE6128">
            <w:pPr>
              <w:pStyle w:val="TableParagraph"/>
              <w:spacing w:before="0"/>
              <w:ind w:left="229"/>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32.0</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3.9</w:t>
            </w:r>
          </w:p>
        </w:tc>
        <w:tc>
          <w:tcPr>
            <w:tcW w:w="1701" w:type="dxa"/>
          </w:tcPr>
          <w:p w14:paraId="27D3CA35" w14:textId="77777777" w:rsidR="00C11A77" w:rsidRPr="00BE6128" w:rsidRDefault="00C11A77" w:rsidP="00BE6128">
            <w:pPr>
              <w:pStyle w:val="TableParagraph"/>
              <w:spacing w:before="0"/>
              <w:ind w:left="228"/>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21.5</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3.0</w:t>
            </w:r>
          </w:p>
        </w:tc>
        <w:tc>
          <w:tcPr>
            <w:tcW w:w="3402" w:type="dxa"/>
          </w:tcPr>
          <w:p w14:paraId="03012827" w14:textId="77777777" w:rsidR="00C11A77" w:rsidRPr="00BE6128" w:rsidRDefault="00C11A77" w:rsidP="00BE6128">
            <w:pPr>
              <w:pStyle w:val="TableParagraph"/>
              <w:spacing w:before="0"/>
              <w:ind w:left="76" w:right="250"/>
              <w:jc w:val="center"/>
              <w:rPr>
                <w:rFonts w:ascii="Times New Roman" w:hAnsi="Times New Roman" w:cs="Times New Roman"/>
                <w:sz w:val="24"/>
                <w:szCs w:val="24"/>
                <w:lang w:val="ru-RU"/>
              </w:rPr>
            </w:pPr>
            <w:r w:rsidRPr="00BE6128">
              <w:rPr>
                <w:rFonts w:ascii="Times New Roman" w:hAnsi="Times New Roman" w:cs="Times New Roman"/>
                <w:color w:val="231F20"/>
                <w:sz w:val="24"/>
                <w:szCs w:val="24"/>
              </w:rPr>
              <w:t>FET</w:t>
            </w:r>
            <w:r w:rsidRPr="00BE6128">
              <w:rPr>
                <w:rFonts w:ascii="Times New Roman" w:hAnsi="Times New Roman" w:cs="Times New Roman"/>
                <w:color w:val="231F20"/>
                <w:sz w:val="24"/>
                <w:szCs w:val="24"/>
                <w:lang w:val="ru-RU"/>
              </w:rPr>
              <w:t>: Группа без лечения: прием прогестерона или ХГЧ</w:t>
            </w:r>
          </w:p>
        </w:tc>
        <w:tc>
          <w:tcPr>
            <w:tcW w:w="1559" w:type="dxa"/>
          </w:tcPr>
          <w:p w14:paraId="5E6E0BED" w14:textId="77777777" w:rsidR="00C11A77" w:rsidRPr="00BE6128" w:rsidRDefault="00C11A77" w:rsidP="00BE6128">
            <w:pPr>
              <w:pStyle w:val="TableParagraph"/>
              <w:spacing w:before="0"/>
              <w:ind w:right="86"/>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Pr>
          <w:p w14:paraId="3ECC5FF0"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25.0%</w:t>
            </w:r>
          </w:p>
        </w:tc>
        <w:tc>
          <w:tcPr>
            <w:tcW w:w="2126" w:type="dxa"/>
          </w:tcPr>
          <w:p w14:paraId="418946B1"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17.3%</w:t>
            </w:r>
          </w:p>
        </w:tc>
      </w:tr>
      <w:tr w:rsidR="00BE6128" w:rsidRPr="00BE6128" w14:paraId="3FBFDA42" w14:textId="77777777" w:rsidTr="0060156A">
        <w:trPr>
          <w:trHeight w:val="722"/>
        </w:trPr>
        <w:tc>
          <w:tcPr>
            <w:tcW w:w="425" w:type="dxa"/>
          </w:tcPr>
          <w:p w14:paraId="54F410D5" w14:textId="77777777" w:rsidR="00C11A77" w:rsidRPr="00BE6128" w:rsidRDefault="00C11A77" w:rsidP="00BE6128">
            <w:pPr>
              <w:pStyle w:val="TableParagraph"/>
              <w:spacing w:before="0"/>
              <w:ind w:right="96"/>
              <w:jc w:val="center"/>
              <w:rPr>
                <w:rFonts w:ascii="Times New Roman" w:hAnsi="Times New Roman" w:cs="Times New Roman"/>
                <w:sz w:val="24"/>
                <w:szCs w:val="24"/>
              </w:rPr>
            </w:pPr>
            <w:r w:rsidRPr="00BE6128">
              <w:rPr>
                <w:rFonts w:ascii="Times New Roman" w:hAnsi="Times New Roman" w:cs="Times New Roman"/>
                <w:color w:val="231F20"/>
                <w:spacing w:val="-10"/>
                <w:sz w:val="24"/>
                <w:szCs w:val="24"/>
              </w:rPr>
              <w:t>2</w:t>
            </w:r>
          </w:p>
        </w:tc>
        <w:tc>
          <w:tcPr>
            <w:tcW w:w="1276" w:type="dxa"/>
          </w:tcPr>
          <w:p w14:paraId="323693A5" w14:textId="62DE6539" w:rsidR="00C11A77" w:rsidRPr="00BE6128" w:rsidRDefault="00C11A77" w:rsidP="00BE6128">
            <w:pPr>
              <w:pStyle w:val="TableParagraph"/>
              <w:spacing w:before="0"/>
              <w:ind w:left="79" w:right="387"/>
              <w:jc w:val="center"/>
              <w:rPr>
                <w:rFonts w:ascii="Times New Roman" w:hAnsi="Times New Roman" w:cs="Times New Roman"/>
                <w:sz w:val="24"/>
                <w:szCs w:val="24"/>
              </w:rPr>
            </w:pPr>
            <w:r w:rsidRPr="00BE6128">
              <w:rPr>
                <w:rFonts w:ascii="Times New Roman" w:hAnsi="Times New Roman" w:cs="Times New Roman"/>
                <w:color w:val="231F20"/>
                <w:sz w:val="24"/>
                <w:szCs w:val="24"/>
              </w:rPr>
              <w:t>Bu</w:t>
            </w:r>
            <w:r w:rsidRPr="00BE6128">
              <w:rPr>
                <w:rFonts w:ascii="Times New Roman" w:hAnsi="Times New Roman" w:cs="Times New Roman"/>
                <w:color w:val="231F20"/>
                <w:spacing w:val="-3"/>
                <w:sz w:val="24"/>
                <w:szCs w:val="24"/>
              </w:rPr>
              <w:t xml:space="preserve"> </w:t>
            </w:r>
            <w:r w:rsidRPr="00BE6128">
              <w:rPr>
                <w:rFonts w:ascii="Times New Roman" w:hAnsi="Times New Roman" w:cs="Times New Roman"/>
                <w:color w:val="231F20"/>
                <w:sz w:val="24"/>
                <w:szCs w:val="24"/>
              </w:rPr>
              <w:t>et</w:t>
            </w:r>
            <w:r w:rsidRPr="00BE6128">
              <w:rPr>
                <w:rFonts w:ascii="Times New Roman" w:hAnsi="Times New Roman" w:cs="Times New Roman"/>
                <w:color w:val="231F20"/>
                <w:spacing w:val="-3"/>
                <w:sz w:val="24"/>
                <w:szCs w:val="24"/>
              </w:rPr>
              <w:t xml:space="preserve"> </w:t>
            </w:r>
            <w:r w:rsidRPr="00BE6128">
              <w:rPr>
                <w:rFonts w:ascii="Times New Roman" w:hAnsi="Times New Roman" w:cs="Times New Roman"/>
                <w:color w:val="231F20"/>
                <w:sz w:val="24"/>
                <w:szCs w:val="24"/>
              </w:rPr>
              <w:t>al.,</w:t>
            </w:r>
            <w:r w:rsidRPr="00BE6128">
              <w:rPr>
                <w:rFonts w:ascii="Times New Roman" w:hAnsi="Times New Roman" w:cs="Times New Roman"/>
                <w:color w:val="231F20"/>
                <w:spacing w:val="-9"/>
                <w:sz w:val="24"/>
                <w:szCs w:val="24"/>
              </w:rPr>
              <w:t xml:space="preserve"> </w:t>
            </w:r>
            <w:r w:rsidR="009D681C" w:rsidRPr="00BE6128">
              <w:rPr>
                <w:rFonts w:ascii="Times New Roman" w:hAnsi="Times New Roman" w:cs="Times New Roman"/>
                <w:color w:val="231F20"/>
                <w:spacing w:val="-9"/>
                <w:sz w:val="24"/>
                <w:szCs w:val="24"/>
              </w:rPr>
              <w:fldChar w:fldCharType="begin" w:fldLock="1"/>
            </w:r>
            <w:r w:rsidR="00404317">
              <w:rPr>
                <w:rFonts w:ascii="Times New Roman" w:hAnsi="Times New Roman" w:cs="Times New Roman"/>
                <w:color w:val="231F20"/>
                <w:spacing w:val="-9"/>
                <w:sz w:val="24"/>
                <w:szCs w:val="24"/>
              </w:rPr>
              <w:instrText>ADDIN CSL_CITATION {"citationItems":[{"id":"ITEM-1","itemData":{"DOI":"10.3109/09513590.2015.1136616","ISBN":"8637166913114","ISSN":"14730766","PMID":"26942778","abstract":"In order to explore the relationship between endometrial thickness on the day of embryo transfer and pregnancy outcomes in frozen-thawed embryo transfer (FET) cycles, we retrospectively analyzed data from 2997 patients undergoing their first FET cycles from January 2010 to December 2012. All patients were divided into three groups (Group A, ≤8 mm; Group B, 9–13 mm; Group C, ≥14 mm) according to the endometrial thickness on embryo transfer day. Compared with patients in the other two groups, patients with thin endometrial thickness in Group A had significantly lower clinical pregnancy rate (33.4%, 41.3% and 45.4%, p &lt; 0.01) and live birth rate (23.8%, 32.2% and 34.0%, p &lt; 0.01). After adjusting for age, body mass index (BMI), baseline follicle stimulating hormone (FSH) FET protocol and number of embryos transferred, the associations between medium endometrial thickness (Group B) and clinical pregnancy rate [adjusted odds ratio (aOR): 1.39; 95% confidence interval (CI): 1.10–1.77, p &lt; 0.01] and live birth rate (aOR: 1.50; 95% CI: 1.16–1.95, p &lt; 0.01) were significant. We conclude that for patients undergoing FET, endometrial thickness on the embryo transfer day significantly affects IVF outcomes in cleavage embryo transfer cycles independent of other factors.","author":[{"dropping-particle":"","family":"Bu","given":"Zhiqin","non-dropping-particle":"","parse-names":false,"suffix":""},{"dropping-particle":"","family":"Wang","given":"Keyan","non-dropping-particle":"","parse-names":false,"suffix":""},{"dropping-particle":"","family":"Dai","given":"Wei","non-dropping-particle":"","parse-names":false,"suffix":""},{"dropping-particle":"","family":"Sun","given":"Yingpu","non-dropping-particle":"","parse-names":false,"suffix":""}],"container-title":"Gynecological Endocrinology","id":"ITEM-1","issue":"7","issued":{"date-parts":[["2016"]]},"page":"524-528","title":"Endometrial thickness significantly affects clinical pregnancy and live birth rates in frozen-thawed embryo transfer cycles","type":"article-journal","volume":"32"},"uris":["http://www.mendeley.com/documents/?uuid=b4a3ad1f-39de-48fe-a48f-f80832ede4a0"]}],"mendeley":{"formattedCitation":"[55]","manualFormatting":"[55, с. 524]","plainTextFormattedCitation":"[55]","previouslyFormattedCitation":"(55)"},"properties":{"noteIndex":0},"schema":"https://github.com/citation-style-language/schema/raw/master/csl-citation.json"}</w:instrText>
            </w:r>
            <w:r w:rsidR="009D681C" w:rsidRPr="00BE6128">
              <w:rPr>
                <w:rFonts w:ascii="Times New Roman" w:hAnsi="Times New Roman" w:cs="Times New Roman"/>
                <w:color w:val="231F20"/>
                <w:spacing w:val="-9"/>
                <w:sz w:val="24"/>
                <w:szCs w:val="24"/>
              </w:rPr>
              <w:fldChar w:fldCharType="separate"/>
            </w:r>
            <w:r w:rsidR="008C6800" w:rsidRPr="008C6800">
              <w:rPr>
                <w:rFonts w:ascii="Times New Roman" w:hAnsi="Times New Roman" w:cs="Times New Roman"/>
                <w:noProof/>
                <w:color w:val="231F20"/>
                <w:spacing w:val="-9"/>
                <w:sz w:val="24"/>
                <w:szCs w:val="24"/>
              </w:rPr>
              <w:t>[55</w:t>
            </w:r>
            <w:r w:rsidR="00404317" w:rsidRPr="00404317">
              <w:rPr>
                <w:rFonts w:ascii="Times New Roman" w:hAnsi="Times New Roman" w:cs="Times New Roman"/>
                <w:noProof/>
                <w:color w:val="231F20"/>
                <w:spacing w:val="-9"/>
                <w:sz w:val="24"/>
                <w:szCs w:val="24"/>
              </w:rPr>
              <w:t xml:space="preserve">, </w:t>
            </w:r>
            <w:r w:rsidR="00404317">
              <w:rPr>
                <w:rFonts w:ascii="Times New Roman" w:hAnsi="Times New Roman" w:cs="Times New Roman"/>
                <w:noProof/>
                <w:color w:val="231F20"/>
                <w:spacing w:val="-9"/>
                <w:sz w:val="24"/>
                <w:szCs w:val="24"/>
                <w:lang w:val="ru-RU"/>
              </w:rPr>
              <w:t>с</w:t>
            </w:r>
            <w:r w:rsidR="00404317" w:rsidRPr="00404317">
              <w:rPr>
                <w:rFonts w:ascii="Times New Roman" w:hAnsi="Times New Roman" w:cs="Times New Roman"/>
                <w:noProof/>
                <w:color w:val="231F20"/>
                <w:spacing w:val="-9"/>
                <w:sz w:val="24"/>
                <w:szCs w:val="24"/>
              </w:rPr>
              <w:t>. 524</w:t>
            </w:r>
            <w:r w:rsidR="008C6800" w:rsidRPr="008C6800">
              <w:rPr>
                <w:rFonts w:ascii="Times New Roman" w:hAnsi="Times New Roman" w:cs="Times New Roman"/>
                <w:noProof/>
                <w:color w:val="231F20"/>
                <w:spacing w:val="-9"/>
                <w:sz w:val="24"/>
                <w:szCs w:val="24"/>
              </w:rPr>
              <w:t>]</w:t>
            </w:r>
            <w:r w:rsidR="009D681C" w:rsidRPr="00BE6128">
              <w:rPr>
                <w:rFonts w:ascii="Times New Roman" w:hAnsi="Times New Roman" w:cs="Times New Roman"/>
                <w:color w:val="231F20"/>
                <w:spacing w:val="-9"/>
                <w:sz w:val="24"/>
                <w:szCs w:val="24"/>
              </w:rPr>
              <w:fldChar w:fldCharType="end"/>
            </w:r>
            <w:r w:rsidR="009D681C" w:rsidRPr="00BE6128">
              <w:rPr>
                <w:rFonts w:ascii="Times New Roman" w:hAnsi="Times New Roman" w:cs="Times New Roman"/>
                <w:color w:val="231F20"/>
                <w:sz w:val="24"/>
                <w:szCs w:val="24"/>
              </w:rPr>
              <w:t xml:space="preserve"> </w:t>
            </w:r>
            <w:r w:rsidRPr="00BE6128">
              <w:rPr>
                <w:rFonts w:ascii="Times New Roman" w:hAnsi="Times New Roman" w:cs="Times New Roman"/>
                <w:color w:val="231F20"/>
                <w:spacing w:val="-4"/>
                <w:sz w:val="24"/>
                <w:szCs w:val="24"/>
              </w:rPr>
              <w:t>201</w:t>
            </w:r>
            <w:r w:rsidR="00BE6128" w:rsidRPr="00BE6128">
              <w:rPr>
                <w:rFonts w:ascii="Times New Roman" w:hAnsi="Times New Roman" w:cs="Times New Roman"/>
                <w:color w:val="231F20"/>
                <w:spacing w:val="-4"/>
                <w:sz w:val="24"/>
                <w:szCs w:val="24"/>
              </w:rPr>
              <w:t>6</w:t>
            </w:r>
            <w:r w:rsidRPr="00BE6128">
              <w:rPr>
                <w:rFonts w:ascii="Times New Roman" w:hAnsi="Times New Roman" w:cs="Times New Roman"/>
                <w:color w:val="231F20"/>
                <w:spacing w:val="-4"/>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4"/>
                <w:sz w:val="24"/>
                <w:szCs w:val="24"/>
              </w:rPr>
              <w:t>United</w:t>
            </w:r>
            <w:r w:rsidRPr="00BE6128">
              <w:rPr>
                <w:rFonts w:ascii="Times New Roman" w:hAnsi="Times New Roman" w:cs="Times New Roman"/>
                <w:color w:val="231F20"/>
                <w:spacing w:val="40"/>
                <w:sz w:val="24"/>
                <w:szCs w:val="24"/>
              </w:rPr>
              <w:t xml:space="preserve"> </w:t>
            </w:r>
            <w:r w:rsidRPr="00BE6128">
              <w:rPr>
                <w:rFonts w:ascii="Times New Roman" w:hAnsi="Times New Roman" w:cs="Times New Roman"/>
                <w:color w:val="231F20"/>
                <w:spacing w:val="-2"/>
                <w:sz w:val="24"/>
                <w:szCs w:val="24"/>
              </w:rPr>
              <w:t>Kingdom</w:t>
            </w:r>
          </w:p>
        </w:tc>
        <w:tc>
          <w:tcPr>
            <w:tcW w:w="425" w:type="dxa"/>
          </w:tcPr>
          <w:p w14:paraId="72CAF9BB" w14:textId="77777777" w:rsidR="00C11A77" w:rsidRPr="00BE6128" w:rsidRDefault="00C11A77" w:rsidP="00BE6128">
            <w:pPr>
              <w:pStyle w:val="TableParagraph"/>
              <w:spacing w:before="0"/>
              <w:ind w:right="89"/>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2997</w:t>
            </w:r>
          </w:p>
        </w:tc>
        <w:tc>
          <w:tcPr>
            <w:tcW w:w="1701" w:type="dxa"/>
          </w:tcPr>
          <w:p w14:paraId="6FDB5E23" w14:textId="77777777" w:rsidR="00C11A77" w:rsidRPr="00BE6128" w:rsidRDefault="00C11A77" w:rsidP="00BE6128">
            <w:pPr>
              <w:pStyle w:val="TableParagraph"/>
              <w:spacing w:before="0"/>
              <w:ind w:left="8" w:right="3"/>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31.8±4.8</w:t>
            </w:r>
          </w:p>
        </w:tc>
        <w:tc>
          <w:tcPr>
            <w:tcW w:w="1701" w:type="dxa"/>
          </w:tcPr>
          <w:p w14:paraId="4DB7516F" w14:textId="77777777" w:rsidR="00C11A77" w:rsidRPr="00BE6128" w:rsidRDefault="00C11A77" w:rsidP="00BE6128">
            <w:pPr>
              <w:pStyle w:val="TableParagraph"/>
              <w:spacing w:before="0"/>
              <w:ind w:left="8" w:right="4"/>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22.6±3.3</w:t>
            </w:r>
          </w:p>
        </w:tc>
        <w:tc>
          <w:tcPr>
            <w:tcW w:w="3402" w:type="dxa"/>
          </w:tcPr>
          <w:p w14:paraId="0CBBFEBF" w14:textId="77777777" w:rsidR="00C11A77" w:rsidRPr="00BE6128" w:rsidRDefault="00C11A77" w:rsidP="00BE6128">
            <w:pPr>
              <w:pStyle w:val="TableParagraph"/>
              <w:spacing w:before="0"/>
              <w:ind w:left="76"/>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rPr>
              <w:t>FET</w:t>
            </w:r>
            <w:r w:rsidRPr="00BE6128">
              <w:rPr>
                <w:rFonts w:ascii="Times New Roman" w:hAnsi="Times New Roman" w:cs="Times New Roman"/>
                <w:color w:val="231F20"/>
                <w:spacing w:val="-2"/>
                <w:sz w:val="24"/>
                <w:szCs w:val="24"/>
                <w:lang w:val="ru-RU"/>
              </w:rPr>
              <w:t>:</w:t>
            </w:r>
            <w:r w:rsidRPr="00BE6128">
              <w:rPr>
                <w:rFonts w:ascii="Times New Roman" w:hAnsi="Times New Roman" w:cs="Times New Roman"/>
                <w:color w:val="231F20"/>
                <w:spacing w:val="-8"/>
                <w:sz w:val="24"/>
                <w:szCs w:val="24"/>
                <w:lang w:val="ru-RU"/>
              </w:rPr>
              <w:t xml:space="preserve"> </w:t>
            </w:r>
            <w:r w:rsidRPr="00BE6128">
              <w:rPr>
                <w:rFonts w:ascii="Times New Roman" w:hAnsi="Times New Roman" w:cs="Times New Roman"/>
                <w:color w:val="231F20"/>
                <w:spacing w:val="-2"/>
                <w:sz w:val="24"/>
                <w:szCs w:val="24"/>
                <w:lang w:val="ru-RU"/>
              </w:rPr>
              <w:t>утро в день переноса эмбрионов.</w:t>
            </w:r>
          </w:p>
        </w:tc>
        <w:tc>
          <w:tcPr>
            <w:tcW w:w="1559" w:type="dxa"/>
          </w:tcPr>
          <w:p w14:paraId="23289CB0" w14:textId="77777777" w:rsidR="00C11A77" w:rsidRPr="00BE6128" w:rsidRDefault="00C11A77" w:rsidP="00BE6128">
            <w:pPr>
              <w:pStyle w:val="TableParagraph"/>
              <w:spacing w:before="0"/>
              <w:ind w:right="86"/>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Pr>
          <w:p w14:paraId="680FC15C"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33.4%</w:t>
            </w:r>
          </w:p>
        </w:tc>
        <w:tc>
          <w:tcPr>
            <w:tcW w:w="2126" w:type="dxa"/>
          </w:tcPr>
          <w:p w14:paraId="3F79D3D1"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23.8%</w:t>
            </w:r>
          </w:p>
        </w:tc>
      </w:tr>
      <w:tr w:rsidR="00BE6128" w:rsidRPr="00BE6128" w14:paraId="27CF8DD8" w14:textId="77777777" w:rsidTr="0060156A">
        <w:trPr>
          <w:trHeight w:val="502"/>
        </w:trPr>
        <w:tc>
          <w:tcPr>
            <w:tcW w:w="425" w:type="dxa"/>
            <w:tcBorders>
              <w:bottom w:val="single" w:sz="4" w:space="0" w:color="231F20"/>
            </w:tcBorders>
          </w:tcPr>
          <w:p w14:paraId="3E24EDF1" w14:textId="77777777" w:rsidR="00C11A77" w:rsidRPr="00BE6128" w:rsidRDefault="00C11A77" w:rsidP="00BE6128">
            <w:pPr>
              <w:pStyle w:val="TableParagraph"/>
              <w:spacing w:before="0"/>
              <w:ind w:right="96"/>
              <w:jc w:val="center"/>
              <w:rPr>
                <w:rFonts w:ascii="Times New Roman" w:hAnsi="Times New Roman" w:cs="Times New Roman"/>
                <w:sz w:val="24"/>
                <w:szCs w:val="24"/>
              </w:rPr>
            </w:pPr>
            <w:r w:rsidRPr="00BE6128">
              <w:rPr>
                <w:rFonts w:ascii="Times New Roman" w:hAnsi="Times New Roman" w:cs="Times New Roman"/>
                <w:color w:val="231F20"/>
                <w:spacing w:val="-10"/>
                <w:sz w:val="24"/>
                <w:szCs w:val="24"/>
              </w:rPr>
              <w:t>3</w:t>
            </w:r>
          </w:p>
        </w:tc>
        <w:tc>
          <w:tcPr>
            <w:tcW w:w="1276" w:type="dxa"/>
            <w:tcBorders>
              <w:bottom w:val="single" w:sz="4" w:space="0" w:color="231F20"/>
            </w:tcBorders>
          </w:tcPr>
          <w:p w14:paraId="29C919D5" w14:textId="2E045913" w:rsidR="00C11A77" w:rsidRPr="00BE6128" w:rsidRDefault="009D681C" w:rsidP="00BE6128">
            <w:pPr>
              <w:pStyle w:val="TableParagraph"/>
              <w:spacing w:before="0"/>
              <w:ind w:left="79" w:right="227"/>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 xml:space="preserve">Yuan </w:t>
            </w:r>
            <w:r w:rsidR="00C11A77" w:rsidRPr="00BE6128">
              <w:rPr>
                <w:rFonts w:ascii="Times New Roman" w:hAnsi="Times New Roman" w:cs="Times New Roman"/>
                <w:color w:val="231F20"/>
                <w:spacing w:val="-2"/>
                <w:sz w:val="24"/>
                <w:szCs w:val="24"/>
              </w:rPr>
              <w:t>et</w:t>
            </w:r>
            <w:r w:rsidR="00C11A77" w:rsidRPr="00BE6128">
              <w:rPr>
                <w:rFonts w:ascii="Times New Roman" w:hAnsi="Times New Roman" w:cs="Times New Roman"/>
                <w:color w:val="231F20"/>
                <w:spacing w:val="-8"/>
                <w:sz w:val="24"/>
                <w:szCs w:val="24"/>
              </w:rPr>
              <w:t xml:space="preserve"> </w:t>
            </w:r>
            <w:r w:rsidR="00C11A77" w:rsidRPr="00BE6128">
              <w:rPr>
                <w:rFonts w:ascii="Times New Roman" w:hAnsi="Times New Roman" w:cs="Times New Roman"/>
                <w:color w:val="231F20"/>
                <w:spacing w:val="-2"/>
                <w:sz w:val="24"/>
                <w:szCs w:val="24"/>
              </w:rPr>
              <w:t>al.</w:t>
            </w:r>
            <w:r w:rsidRPr="00BE6128">
              <w:rPr>
                <w:rFonts w:ascii="Times New Roman" w:hAnsi="Times New Roman" w:cs="Times New Roman"/>
                <w:color w:val="231F20"/>
                <w:spacing w:val="-2"/>
                <w:sz w:val="24"/>
                <w:szCs w:val="24"/>
              </w:rPr>
              <w:t xml:space="preserve"> </w:t>
            </w:r>
            <w:r w:rsidRPr="00BE6128">
              <w:rPr>
                <w:rFonts w:ascii="Times New Roman" w:hAnsi="Times New Roman" w:cs="Times New Roman"/>
                <w:color w:val="231F20"/>
                <w:spacing w:val="-2"/>
                <w:sz w:val="24"/>
                <w:szCs w:val="24"/>
              </w:rPr>
              <w:fldChar w:fldCharType="begin" w:fldLock="1"/>
            </w:r>
            <w:r w:rsidR="008C6800">
              <w:rPr>
                <w:rFonts w:ascii="Times New Roman" w:hAnsi="Times New Roman" w:cs="Times New Roman"/>
                <w:color w:val="231F20"/>
                <w:spacing w:val="-2"/>
                <w:sz w:val="24"/>
                <w:szCs w:val="24"/>
              </w:rPr>
              <w:instrText>ADDIN CSL_CITATION {"citationItems":[{"id":"ITEM-1","itemData":{"DOI":"10.1016/j.rbmo.2016.05.002","ISSN":"14726491","abstract":"This retrospective study assessed the predictive value of endometrial thickness (EMT) on HCG administration day for the clinical outcome of fresh IVF and intracytoplasmic sperm injection (ICSI) cycles. A total of 8690 consecutive women undergoing 10,787 cycles over a 5-year period were included. The 5th, 50th and 95th centiles for EMT were determined as 8, 11 and 15 mm, respectively. Group analysis according to these centiles (Group 1: &lt; 8 mm; Group 2: ≥ 8 and ≤11 mm; Group 3: &gt; 11 and ≤15 mm; Group 4: &gt; 15 mm) demonstrated significant differences (P &lt; 0.001) in clinical pregnancy rates (23.0%, 37.2%, 46.2% and 53.3%, respectively), live birth rates per clinical pregnancy (63.3%, 72.0%, 78.1% and 80.3%, respectively), spontaneous abortion rates (26.7%, 23.8%, 19.9% and 17.5%, respectively), and ectopic pregnancy rates (10.0%, 4.3%, 2.1% and 2.2%, respectively). Logistic regression analyses showed EMT as one of the independent variables predictive of clinical pregnancy (OR = 1.097; P &lt; 0.001), live birth (OR = 1.078; P &lt; 0.001), spontaneous abortion (OR = 0.948; P &lt; 0.001), and ectopic pregnancy (OR = 0.851; P &lt; 0.001). Future research should aim to understand the underlying mechanisms relating EMT to conception, ectopic implantation and spontaneous abortion.","author":[{"dropping-particle":"","family":"Yuan","given":"Xi","non-dropping-particle":"","parse-names":false,"suffix":""},{"dropping-particle":"","family":"Saravelos","given":"Sotirios H.","non-dropping-particle":"","parse-names":false,"suffix":""},{"dropping-particle":"","family":"Wang","given":"Qiong","non-dropping-particle":"","parse-names":false,"suffix":""},{"dropping-particle":"","family":"Xu","given":"Yanwen","non-dropping-particle":"","parse-names":false,"suffix":""},{"dropping-particle":"","family":"Li","given":"Tin Chiu","non-dropping-particle":"","parse-names":false,"suffix":""},{"dropping-particle":"","family":"Zhou","given":"Canquan","non-dropping-particle":"","parse-names":false,"suffix":""}],"container-title":"Reproductive BioMedicine Online","id":"ITEM-1","issue":"2","issued":{"date-parts":[["2016"]]},"title":"Endometrial thickness as a predictor of pregnancy outcomes in 10787 fresh IVF–ICSI cycles","type":"article-journal","volume":"33"},"uris":["http://www.mendeley.com/documents/?uuid=7b4c714f-7d94-397f-a16e-328d762b026d"]}],"mendeley":{"formattedCitation":"[4]","plainTextFormattedCitation":"[4]","previouslyFormattedCitation":"(4)"},"properties":{"noteIndex":0},"schema":"https://github.com/citation-style-language/schema/raw/master/csl-citation.json"}</w:instrText>
            </w:r>
            <w:r w:rsidRPr="00BE6128">
              <w:rPr>
                <w:rFonts w:ascii="Times New Roman" w:hAnsi="Times New Roman" w:cs="Times New Roman"/>
                <w:color w:val="231F20"/>
                <w:spacing w:val="-2"/>
                <w:sz w:val="24"/>
                <w:szCs w:val="24"/>
              </w:rPr>
              <w:fldChar w:fldCharType="separate"/>
            </w:r>
            <w:r w:rsidR="008C6800" w:rsidRPr="008C6800">
              <w:rPr>
                <w:rFonts w:ascii="Times New Roman" w:hAnsi="Times New Roman" w:cs="Times New Roman"/>
                <w:noProof/>
                <w:color w:val="231F20"/>
                <w:spacing w:val="-2"/>
                <w:sz w:val="24"/>
                <w:szCs w:val="24"/>
              </w:rPr>
              <w:t>[4]</w:t>
            </w:r>
            <w:r w:rsidRPr="00BE6128">
              <w:rPr>
                <w:rFonts w:ascii="Times New Roman" w:hAnsi="Times New Roman" w:cs="Times New Roman"/>
                <w:color w:val="231F20"/>
                <w:spacing w:val="-2"/>
                <w:sz w:val="24"/>
                <w:szCs w:val="24"/>
              </w:rPr>
              <w:fldChar w:fldCharType="end"/>
            </w:r>
            <w:r w:rsidR="00C11A77" w:rsidRPr="00BE6128">
              <w:rPr>
                <w:rFonts w:ascii="Times New Roman" w:hAnsi="Times New Roman" w:cs="Times New Roman"/>
                <w:color w:val="231F20"/>
                <w:spacing w:val="-2"/>
                <w:sz w:val="24"/>
                <w:szCs w:val="24"/>
              </w:rPr>
              <w:t>,</w:t>
            </w:r>
            <w:r w:rsidR="00C11A77" w:rsidRPr="00BE6128">
              <w:rPr>
                <w:rFonts w:ascii="Times New Roman" w:hAnsi="Times New Roman" w:cs="Times New Roman"/>
                <w:color w:val="231F20"/>
                <w:spacing w:val="40"/>
                <w:sz w:val="24"/>
                <w:szCs w:val="24"/>
              </w:rPr>
              <w:t xml:space="preserve"> </w:t>
            </w:r>
            <w:r w:rsidR="00C11A77" w:rsidRPr="00BE6128">
              <w:rPr>
                <w:rFonts w:ascii="Times New Roman" w:hAnsi="Times New Roman" w:cs="Times New Roman"/>
                <w:color w:val="231F20"/>
                <w:sz w:val="24"/>
                <w:szCs w:val="24"/>
              </w:rPr>
              <w:t>2016,</w:t>
            </w:r>
            <w:r w:rsidR="00C11A77" w:rsidRPr="00BE6128">
              <w:rPr>
                <w:rFonts w:ascii="Times New Roman" w:hAnsi="Times New Roman" w:cs="Times New Roman"/>
                <w:color w:val="231F20"/>
                <w:spacing w:val="-5"/>
                <w:sz w:val="24"/>
                <w:szCs w:val="24"/>
              </w:rPr>
              <w:t xml:space="preserve"> </w:t>
            </w:r>
            <w:r w:rsidR="00C11A77" w:rsidRPr="00BE6128">
              <w:rPr>
                <w:rFonts w:ascii="Times New Roman" w:hAnsi="Times New Roman" w:cs="Times New Roman"/>
                <w:color w:val="231F20"/>
                <w:sz w:val="24"/>
                <w:szCs w:val="24"/>
              </w:rPr>
              <w:t>China</w:t>
            </w:r>
          </w:p>
        </w:tc>
        <w:tc>
          <w:tcPr>
            <w:tcW w:w="425" w:type="dxa"/>
            <w:tcBorders>
              <w:bottom w:val="single" w:sz="4" w:space="0" w:color="231F20"/>
            </w:tcBorders>
          </w:tcPr>
          <w:p w14:paraId="22F0CDB5" w14:textId="77777777" w:rsidR="00C11A77" w:rsidRPr="00BE6128" w:rsidRDefault="00C11A77" w:rsidP="00BE6128">
            <w:pPr>
              <w:pStyle w:val="TableParagraph"/>
              <w:spacing w:before="0"/>
              <w:ind w:right="8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521</w:t>
            </w:r>
          </w:p>
        </w:tc>
        <w:tc>
          <w:tcPr>
            <w:tcW w:w="1701" w:type="dxa"/>
            <w:tcBorders>
              <w:bottom w:val="single" w:sz="4" w:space="0" w:color="231F20"/>
            </w:tcBorders>
          </w:tcPr>
          <w:p w14:paraId="0B105D9E" w14:textId="77777777" w:rsidR="00C11A77" w:rsidRPr="00BE6128" w:rsidRDefault="00C11A77" w:rsidP="00BE6128">
            <w:pPr>
              <w:pStyle w:val="TableParagraph"/>
              <w:spacing w:before="0"/>
              <w:ind w:left="229"/>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29.5</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3.2</w:t>
            </w:r>
          </w:p>
        </w:tc>
        <w:tc>
          <w:tcPr>
            <w:tcW w:w="1701" w:type="dxa"/>
            <w:tcBorders>
              <w:bottom w:val="single" w:sz="4" w:space="0" w:color="231F20"/>
            </w:tcBorders>
          </w:tcPr>
          <w:p w14:paraId="0DE4271B" w14:textId="77777777" w:rsidR="00C11A77" w:rsidRPr="00BE6128" w:rsidRDefault="00C11A77" w:rsidP="00BE6128">
            <w:pPr>
              <w:pStyle w:val="TableParagraph"/>
              <w:spacing w:before="0"/>
              <w:ind w:left="228"/>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21.5</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3.7</w:t>
            </w:r>
          </w:p>
        </w:tc>
        <w:tc>
          <w:tcPr>
            <w:tcW w:w="3402" w:type="dxa"/>
            <w:tcBorders>
              <w:bottom w:val="single" w:sz="4" w:space="0" w:color="231F20"/>
            </w:tcBorders>
          </w:tcPr>
          <w:p w14:paraId="04BCECD6" w14:textId="77777777" w:rsidR="00C11A77" w:rsidRPr="00BE6128" w:rsidRDefault="00C11A77" w:rsidP="00BE6128">
            <w:pPr>
              <w:pStyle w:val="TableParagraph"/>
              <w:spacing w:before="0"/>
              <w:ind w:left="76"/>
              <w:jc w:val="center"/>
              <w:rPr>
                <w:rFonts w:ascii="Times New Roman" w:hAnsi="Times New Roman" w:cs="Times New Roman"/>
                <w:sz w:val="24"/>
                <w:szCs w:val="24"/>
              </w:rPr>
            </w:pPr>
            <w:r w:rsidRPr="00BE6128">
              <w:rPr>
                <w:rFonts w:ascii="Times New Roman" w:hAnsi="Times New Roman" w:cs="Times New Roman"/>
                <w:color w:val="231F20"/>
                <w:sz w:val="24"/>
                <w:szCs w:val="24"/>
              </w:rPr>
              <w:t>Fresh:</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z w:val="24"/>
                <w:szCs w:val="24"/>
              </w:rPr>
              <w:t>введение ХГЧ</w:t>
            </w:r>
          </w:p>
        </w:tc>
        <w:tc>
          <w:tcPr>
            <w:tcW w:w="1559" w:type="dxa"/>
            <w:tcBorders>
              <w:bottom w:val="single" w:sz="4" w:space="0" w:color="231F20"/>
            </w:tcBorders>
          </w:tcPr>
          <w:p w14:paraId="5ED67FCB" w14:textId="77777777" w:rsidR="00C11A77" w:rsidRPr="00BE6128" w:rsidRDefault="00C11A77" w:rsidP="00BE6128">
            <w:pPr>
              <w:pStyle w:val="TableParagraph"/>
              <w:spacing w:before="0"/>
              <w:ind w:right="86"/>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&lt;8</w:t>
            </w:r>
          </w:p>
        </w:tc>
        <w:tc>
          <w:tcPr>
            <w:tcW w:w="1843" w:type="dxa"/>
            <w:tcBorders>
              <w:bottom w:val="single" w:sz="4" w:space="0" w:color="231F20"/>
            </w:tcBorders>
          </w:tcPr>
          <w:p w14:paraId="65F17579"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23.00%</w:t>
            </w:r>
          </w:p>
        </w:tc>
        <w:tc>
          <w:tcPr>
            <w:tcW w:w="2126" w:type="dxa"/>
            <w:tcBorders>
              <w:bottom w:val="single" w:sz="4" w:space="0" w:color="231F20"/>
            </w:tcBorders>
          </w:tcPr>
          <w:p w14:paraId="7B347DEB"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15.0%</w:t>
            </w:r>
          </w:p>
        </w:tc>
      </w:tr>
      <w:tr w:rsidR="00BE6128" w:rsidRPr="00BE6128" w14:paraId="0E369113" w14:textId="77777777" w:rsidTr="0060156A">
        <w:trPr>
          <w:trHeight w:val="722"/>
        </w:trPr>
        <w:tc>
          <w:tcPr>
            <w:tcW w:w="425" w:type="dxa"/>
            <w:tcBorders>
              <w:bottom w:val="nil"/>
            </w:tcBorders>
          </w:tcPr>
          <w:p w14:paraId="6081597B"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10"/>
                <w:sz w:val="24"/>
                <w:szCs w:val="24"/>
              </w:rPr>
              <w:t>4</w:t>
            </w:r>
          </w:p>
        </w:tc>
        <w:tc>
          <w:tcPr>
            <w:tcW w:w="1276" w:type="dxa"/>
            <w:tcBorders>
              <w:bottom w:val="nil"/>
            </w:tcBorders>
          </w:tcPr>
          <w:p w14:paraId="5D529E7F" w14:textId="70EE0877" w:rsidR="00C11A77" w:rsidRPr="00BE6128" w:rsidRDefault="00C11A77" w:rsidP="00BE6128">
            <w:pPr>
              <w:pStyle w:val="TableParagraph"/>
              <w:spacing w:before="0"/>
              <w:ind w:left="79"/>
              <w:jc w:val="center"/>
              <w:rPr>
                <w:rFonts w:ascii="Times New Roman" w:hAnsi="Times New Roman" w:cs="Times New Roman"/>
                <w:sz w:val="24"/>
                <w:szCs w:val="24"/>
              </w:rPr>
            </w:pPr>
            <w:r w:rsidRPr="00BE6128">
              <w:rPr>
                <w:rFonts w:ascii="Times New Roman" w:hAnsi="Times New Roman" w:cs="Times New Roman"/>
                <w:color w:val="231F20"/>
                <w:sz w:val="24"/>
                <w:szCs w:val="24"/>
              </w:rPr>
              <w:t>Kunicki et al.,</w:t>
            </w:r>
            <w:r w:rsidR="009D681C" w:rsidRPr="00BE6128">
              <w:rPr>
                <w:rFonts w:ascii="Times New Roman" w:hAnsi="Times New Roman" w:cs="Times New Roman"/>
                <w:color w:val="231F20"/>
                <w:sz w:val="24"/>
                <w:szCs w:val="24"/>
              </w:rPr>
              <w:t xml:space="preserve"> </w:t>
            </w:r>
            <w:r w:rsidR="009D681C" w:rsidRPr="00BE6128">
              <w:rPr>
                <w:rFonts w:ascii="Times New Roman" w:hAnsi="Times New Roman" w:cs="Times New Roman"/>
                <w:color w:val="231F20"/>
                <w:sz w:val="24"/>
                <w:szCs w:val="24"/>
              </w:rPr>
              <w:fldChar w:fldCharType="begin" w:fldLock="1"/>
            </w:r>
            <w:r w:rsidR="008C6800">
              <w:rPr>
                <w:rFonts w:ascii="Times New Roman" w:hAnsi="Times New Roman" w:cs="Times New Roman"/>
                <w:color w:val="231F20"/>
                <w:sz w:val="24"/>
                <w:szCs w:val="24"/>
              </w:rPr>
              <w:instrText>ADDIN CSL_CITATION {"citationItems":[{"id":"ITEM-1","itemData":{"DOI":"10.1080/19396368.2016.1251505","ISSN":"19396376","PMID":"27874292","abstract":"The aim of the study was to assess the granulocyte-colony stimulating factor (G-CSF) effect on unresponsive thin (&lt;7 mm) endometrium in women undergoing frozen-thawed embryo transfer at the blastocyst stage. A total of 62 women with thin unresponsive endometrium were included in the study, of which, 29 received a G-CSF infusion and 33 who opted out of the study served as controls. Patients in both groups had similar endometrial thickness at the time of the initial evaluation: 6.50 mm (5.50-6.80) in the G-CSF and 6.40 mm (5.50-7.0) in the control group. However, after the infusion endometrial thickness increased significantly in the G-CSF group in comparison with the controls (p=0.01), (Δ) 0.5 (0.02-1.2) (p=0.005). In the G-CSF group endometrium expanded to 7.90 mm (6.58-8.70) while in the control group to 6.90 mm (6.0-7.75). Five women in each group conceived. The clinical pregnancy rate was 5/29 (17.24%) in the G-CSF treated group and 5/33 (15.15%) in the control group (p&gt;0.05). The live birth rate was 2/29 (6.89%) in the G-CSF group and 2/33 (6.06%) in the control group (p&gt;0.05). We concluded that G-CSF infusion leads to an improvement in endometrium thickness but not to any improvement in the clinical pregnancy and live birth rates. Until more data is available G-CSF treatment should be considered to be of limited value in increasing pregnancy rate. Abbreviations: G-CSF: granulocyte colony-stimulating factor; M-CSF: macrophagecolony-stimulating factor; GM-CSF: granulocyte-macrophage colony-stimulating factor; FET: frozen embryo transfer; IVF: in vitro fertilization","author":[{"dropping-particle":"","family":"Kunicki","given":"Michał","non-dropping-particle":"","parse-names":false,"suffix":""},{"dropping-particle":"","family":"Łukaszuk","given":"Krzysztof","non-dropping-particle":"","parse-names":false,"suffix":""},{"dropping-particle":"","family":"Liss","given":"Joanna","non-dropping-particle":"","parse-names":false,"suffix":""},{"dropping-particle":"","family":"Skowrońska","given":"Patrycja","non-dropping-particle":"","parse-names":false,"suffix":""},{"dropping-particle":"","family":"Szczyptańska","given":"Joanna","non-dropping-particle":"","parse-names":false,"suffix":""}],"container-title":"Systems Biology in Reproductive Medicine","id":"ITEM-1","issue":"1","issued":{"date-parts":[["2017"]]},"page":"49-57","publisher":"Taylor &amp; Francis","title":"Granulocyte colony stimulating factor treatment of resistant thin endometrium in women with frozen-thawed blastocyst transfer","type":"article-journal","volume":"63"},"uris":["http://www.mendeley.com/documents/?uuid=5d57c9c7-8c1e-4604-b0eb-fe8d2816527c"]}],"mendeley":{"formattedCitation":"[54]","plainTextFormattedCitation":"[54]","previouslyFormattedCitation":"(54)"},"properties":{"noteIndex":0},"schema":"https://github.com/citation-style-language/schema/raw/master/csl-citation.json"}</w:instrText>
            </w:r>
            <w:r w:rsidR="009D681C" w:rsidRPr="00BE6128">
              <w:rPr>
                <w:rFonts w:ascii="Times New Roman" w:hAnsi="Times New Roman" w:cs="Times New Roman"/>
                <w:color w:val="231F20"/>
                <w:sz w:val="24"/>
                <w:szCs w:val="24"/>
              </w:rPr>
              <w:fldChar w:fldCharType="separate"/>
            </w:r>
            <w:r w:rsidR="008C6800" w:rsidRPr="008C6800">
              <w:rPr>
                <w:rFonts w:ascii="Times New Roman" w:hAnsi="Times New Roman" w:cs="Times New Roman"/>
                <w:noProof/>
                <w:color w:val="231F20"/>
                <w:sz w:val="24"/>
                <w:szCs w:val="24"/>
              </w:rPr>
              <w:t>[54</w:t>
            </w:r>
            <w:r w:rsidR="00404317" w:rsidRPr="00404317">
              <w:rPr>
                <w:rFonts w:ascii="Times New Roman" w:hAnsi="Times New Roman" w:cs="Times New Roman"/>
                <w:noProof/>
                <w:color w:val="231F20"/>
                <w:sz w:val="24"/>
                <w:szCs w:val="24"/>
              </w:rPr>
              <w:t xml:space="preserve">, </w:t>
            </w:r>
            <w:r w:rsidR="00404317">
              <w:rPr>
                <w:rFonts w:ascii="Times New Roman" w:hAnsi="Times New Roman" w:cs="Times New Roman"/>
                <w:noProof/>
                <w:color w:val="231F20"/>
                <w:sz w:val="24"/>
                <w:szCs w:val="24"/>
                <w:lang w:val="ru-RU"/>
              </w:rPr>
              <w:t>с</w:t>
            </w:r>
            <w:r w:rsidR="00404317" w:rsidRPr="00404317">
              <w:rPr>
                <w:rFonts w:ascii="Times New Roman" w:hAnsi="Times New Roman" w:cs="Times New Roman"/>
                <w:noProof/>
                <w:color w:val="231F20"/>
                <w:sz w:val="24"/>
                <w:szCs w:val="24"/>
              </w:rPr>
              <w:t>.49</w:t>
            </w:r>
            <w:r w:rsidR="008C6800" w:rsidRPr="008C6800">
              <w:rPr>
                <w:rFonts w:ascii="Times New Roman" w:hAnsi="Times New Roman" w:cs="Times New Roman"/>
                <w:noProof/>
                <w:color w:val="231F20"/>
                <w:sz w:val="24"/>
                <w:szCs w:val="24"/>
              </w:rPr>
              <w:t>]</w:t>
            </w:r>
            <w:r w:rsidR="009D681C" w:rsidRPr="00BE6128">
              <w:rPr>
                <w:rFonts w:ascii="Times New Roman" w:hAnsi="Times New Roman" w:cs="Times New Roman"/>
                <w:color w:val="231F20"/>
                <w:sz w:val="24"/>
                <w:szCs w:val="24"/>
              </w:rPr>
              <w:fldChar w:fldCharType="end"/>
            </w:r>
            <w:r w:rsidR="00404317" w:rsidRPr="00404317">
              <w:rPr>
                <w:rFonts w:ascii="Times New Roman" w:hAnsi="Times New Roman" w:cs="Times New Roman"/>
                <w:color w:val="231F20"/>
                <w:sz w:val="24"/>
                <w:szCs w:val="24"/>
              </w:rPr>
              <w:t xml:space="preserve"> </w:t>
            </w:r>
            <w:r w:rsidRPr="00BE6128">
              <w:rPr>
                <w:rFonts w:ascii="Times New Roman" w:hAnsi="Times New Roman" w:cs="Times New Roman"/>
                <w:color w:val="231F20"/>
                <w:spacing w:val="-6"/>
                <w:sz w:val="24"/>
                <w:szCs w:val="24"/>
              </w:rPr>
              <w:t>2017,</w:t>
            </w:r>
            <w:r w:rsidRPr="00BE6128">
              <w:rPr>
                <w:rFonts w:ascii="Times New Roman" w:hAnsi="Times New Roman" w:cs="Times New Roman"/>
                <w:color w:val="231F20"/>
                <w:spacing w:val="-4"/>
                <w:sz w:val="24"/>
                <w:szCs w:val="24"/>
              </w:rPr>
              <w:t xml:space="preserve"> </w:t>
            </w:r>
            <w:r w:rsidRPr="00BE6128">
              <w:rPr>
                <w:rFonts w:ascii="Times New Roman" w:hAnsi="Times New Roman" w:cs="Times New Roman"/>
                <w:color w:val="231F20"/>
                <w:spacing w:val="-6"/>
                <w:sz w:val="24"/>
                <w:szCs w:val="24"/>
              </w:rPr>
              <w:t>China</w:t>
            </w:r>
          </w:p>
        </w:tc>
        <w:tc>
          <w:tcPr>
            <w:tcW w:w="425" w:type="dxa"/>
            <w:tcBorders>
              <w:bottom w:val="nil"/>
            </w:tcBorders>
          </w:tcPr>
          <w:p w14:paraId="45974DAC" w14:textId="77777777" w:rsidR="00C11A77" w:rsidRPr="00BE6128" w:rsidRDefault="00C11A77" w:rsidP="00BE6128">
            <w:pPr>
              <w:pStyle w:val="TableParagraph"/>
              <w:spacing w:before="0"/>
              <w:ind w:left="16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134</w:t>
            </w:r>
          </w:p>
        </w:tc>
        <w:tc>
          <w:tcPr>
            <w:tcW w:w="1701" w:type="dxa"/>
            <w:tcBorders>
              <w:bottom w:val="nil"/>
            </w:tcBorders>
          </w:tcPr>
          <w:p w14:paraId="588B89AA" w14:textId="77777777" w:rsidR="00C11A77" w:rsidRPr="00BE6128" w:rsidRDefault="00C11A77" w:rsidP="00BE6128">
            <w:pPr>
              <w:pStyle w:val="TableParagraph"/>
              <w:spacing w:before="0"/>
              <w:ind w:left="8" w:right="2"/>
              <w:jc w:val="center"/>
              <w:rPr>
                <w:rFonts w:ascii="Times New Roman" w:hAnsi="Times New Roman" w:cs="Times New Roman"/>
                <w:sz w:val="24"/>
                <w:szCs w:val="24"/>
              </w:rPr>
            </w:pPr>
            <w:r w:rsidRPr="00BE6128">
              <w:rPr>
                <w:rFonts w:ascii="Times New Roman" w:hAnsi="Times New Roman" w:cs="Times New Roman"/>
                <w:color w:val="231F20"/>
                <w:spacing w:val="-5"/>
                <w:w w:val="105"/>
                <w:sz w:val="24"/>
                <w:szCs w:val="24"/>
              </w:rPr>
              <w:t>N/A</w:t>
            </w:r>
          </w:p>
        </w:tc>
        <w:tc>
          <w:tcPr>
            <w:tcW w:w="1701" w:type="dxa"/>
            <w:tcBorders>
              <w:bottom w:val="nil"/>
            </w:tcBorders>
          </w:tcPr>
          <w:p w14:paraId="7C2D11DA" w14:textId="77777777" w:rsidR="00C11A77" w:rsidRPr="00BE6128" w:rsidRDefault="00C11A77" w:rsidP="00BE6128">
            <w:pPr>
              <w:pStyle w:val="TableParagraph"/>
              <w:spacing w:before="0"/>
              <w:ind w:left="8" w:right="4"/>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23.5±3.9</w:t>
            </w:r>
          </w:p>
        </w:tc>
        <w:tc>
          <w:tcPr>
            <w:tcW w:w="3402" w:type="dxa"/>
            <w:tcBorders>
              <w:bottom w:val="nil"/>
            </w:tcBorders>
          </w:tcPr>
          <w:p w14:paraId="6812C2E4" w14:textId="77777777" w:rsidR="00C11A77" w:rsidRPr="00BE6128" w:rsidRDefault="00C11A77" w:rsidP="00BE6128">
            <w:pPr>
              <w:pStyle w:val="TableParagraph"/>
              <w:spacing w:before="0"/>
              <w:ind w:left="76" w:right="92"/>
              <w:jc w:val="center"/>
              <w:rPr>
                <w:rFonts w:ascii="Times New Roman" w:hAnsi="Times New Roman" w:cs="Times New Roman"/>
                <w:sz w:val="24"/>
                <w:szCs w:val="24"/>
                <w:lang w:val="ru-RU"/>
              </w:rPr>
            </w:pPr>
            <w:r w:rsidRPr="00BE6128">
              <w:rPr>
                <w:rFonts w:ascii="Times New Roman" w:hAnsi="Times New Roman" w:cs="Times New Roman"/>
                <w:color w:val="231F20"/>
                <w:sz w:val="24"/>
                <w:szCs w:val="24"/>
              </w:rPr>
              <w:t>FET</w:t>
            </w:r>
            <w:r w:rsidRPr="00BE6128">
              <w:rPr>
                <w:rFonts w:ascii="Times New Roman" w:hAnsi="Times New Roman" w:cs="Times New Roman"/>
                <w:color w:val="231F20"/>
                <w:sz w:val="24"/>
                <w:szCs w:val="24"/>
                <w:lang w:val="ru-RU"/>
              </w:rPr>
              <w:t xml:space="preserve">: </w:t>
            </w:r>
            <w:r w:rsidRPr="00BE6128">
              <w:rPr>
                <w:rFonts w:ascii="Times New Roman" w:hAnsi="Times New Roman" w:cs="Times New Roman"/>
                <w:color w:val="231F20"/>
                <w:sz w:val="24"/>
                <w:szCs w:val="24"/>
              </w:rPr>
              <w:t>G</w:t>
            </w:r>
            <w:r w:rsidRPr="00BE6128">
              <w:rPr>
                <w:rFonts w:ascii="Times New Roman" w:hAnsi="Times New Roman" w:cs="Times New Roman"/>
                <w:color w:val="231F20"/>
                <w:sz w:val="24"/>
                <w:szCs w:val="24"/>
                <w:lang w:val="ru-RU"/>
              </w:rPr>
              <w:t>-</w:t>
            </w:r>
            <w:r w:rsidRPr="00BE6128">
              <w:rPr>
                <w:rFonts w:ascii="Times New Roman" w:hAnsi="Times New Roman" w:cs="Times New Roman"/>
                <w:color w:val="231F20"/>
                <w:sz w:val="24"/>
                <w:szCs w:val="24"/>
              </w:rPr>
              <w:t>CSF</w:t>
            </w:r>
            <w:r w:rsidRPr="00BE6128">
              <w:rPr>
                <w:rFonts w:ascii="Times New Roman" w:hAnsi="Times New Roman" w:cs="Times New Roman"/>
                <w:color w:val="231F20"/>
                <w:sz w:val="24"/>
                <w:szCs w:val="24"/>
                <w:lang w:val="ru-RU"/>
              </w:rPr>
              <w:t xml:space="preserve"> группа: Тонкий невосприимчивый эндометрий в предыдущих циклах</w:t>
            </w:r>
          </w:p>
        </w:tc>
        <w:tc>
          <w:tcPr>
            <w:tcW w:w="1559" w:type="dxa"/>
            <w:tcBorders>
              <w:bottom w:val="nil"/>
            </w:tcBorders>
          </w:tcPr>
          <w:p w14:paraId="32CB97D8" w14:textId="77777777" w:rsidR="00C11A77" w:rsidRPr="00BE6128" w:rsidRDefault="00C11A77" w:rsidP="00BE6128">
            <w:pPr>
              <w:pStyle w:val="TableParagraph"/>
              <w:spacing w:before="0"/>
              <w:ind w:left="175"/>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Borders>
              <w:bottom w:val="nil"/>
            </w:tcBorders>
          </w:tcPr>
          <w:p w14:paraId="478D0C57"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17.2%</w:t>
            </w:r>
          </w:p>
        </w:tc>
        <w:tc>
          <w:tcPr>
            <w:tcW w:w="2126" w:type="dxa"/>
            <w:tcBorders>
              <w:bottom w:val="nil"/>
            </w:tcBorders>
          </w:tcPr>
          <w:p w14:paraId="091F3B67"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6.9%</w:t>
            </w:r>
          </w:p>
        </w:tc>
      </w:tr>
    </w:tbl>
    <w:p w14:paraId="6814A33D" w14:textId="77777777" w:rsidR="00BE6128" w:rsidRDefault="00BE6128"/>
    <w:p w14:paraId="755FF7E7" w14:textId="7B447DD3" w:rsidR="001A5AC8" w:rsidRDefault="001A5AC8">
      <w:pPr>
        <w:rPr>
          <w:rFonts w:ascii="Times New Roman" w:hAnsi="Times New Roman" w:cs="Times New Roman"/>
          <w:sz w:val="28"/>
          <w:szCs w:val="28"/>
        </w:rPr>
      </w:pPr>
      <w:r w:rsidRPr="001A5AC8">
        <w:rPr>
          <w:rFonts w:ascii="Times New Roman" w:hAnsi="Times New Roman" w:cs="Times New Roman"/>
          <w:sz w:val="28"/>
          <w:szCs w:val="28"/>
        </w:rPr>
        <w:t xml:space="preserve">     </w:t>
      </w:r>
    </w:p>
    <w:p w14:paraId="0D9BF474" w14:textId="77777777" w:rsidR="0060156A" w:rsidRDefault="0060156A">
      <w:pPr>
        <w:rPr>
          <w:rFonts w:ascii="Times New Roman" w:hAnsi="Times New Roman" w:cs="Times New Roman"/>
          <w:sz w:val="28"/>
          <w:szCs w:val="28"/>
        </w:rPr>
      </w:pPr>
    </w:p>
    <w:p w14:paraId="7C28A6C8" w14:textId="2F4CF672" w:rsidR="00BE6128" w:rsidRDefault="00BE6128" w:rsidP="002635DA">
      <w:pPr>
        <w:spacing w:after="0" w:line="240" w:lineRule="auto"/>
        <w:rPr>
          <w:rFonts w:ascii="Times New Roman" w:hAnsi="Times New Roman" w:cs="Times New Roman"/>
          <w:sz w:val="28"/>
          <w:szCs w:val="28"/>
        </w:rPr>
      </w:pPr>
      <w:r w:rsidRPr="001A5AC8">
        <w:rPr>
          <w:rFonts w:ascii="Times New Roman" w:hAnsi="Times New Roman" w:cs="Times New Roman"/>
          <w:sz w:val="28"/>
          <w:szCs w:val="28"/>
        </w:rPr>
        <w:t>Продолжение таблицы 4</w:t>
      </w:r>
    </w:p>
    <w:p w14:paraId="369746F6" w14:textId="77777777" w:rsidR="002635DA" w:rsidRPr="001A5AC8" w:rsidRDefault="002635DA" w:rsidP="002635DA">
      <w:pPr>
        <w:spacing w:after="0" w:line="240" w:lineRule="auto"/>
        <w:rPr>
          <w:rFonts w:ascii="Times New Roman" w:hAnsi="Times New Roman" w:cs="Times New Roman"/>
          <w:sz w:val="28"/>
          <w:szCs w:val="28"/>
        </w:rPr>
      </w:pPr>
    </w:p>
    <w:tbl>
      <w:tblPr>
        <w:tblStyle w:val="TableNormal"/>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567"/>
        <w:gridCol w:w="1701"/>
        <w:gridCol w:w="1701"/>
        <w:gridCol w:w="3402"/>
        <w:gridCol w:w="1559"/>
        <w:gridCol w:w="1843"/>
        <w:gridCol w:w="2126"/>
      </w:tblGrid>
      <w:tr w:rsidR="001A5AC8" w:rsidRPr="00BE6128" w14:paraId="31089EFB" w14:textId="77777777" w:rsidTr="00C935AA">
        <w:trPr>
          <w:trHeight w:val="292"/>
        </w:trPr>
        <w:tc>
          <w:tcPr>
            <w:tcW w:w="709" w:type="dxa"/>
          </w:tcPr>
          <w:p w14:paraId="35C2289A" w14:textId="32C7BEAE" w:rsidR="001A5AC8" w:rsidRPr="001A5AC8" w:rsidRDefault="001A5AC8" w:rsidP="002635DA">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76" w:type="dxa"/>
          </w:tcPr>
          <w:p w14:paraId="749C7063" w14:textId="33EAD53B" w:rsidR="001A5AC8" w:rsidRPr="001A5AC8" w:rsidRDefault="001A5AC8" w:rsidP="002635DA">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67" w:type="dxa"/>
          </w:tcPr>
          <w:p w14:paraId="30907B01" w14:textId="5302FEDE" w:rsidR="001A5AC8" w:rsidRPr="001A5AC8" w:rsidRDefault="001A5AC8" w:rsidP="002635DA">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Pr>
          <w:p w14:paraId="31CBA4B7" w14:textId="34F85A99" w:rsidR="001A5AC8" w:rsidRPr="001A5AC8" w:rsidRDefault="001A5AC8" w:rsidP="002635DA">
            <w:pPr>
              <w:pStyle w:val="TableParagraph"/>
              <w:spacing w:before="0"/>
              <w:ind w:left="8" w:right="2"/>
              <w:jc w:val="center"/>
              <w:rPr>
                <w:rFonts w:ascii="Times New Roman" w:hAnsi="Times New Roman" w:cs="Times New Roman"/>
                <w:color w:val="231F20"/>
                <w:spacing w:val="-5"/>
                <w:w w:val="105"/>
                <w:sz w:val="24"/>
                <w:szCs w:val="24"/>
                <w:lang w:val="ru-RU"/>
              </w:rPr>
            </w:pPr>
            <w:r>
              <w:rPr>
                <w:rFonts w:ascii="Times New Roman" w:hAnsi="Times New Roman" w:cs="Times New Roman"/>
                <w:color w:val="231F20"/>
                <w:spacing w:val="-5"/>
                <w:w w:val="105"/>
                <w:sz w:val="24"/>
                <w:szCs w:val="24"/>
                <w:lang w:val="ru-RU"/>
              </w:rPr>
              <w:t>4</w:t>
            </w:r>
          </w:p>
        </w:tc>
        <w:tc>
          <w:tcPr>
            <w:tcW w:w="1701" w:type="dxa"/>
          </w:tcPr>
          <w:p w14:paraId="6C7AC1AA" w14:textId="36B87227" w:rsidR="001A5AC8" w:rsidRPr="001A5AC8" w:rsidRDefault="001A5AC8" w:rsidP="002635DA">
            <w:pPr>
              <w:pStyle w:val="TableParagraph"/>
              <w:spacing w:before="0"/>
              <w:ind w:left="8" w:right="4"/>
              <w:jc w:val="center"/>
              <w:rPr>
                <w:rFonts w:ascii="Times New Roman" w:hAnsi="Times New Roman" w:cs="Times New Roman"/>
                <w:color w:val="231F20"/>
                <w:spacing w:val="-2"/>
                <w:sz w:val="24"/>
                <w:szCs w:val="24"/>
                <w:lang w:val="ru-RU"/>
              </w:rPr>
            </w:pPr>
            <w:r>
              <w:rPr>
                <w:rFonts w:ascii="Times New Roman" w:hAnsi="Times New Roman" w:cs="Times New Roman"/>
                <w:color w:val="231F20"/>
                <w:spacing w:val="-2"/>
                <w:sz w:val="24"/>
                <w:szCs w:val="24"/>
                <w:lang w:val="ru-RU"/>
              </w:rPr>
              <w:t>5</w:t>
            </w:r>
          </w:p>
        </w:tc>
        <w:tc>
          <w:tcPr>
            <w:tcW w:w="3402" w:type="dxa"/>
          </w:tcPr>
          <w:p w14:paraId="3C649802" w14:textId="5D002273" w:rsidR="001A5AC8" w:rsidRPr="001A5AC8" w:rsidRDefault="001A5AC8" w:rsidP="002635DA">
            <w:pPr>
              <w:pStyle w:val="TableParagraph"/>
              <w:spacing w:before="0"/>
              <w:ind w:left="76"/>
              <w:jc w:val="center"/>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6</w:t>
            </w:r>
          </w:p>
        </w:tc>
        <w:tc>
          <w:tcPr>
            <w:tcW w:w="1559" w:type="dxa"/>
          </w:tcPr>
          <w:p w14:paraId="7A286B4D" w14:textId="69367F46" w:rsidR="001A5AC8" w:rsidRPr="001A5AC8" w:rsidRDefault="001A5AC8" w:rsidP="002635DA">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843" w:type="dxa"/>
          </w:tcPr>
          <w:p w14:paraId="7BA95C5C" w14:textId="6ABD970A" w:rsidR="001A5AC8" w:rsidRPr="001A5AC8" w:rsidRDefault="001A5AC8" w:rsidP="002635DA">
            <w:pPr>
              <w:pStyle w:val="TableParagraph"/>
              <w:spacing w:before="0"/>
              <w:jc w:val="center"/>
              <w:rPr>
                <w:rFonts w:ascii="Times New Roman" w:hAnsi="Times New Roman" w:cs="Times New Roman"/>
                <w:color w:val="231F20"/>
                <w:spacing w:val="-2"/>
                <w:sz w:val="24"/>
                <w:szCs w:val="24"/>
                <w:lang w:val="ru-RU"/>
              </w:rPr>
            </w:pPr>
            <w:r>
              <w:rPr>
                <w:rFonts w:ascii="Times New Roman" w:hAnsi="Times New Roman" w:cs="Times New Roman"/>
                <w:color w:val="231F20"/>
                <w:spacing w:val="-2"/>
                <w:sz w:val="24"/>
                <w:szCs w:val="24"/>
                <w:lang w:val="ru-RU"/>
              </w:rPr>
              <w:t>8</w:t>
            </w:r>
          </w:p>
        </w:tc>
        <w:tc>
          <w:tcPr>
            <w:tcW w:w="2126" w:type="dxa"/>
          </w:tcPr>
          <w:p w14:paraId="2B492B23" w14:textId="06584915" w:rsidR="001A5AC8" w:rsidRPr="001A5AC8" w:rsidRDefault="001A5AC8" w:rsidP="002635DA">
            <w:pPr>
              <w:pStyle w:val="TableParagraph"/>
              <w:spacing w:before="0"/>
              <w:jc w:val="center"/>
              <w:rPr>
                <w:rFonts w:ascii="Times New Roman" w:hAnsi="Times New Roman" w:cs="Times New Roman"/>
                <w:color w:val="231F20"/>
                <w:spacing w:val="-4"/>
                <w:sz w:val="24"/>
                <w:szCs w:val="24"/>
                <w:lang w:val="ru-RU"/>
              </w:rPr>
            </w:pPr>
            <w:r>
              <w:rPr>
                <w:rFonts w:ascii="Times New Roman" w:hAnsi="Times New Roman" w:cs="Times New Roman"/>
                <w:color w:val="231F20"/>
                <w:spacing w:val="-4"/>
                <w:sz w:val="24"/>
                <w:szCs w:val="24"/>
                <w:lang w:val="ru-RU"/>
              </w:rPr>
              <w:t>9</w:t>
            </w:r>
          </w:p>
        </w:tc>
      </w:tr>
      <w:tr w:rsidR="00BE6128" w:rsidRPr="00BE6128" w14:paraId="2144ADB2" w14:textId="77777777" w:rsidTr="00C935AA">
        <w:trPr>
          <w:trHeight w:val="722"/>
        </w:trPr>
        <w:tc>
          <w:tcPr>
            <w:tcW w:w="709" w:type="dxa"/>
          </w:tcPr>
          <w:p w14:paraId="5E683149" w14:textId="77777777" w:rsidR="00C11A77" w:rsidRPr="00BE6128" w:rsidRDefault="00C11A77" w:rsidP="002635DA">
            <w:pPr>
              <w:jc w:val="center"/>
              <w:rPr>
                <w:rFonts w:ascii="Times New Roman" w:hAnsi="Times New Roman" w:cs="Times New Roman"/>
                <w:sz w:val="24"/>
                <w:szCs w:val="24"/>
              </w:rPr>
            </w:pPr>
          </w:p>
        </w:tc>
        <w:tc>
          <w:tcPr>
            <w:tcW w:w="1276" w:type="dxa"/>
          </w:tcPr>
          <w:p w14:paraId="5E379DE0" w14:textId="77777777" w:rsidR="00C11A77" w:rsidRPr="00BE6128" w:rsidRDefault="00C11A77" w:rsidP="002635DA">
            <w:pPr>
              <w:jc w:val="center"/>
              <w:rPr>
                <w:rFonts w:ascii="Times New Roman" w:hAnsi="Times New Roman" w:cs="Times New Roman"/>
                <w:sz w:val="24"/>
                <w:szCs w:val="24"/>
              </w:rPr>
            </w:pPr>
          </w:p>
        </w:tc>
        <w:tc>
          <w:tcPr>
            <w:tcW w:w="567" w:type="dxa"/>
          </w:tcPr>
          <w:p w14:paraId="16B08AD8" w14:textId="77777777" w:rsidR="00C11A77" w:rsidRPr="00BE6128" w:rsidRDefault="00C11A77" w:rsidP="002635DA">
            <w:pPr>
              <w:jc w:val="center"/>
              <w:rPr>
                <w:rFonts w:ascii="Times New Roman" w:hAnsi="Times New Roman" w:cs="Times New Roman"/>
                <w:sz w:val="24"/>
                <w:szCs w:val="24"/>
              </w:rPr>
            </w:pPr>
          </w:p>
        </w:tc>
        <w:tc>
          <w:tcPr>
            <w:tcW w:w="1701" w:type="dxa"/>
          </w:tcPr>
          <w:p w14:paraId="0DCB4C99" w14:textId="77777777" w:rsidR="00C11A77" w:rsidRPr="00BE6128" w:rsidRDefault="00C11A77" w:rsidP="002635DA">
            <w:pPr>
              <w:pStyle w:val="TableParagraph"/>
              <w:spacing w:before="0"/>
              <w:ind w:left="8" w:right="2"/>
              <w:jc w:val="center"/>
              <w:rPr>
                <w:rFonts w:ascii="Times New Roman" w:hAnsi="Times New Roman" w:cs="Times New Roman"/>
                <w:sz w:val="24"/>
                <w:szCs w:val="24"/>
              </w:rPr>
            </w:pPr>
            <w:r w:rsidRPr="00BE6128">
              <w:rPr>
                <w:rFonts w:ascii="Times New Roman" w:hAnsi="Times New Roman" w:cs="Times New Roman"/>
                <w:color w:val="231F20"/>
                <w:spacing w:val="-5"/>
                <w:w w:val="105"/>
                <w:sz w:val="24"/>
                <w:szCs w:val="24"/>
              </w:rPr>
              <w:t>N/A</w:t>
            </w:r>
          </w:p>
        </w:tc>
        <w:tc>
          <w:tcPr>
            <w:tcW w:w="1701" w:type="dxa"/>
          </w:tcPr>
          <w:p w14:paraId="4B46520A" w14:textId="77777777" w:rsidR="00C11A77" w:rsidRPr="00BE6128" w:rsidRDefault="00C11A77" w:rsidP="002635DA">
            <w:pPr>
              <w:pStyle w:val="TableParagraph"/>
              <w:spacing w:before="0"/>
              <w:ind w:left="8" w:right="4"/>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20.9±0.9</w:t>
            </w:r>
          </w:p>
        </w:tc>
        <w:tc>
          <w:tcPr>
            <w:tcW w:w="3402" w:type="dxa"/>
          </w:tcPr>
          <w:p w14:paraId="63C615E8" w14:textId="77777777" w:rsidR="00C11A77" w:rsidRPr="00BE6128" w:rsidRDefault="00C11A77" w:rsidP="002635DA">
            <w:pPr>
              <w:pStyle w:val="TableParagraph"/>
              <w:spacing w:before="0"/>
              <w:ind w:left="76"/>
              <w:jc w:val="center"/>
              <w:rPr>
                <w:rFonts w:ascii="Times New Roman" w:hAnsi="Times New Roman" w:cs="Times New Roman"/>
                <w:sz w:val="24"/>
                <w:szCs w:val="24"/>
                <w:lang w:val="ru-RU"/>
              </w:rPr>
            </w:pPr>
            <w:r w:rsidRPr="00BE6128">
              <w:rPr>
                <w:rFonts w:ascii="Times New Roman" w:hAnsi="Times New Roman" w:cs="Times New Roman"/>
                <w:color w:val="231F20"/>
                <w:sz w:val="24"/>
                <w:szCs w:val="24"/>
              </w:rPr>
              <w:t>FET</w:t>
            </w:r>
            <w:r w:rsidRPr="00BE6128">
              <w:rPr>
                <w:rFonts w:ascii="Times New Roman" w:hAnsi="Times New Roman" w:cs="Times New Roman"/>
                <w:color w:val="231F20"/>
                <w:sz w:val="24"/>
                <w:szCs w:val="24"/>
                <w:lang w:val="ru-RU"/>
              </w:rPr>
              <w:t>: Нет группы лечения: Тонкий нереагирующий эндометрий в предыдущих циклах</w:t>
            </w:r>
          </w:p>
        </w:tc>
        <w:tc>
          <w:tcPr>
            <w:tcW w:w="1559" w:type="dxa"/>
          </w:tcPr>
          <w:p w14:paraId="41436209" w14:textId="77777777" w:rsidR="00C11A77" w:rsidRPr="00BE6128" w:rsidRDefault="00C11A77" w:rsidP="002635DA">
            <w:pPr>
              <w:jc w:val="center"/>
              <w:rPr>
                <w:rFonts w:ascii="Times New Roman" w:hAnsi="Times New Roman" w:cs="Times New Roman"/>
                <w:sz w:val="24"/>
                <w:szCs w:val="24"/>
                <w:lang w:val="ru-RU"/>
              </w:rPr>
            </w:pPr>
          </w:p>
        </w:tc>
        <w:tc>
          <w:tcPr>
            <w:tcW w:w="1843" w:type="dxa"/>
          </w:tcPr>
          <w:p w14:paraId="5114DDAB" w14:textId="77777777" w:rsidR="00C11A77" w:rsidRPr="00BE6128" w:rsidRDefault="00C11A77" w:rsidP="002635DA">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15.2%</w:t>
            </w:r>
          </w:p>
        </w:tc>
        <w:tc>
          <w:tcPr>
            <w:tcW w:w="2126" w:type="dxa"/>
          </w:tcPr>
          <w:p w14:paraId="2888C044" w14:textId="77777777" w:rsidR="00C11A77" w:rsidRPr="00BE6128" w:rsidRDefault="00C11A77" w:rsidP="002635DA">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6.1%</w:t>
            </w:r>
          </w:p>
        </w:tc>
      </w:tr>
      <w:tr w:rsidR="00BE6128" w:rsidRPr="00BE6128" w14:paraId="79713339" w14:textId="77777777" w:rsidTr="00C935AA">
        <w:trPr>
          <w:trHeight w:val="282"/>
        </w:trPr>
        <w:tc>
          <w:tcPr>
            <w:tcW w:w="709" w:type="dxa"/>
            <w:vMerge w:val="restart"/>
          </w:tcPr>
          <w:p w14:paraId="62C859F5" w14:textId="77777777" w:rsidR="00C11A77" w:rsidRPr="00BE6128" w:rsidRDefault="00C11A77" w:rsidP="002635DA">
            <w:pPr>
              <w:pStyle w:val="TableParagraph"/>
              <w:spacing w:before="0"/>
              <w:ind w:left="170"/>
              <w:jc w:val="center"/>
              <w:rPr>
                <w:rFonts w:ascii="Times New Roman" w:hAnsi="Times New Roman" w:cs="Times New Roman"/>
                <w:sz w:val="24"/>
                <w:szCs w:val="24"/>
              </w:rPr>
            </w:pPr>
            <w:r w:rsidRPr="00BE6128">
              <w:rPr>
                <w:rFonts w:ascii="Times New Roman" w:hAnsi="Times New Roman" w:cs="Times New Roman"/>
                <w:color w:val="231F20"/>
                <w:spacing w:val="-10"/>
                <w:sz w:val="24"/>
                <w:szCs w:val="24"/>
              </w:rPr>
              <w:t>5</w:t>
            </w:r>
          </w:p>
        </w:tc>
        <w:tc>
          <w:tcPr>
            <w:tcW w:w="1276" w:type="dxa"/>
            <w:vMerge w:val="restart"/>
          </w:tcPr>
          <w:p w14:paraId="3B2FF31B" w14:textId="7323C3F6" w:rsidR="00C11A77" w:rsidRPr="00C935AA" w:rsidRDefault="00C11A77" w:rsidP="002635DA">
            <w:pPr>
              <w:pStyle w:val="TableParagraph"/>
              <w:spacing w:before="0"/>
              <w:ind w:left="79"/>
              <w:jc w:val="center"/>
              <w:rPr>
                <w:rFonts w:ascii="Times New Roman" w:hAnsi="Times New Roman" w:cs="Times New Roman"/>
                <w:sz w:val="24"/>
                <w:szCs w:val="24"/>
                <w:lang w:val="ru-RU"/>
              </w:rPr>
            </w:pPr>
            <w:r w:rsidRPr="00C935AA">
              <w:rPr>
                <w:rFonts w:ascii="Times New Roman" w:hAnsi="Times New Roman" w:cs="Times New Roman"/>
                <w:color w:val="231F20"/>
                <w:spacing w:val="-2"/>
                <w:sz w:val="24"/>
                <w:szCs w:val="24"/>
              </w:rPr>
              <w:t>Zheng</w:t>
            </w:r>
            <w:r w:rsidRPr="00C935AA">
              <w:rPr>
                <w:rFonts w:ascii="Times New Roman" w:hAnsi="Times New Roman" w:cs="Times New Roman"/>
                <w:color w:val="231F20"/>
                <w:spacing w:val="-8"/>
                <w:sz w:val="24"/>
                <w:szCs w:val="24"/>
              </w:rPr>
              <w:t xml:space="preserve"> </w:t>
            </w:r>
            <w:r w:rsidRPr="00C935AA">
              <w:rPr>
                <w:rFonts w:ascii="Times New Roman" w:hAnsi="Times New Roman" w:cs="Times New Roman"/>
                <w:color w:val="231F20"/>
                <w:spacing w:val="-2"/>
                <w:sz w:val="24"/>
                <w:szCs w:val="24"/>
              </w:rPr>
              <w:t>et</w:t>
            </w:r>
            <w:r w:rsidRPr="00C935AA">
              <w:rPr>
                <w:rFonts w:ascii="Times New Roman" w:hAnsi="Times New Roman" w:cs="Times New Roman"/>
                <w:color w:val="231F20"/>
                <w:spacing w:val="-8"/>
                <w:sz w:val="24"/>
                <w:szCs w:val="24"/>
              </w:rPr>
              <w:t xml:space="preserve"> </w:t>
            </w:r>
            <w:r w:rsidRPr="00C935AA">
              <w:rPr>
                <w:rFonts w:ascii="Times New Roman" w:hAnsi="Times New Roman" w:cs="Times New Roman"/>
                <w:color w:val="231F20"/>
                <w:spacing w:val="-2"/>
                <w:sz w:val="24"/>
                <w:szCs w:val="24"/>
              </w:rPr>
              <w:t>al.,</w:t>
            </w:r>
            <w:r w:rsidRPr="00C935AA">
              <w:rPr>
                <w:rFonts w:ascii="Times New Roman" w:hAnsi="Times New Roman" w:cs="Times New Roman"/>
                <w:color w:val="231F20"/>
                <w:spacing w:val="-8"/>
                <w:sz w:val="24"/>
                <w:szCs w:val="24"/>
              </w:rPr>
              <w:t xml:space="preserve"> </w:t>
            </w:r>
            <w:r w:rsidR="009D681C" w:rsidRPr="00C935AA">
              <w:rPr>
                <w:rFonts w:ascii="Times New Roman" w:hAnsi="Times New Roman" w:cs="Times New Roman"/>
                <w:color w:val="231F20"/>
                <w:spacing w:val="-2"/>
                <w:sz w:val="24"/>
                <w:szCs w:val="24"/>
              </w:rPr>
              <w:fldChar w:fldCharType="begin" w:fldLock="1"/>
            </w:r>
            <w:r w:rsidR="008C6800" w:rsidRPr="00C935AA">
              <w:rPr>
                <w:rFonts w:ascii="Times New Roman" w:hAnsi="Times New Roman" w:cs="Times New Roman"/>
                <w:color w:val="231F20"/>
                <w:spacing w:val="-2"/>
                <w:sz w:val="24"/>
                <w:szCs w:val="24"/>
              </w:rPr>
              <w:instrText>ADDIN CSL_CITATION {"citationItems":[{"id":"ITEM-1","itemData":{"DOI":"10.1016/j.rbmo.2017.08.016","ISSN":"14726491","PMID":"29102427","abstract":"Repeated cryopreservation of surplus embryos from frozen-thawed cycles should occasionally be considered. The purpose of this retrospective cohort study was to evaluate the pregnancy and perinatal outcome of repeated cryopreservation by vitrification of human blastocysts derived from slowly frozen-thawed day 3 embryos. In total, 571 vitrified-warmed blastocyst transfer cycles were investigated. The vitrified-warmed blastocysts were derived from slowly frozen-thawed cleavage embryos (twice-cryopreserved group) or fresh embryos (control group) cultured to the blastocyst stage. Age, body mass index, endometrial thickness, blastocyst developmental rate and number of embryos transferred were not significantly different between twice-cryopreserved and control groups. Clinical pregnancy and implantation rates were also similar. Compared with controls, the miscarriage rate was significantly higher in the twice-cryopreserved group (33.93% versus 19.07%, P = 0.017). This resulted in a significantly lower live birth rate in the twice-cryopreserved group than in controls (29.13% versus 39.18, P = 0.038). No differences were observed in mean gestational age, birthweight and sex ratio of newborns between groups. In conclusion, acceptable clinical pregnancy outcomes may be expected from transfer of twice-cryopreserved human embryos. While the neonatal outcome is not affected, the correlation between the risk of higher pregnancy loss and repeated cryopreservation needs further investigation.","author":[{"dropping-particle":"","family":"Zheng","given":"Xiaoying","non-dropping-particle":"","parse-names":false,"suffix":""},{"dropping-particle":"","family":"Chen","given":"Yuan","non-dropping-particle":"","parse-names":false,"suffix":""},{"dropping-particle":"","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Yan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Jie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Wu</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Yuqi</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Zhuang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Xinjie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Lin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Shengli</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Zhu</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Jinliang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Lian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Ying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Qiao</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Jie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Liu</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container</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title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Reproductive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BioMedicine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Online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id</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ITEM</w:instrText>
            </w:r>
            <w:r w:rsidR="008C6800" w:rsidRPr="00C935AA">
              <w:rPr>
                <w:rFonts w:ascii="Times New Roman" w:hAnsi="Times New Roman" w:cs="Times New Roman"/>
                <w:color w:val="231F20"/>
                <w:spacing w:val="-2"/>
                <w:sz w:val="24"/>
                <w:szCs w:val="24"/>
                <w:lang w:val="ru-RU"/>
              </w:rPr>
              <w:instrText>-1","</w:instrText>
            </w:r>
            <w:r w:rsidR="008C6800" w:rsidRPr="00C935AA">
              <w:rPr>
                <w:rFonts w:ascii="Times New Roman" w:hAnsi="Times New Roman" w:cs="Times New Roman"/>
                <w:color w:val="231F20"/>
                <w:spacing w:val="-2"/>
                <w:sz w:val="24"/>
                <w:szCs w:val="24"/>
              </w:rPr>
              <w:instrText>issue</w:instrText>
            </w:r>
            <w:r w:rsidR="008C6800" w:rsidRPr="00C935AA">
              <w:rPr>
                <w:rFonts w:ascii="Times New Roman" w:hAnsi="Times New Roman" w:cs="Times New Roman"/>
                <w:color w:val="231F20"/>
                <w:spacing w:val="-2"/>
                <w:sz w:val="24"/>
                <w:szCs w:val="24"/>
                <w:lang w:val="ru-RU"/>
              </w:rPr>
              <w:instrText>":"6","</w:instrText>
            </w:r>
            <w:r w:rsidR="008C6800" w:rsidRPr="00C935AA">
              <w:rPr>
                <w:rFonts w:ascii="Times New Roman" w:hAnsi="Times New Roman" w:cs="Times New Roman"/>
                <w:color w:val="231F20"/>
                <w:spacing w:val="-2"/>
                <w:sz w:val="24"/>
                <w:szCs w:val="24"/>
              </w:rPr>
              <w:instrText>issued</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date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parts</w:instrText>
            </w:r>
            <w:r w:rsidR="008C6800" w:rsidRPr="00C935AA">
              <w:rPr>
                <w:rFonts w:ascii="Times New Roman" w:hAnsi="Times New Roman" w:cs="Times New Roman"/>
                <w:color w:val="231F20"/>
                <w:spacing w:val="-2"/>
                <w:sz w:val="24"/>
                <w:szCs w:val="24"/>
                <w:lang w:val="ru-RU"/>
              </w:rPr>
              <w:instrText>":[["2017"]]},"</w:instrText>
            </w:r>
            <w:r w:rsidR="008C6800" w:rsidRPr="00C935AA">
              <w:rPr>
                <w:rFonts w:ascii="Times New Roman" w:hAnsi="Times New Roman" w:cs="Times New Roman"/>
                <w:color w:val="231F20"/>
                <w:spacing w:val="-2"/>
                <w:sz w:val="24"/>
                <w:szCs w:val="24"/>
              </w:rPr>
              <w:instrText>page</w:instrText>
            </w:r>
            <w:r w:rsidR="008C6800" w:rsidRPr="00C935AA">
              <w:rPr>
                <w:rFonts w:ascii="Times New Roman" w:hAnsi="Times New Roman" w:cs="Times New Roman"/>
                <w:color w:val="231F20"/>
                <w:spacing w:val="-2"/>
                <w:sz w:val="24"/>
                <w:szCs w:val="24"/>
                <w:lang w:val="ru-RU"/>
              </w:rPr>
              <w:instrText>":"627-632","</w:instrText>
            </w:r>
            <w:r w:rsidR="008C6800" w:rsidRPr="00C935AA">
              <w:rPr>
                <w:rFonts w:ascii="Times New Roman" w:hAnsi="Times New Roman" w:cs="Times New Roman"/>
                <w:color w:val="231F20"/>
                <w:spacing w:val="-2"/>
                <w:sz w:val="24"/>
                <w:szCs w:val="24"/>
              </w:rPr>
              <w:instrText>publisher</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Elsevier</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Ltd</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title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Effect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repeated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cryopreservation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human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embryo</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developmental</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potential</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type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journal</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volume</w:instrText>
            </w:r>
            <w:r w:rsidR="008C6800" w:rsidRPr="00C935AA">
              <w:rPr>
                <w:rFonts w:ascii="Times New Roman" w:hAnsi="Times New Roman" w:cs="Times New Roman"/>
                <w:color w:val="231F20"/>
                <w:spacing w:val="-2"/>
                <w:sz w:val="24"/>
                <w:szCs w:val="24"/>
                <w:lang w:val="ru-RU"/>
              </w:rPr>
              <w:instrText>":"35"},"</w:instrText>
            </w:r>
            <w:r w:rsidR="008C6800" w:rsidRPr="00C935AA">
              <w:rPr>
                <w:rFonts w:ascii="Times New Roman" w:hAnsi="Times New Roman" w:cs="Times New Roman"/>
                <w:color w:val="231F20"/>
                <w:spacing w:val="-2"/>
                <w:sz w:val="24"/>
                <w:szCs w:val="24"/>
              </w:rPr>
              <w:instrText>uris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http</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www</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mendeley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com</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documents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uuid</w:instrText>
            </w:r>
            <w:r w:rsidR="008C6800" w:rsidRPr="00C935AA">
              <w:rPr>
                <w:rFonts w:ascii="Times New Roman" w:hAnsi="Times New Roman" w:cs="Times New Roman"/>
                <w:color w:val="231F20"/>
                <w:spacing w:val="-2"/>
                <w:sz w:val="24"/>
                <w:szCs w:val="24"/>
                <w:lang w:val="ru-RU"/>
              </w:rPr>
              <w:instrText>=51</w:instrText>
            </w:r>
            <w:r w:rsidR="008C6800" w:rsidRPr="00C935AA">
              <w:rPr>
                <w:rFonts w:ascii="Times New Roman" w:hAnsi="Times New Roman" w:cs="Times New Roman"/>
                <w:color w:val="231F20"/>
                <w:spacing w:val="-2"/>
                <w:sz w:val="24"/>
                <w:szCs w:val="24"/>
              </w:rPr>
              <w:instrText>cef</w:instrText>
            </w:r>
            <w:r w:rsidR="008C6800" w:rsidRPr="00C935AA">
              <w:rPr>
                <w:rFonts w:ascii="Times New Roman" w:hAnsi="Times New Roman" w:cs="Times New Roman"/>
                <w:color w:val="231F20"/>
                <w:spacing w:val="-2"/>
                <w:sz w:val="24"/>
                <w:szCs w:val="24"/>
                <w:lang w:val="ru-RU"/>
              </w:rPr>
              <w:instrText>88</w:instrText>
            </w:r>
            <w:r w:rsidR="008C6800" w:rsidRPr="00C935AA">
              <w:rPr>
                <w:rFonts w:ascii="Times New Roman" w:hAnsi="Times New Roman" w:cs="Times New Roman"/>
                <w:color w:val="231F20"/>
                <w:spacing w:val="-2"/>
                <w:sz w:val="24"/>
                <w:szCs w:val="24"/>
              </w:rPr>
              <w:instrText>b</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eddf</w:instrText>
            </w:r>
            <w:r w:rsidR="008C6800" w:rsidRPr="00C935AA">
              <w:rPr>
                <w:rFonts w:ascii="Times New Roman" w:hAnsi="Times New Roman" w:cs="Times New Roman"/>
                <w:color w:val="231F20"/>
                <w:spacing w:val="-2"/>
                <w:sz w:val="24"/>
                <w:szCs w:val="24"/>
                <w:lang w:val="ru-RU"/>
              </w:rPr>
              <w:instrText>-4</w:instrText>
            </w:r>
            <w:r w:rsidR="008C6800" w:rsidRPr="00C935AA">
              <w:rPr>
                <w:rFonts w:ascii="Times New Roman" w:hAnsi="Times New Roman" w:cs="Times New Roman"/>
                <w:color w:val="231F20"/>
                <w:spacing w:val="-2"/>
                <w:sz w:val="24"/>
                <w:szCs w:val="24"/>
              </w:rPr>
              <w:instrText>d</w:instrText>
            </w:r>
            <w:r w:rsidR="008C6800" w:rsidRPr="00C935AA">
              <w:rPr>
                <w:rFonts w:ascii="Times New Roman" w:hAnsi="Times New Roman" w:cs="Times New Roman"/>
                <w:color w:val="231F20"/>
                <w:spacing w:val="-2"/>
                <w:sz w:val="24"/>
                <w:szCs w:val="24"/>
                <w:lang w:val="ru-RU"/>
              </w:rPr>
              <w:instrText>8</w:instrText>
            </w:r>
            <w:r w:rsidR="008C6800" w:rsidRPr="00C935AA">
              <w:rPr>
                <w:rFonts w:ascii="Times New Roman" w:hAnsi="Times New Roman" w:cs="Times New Roman"/>
                <w:color w:val="231F20"/>
                <w:spacing w:val="-2"/>
                <w:sz w:val="24"/>
                <w:szCs w:val="24"/>
              </w:rPr>
              <w:instrText>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aa</w:instrText>
            </w:r>
            <w:r w:rsidR="008C6800" w:rsidRPr="00C935AA">
              <w:rPr>
                <w:rFonts w:ascii="Times New Roman" w:hAnsi="Times New Roman" w:cs="Times New Roman"/>
                <w:color w:val="231F20"/>
                <w:spacing w:val="-2"/>
                <w:sz w:val="24"/>
                <w:szCs w:val="24"/>
                <w:lang w:val="ru-RU"/>
              </w:rPr>
              <w:instrText>3</w:instrText>
            </w:r>
            <w:r w:rsidR="008C6800" w:rsidRPr="00C935AA">
              <w:rPr>
                <w:rFonts w:ascii="Times New Roman" w:hAnsi="Times New Roman" w:cs="Times New Roman"/>
                <w:color w:val="231F20"/>
                <w:spacing w:val="-2"/>
                <w:sz w:val="24"/>
                <w:szCs w:val="24"/>
              </w:rPr>
              <w:instrText>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w:instrText>
            </w:r>
            <w:r w:rsidR="008C6800" w:rsidRPr="00C935AA">
              <w:rPr>
                <w:rFonts w:ascii="Times New Roman" w:hAnsi="Times New Roman" w:cs="Times New Roman"/>
                <w:color w:val="231F20"/>
                <w:spacing w:val="-2"/>
                <w:sz w:val="24"/>
                <w:szCs w:val="24"/>
                <w:lang w:val="ru-RU"/>
              </w:rPr>
              <w:instrText>1</w:instrText>
            </w:r>
            <w:r w:rsidR="008C6800" w:rsidRPr="00C935AA">
              <w:rPr>
                <w:rFonts w:ascii="Times New Roman" w:hAnsi="Times New Roman" w:cs="Times New Roman"/>
                <w:color w:val="231F20"/>
                <w:spacing w:val="-2"/>
                <w:sz w:val="24"/>
                <w:szCs w:val="24"/>
              </w:rPr>
              <w:instrText>ede</w:instrText>
            </w:r>
            <w:r w:rsidR="008C6800" w:rsidRPr="00C935AA">
              <w:rPr>
                <w:rFonts w:ascii="Times New Roman" w:hAnsi="Times New Roman" w:cs="Times New Roman"/>
                <w:color w:val="231F20"/>
                <w:spacing w:val="-2"/>
                <w:sz w:val="24"/>
                <w:szCs w:val="24"/>
                <w:lang w:val="ru-RU"/>
              </w:rPr>
              <w:instrText>290</w:instrText>
            </w:r>
            <w:r w:rsidR="008C6800" w:rsidRPr="00C935AA">
              <w:rPr>
                <w:rFonts w:ascii="Times New Roman" w:hAnsi="Times New Roman" w:cs="Times New Roman"/>
                <w:color w:val="231F20"/>
                <w:spacing w:val="-2"/>
                <w:sz w:val="24"/>
                <w:szCs w:val="24"/>
              </w:rPr>
              <w:instrText>ffb</w:instrText>
            </w:r>
            <w:r w:rsidR="008C6800" w:rsidRPr="00C935AA">
              <w:rPr>
                <w:rFonts w:ascii="Times New Roman" w:hAnsi="Times New Roman" w:cs="Times New Roman"/>
                <w:color w:val="231F20"/>
                <w:spacing w:val="-2"/>
                <w:sz w:val="24"/>
                <w:szCs w:val="24"/>
                <w:lang w:val="ru-RU"/>
              </w:rPr>
              <w:instrText>8"]}],"</w:instrText>
            </w:r>
            <w:r w:rsidR="008C6800" w:rsidRPr="00C935AA">
              <w:rPr>
                <w:rFonts w:ascii="Times New Roman" w:hAnsi="Times New Roman" w:cs="Times New Roman"/>
                <w:color w:val="231F20"/>
                <w:spacing w:val="-2"/>
                <w:sz w:val="24"/>
                <w:szCs w:val="24"/>
              </w:rPr>
              <w:instrText>mendeley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formattedCitation</w:instrText>
            </w:r>
            <w:r w:rsidR="008C6800" w:rsidRPr="00C935AA">
              <w:rPr>
                <w:rFonts w:ascii="Times New Roman" w:hAnsi="Times New Roman" w:cs="Times New Roman"/>
                <w:color w:val="231F20"/>
                <w:spacing w:val="-2"/>
                <w:sz w:val="24"/>
                <w:szCs w:val="24"/>
                <w:lang w:val="ru-RU"/>
              </w:rPr>
              <w:instrText>":"[115]","</w:instrText>
            </w:r>
            <w:r w:rsidR="008C6800" w:rsidRPr="00C935AA">
              <w:rPr>
                <w:rFonts w:ascii="Times New Roman" w:hAnsi="Times New Roman" w:cs="Times New Roman"/>
                <w:color w:val="231F20"/>
                <w:spacing w:val="-2"/>
                <w:sz w:val="24"/>
                <w:szCs w:val="24"/>
              </w:rPr>
              <w:instrText>plainTextFormattedCitation</w:instrText>
            </w:r>
            <w:r w:rsidR="008C6800" w:rsidRPr="00C935AA">
              <w:rPr>
                <w:rFonts w:ascii="Times New Roman" w:hAnsi="Times New Roman" w:cs="Times New Roman"/>
                <w:color w:val="231F20"/>
                <w:spacing w:val="-2"/>
                <w:sz w:val="24"/>
                <w:szCs w:val="24"/>
                <w:lang w:val="ru-RU"/>
              </w:rPr>
              <w:instrText>":"[115]","</w:instrText>
            </w:r>
            <w:r w:rsidR="008C6800" w:rsidRPr="00C935AA">
              <w:rPr>
                <w:rFonts w:ascii="Times New Roman" w:hAnsi="Times New Roman" w:cs="Times New Roman"/>
                <w:color w:val="231F20"/>
                <w:spacing w:val="-2"/>
                <w:sz w:val="24"/>
                <w:szCs w:val="24"/>
              </w:rPr>
              <w:instrText>previouslyFormattedCitation</w:instrText>
            </w:r>
            <w:r w:rsidR="008C6800" w:rsidRPr="00C935AA">
              <w:rPr>
                <w:rFonts w:ascii="Times New Roman" w:hAnsi="Times New Roman" w:cs="Times New Roman"/>
                <w:color w:val="231F20"/>
                <w:spacing w:val="-2"/>
                <w:sz w:val="24"/>
                <w:szCs w:val="24"/>
                <w:lang w:val="ru-RU"/>
              </w:rPr>
              <w:instrText>":"(115)"},"</w:instrText>
            </w:r>
            <w:r w:rsidR="008C6800" w:rsidRPr="00C935AA">
              <w:rPr>
                <w:rFonts w:ascii="Times New Roman" w:hAnsi="Times New Roman" w:cs="Times New Roman"/>
                <w:color w:val="231F20"/>
                <w:spacing w:val="-2"/>
                <w:sz w:val="24"/>
                <w:szCs w:val="24"/>
              </w:rPr>
              <w:instrText>properties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noteIndex</w:instrText>
            </w:r>
            <w:r w:rsidR="008C6800" w:rsidRPr="00C935AA">
              <w:rPr>
                <w:rFonts w:ascii="Times New Roman" w:hAnsi="Times New Roman" w:cs="Times New Roman"/>
                <w:color w:val="231F20"/>
                <w:spacing w:val="-2"/>
                <w:sz w:val="24"/>
                <w:szCs w:val="24"/>
                <w:lang w:val="ru-RU"/>
              </w:rPr>
              <w:instrText>":0},"</w:instrText>
            </w:r>
            <w:r w:rsidR="008C6800" w:rsidRPr="00C935AA">
              <w:rPr>
                <w:rFonts w:ascii="Times New Roman" w:hAnsi="Times New Roman" w:cs="Times New Roman"/>
                <w:color w:val="231F20"/>
                <w:spacing w:val="-2"/>
                <w:sz w:val="24"/>
                <w:szCs w:val="24"/>
              </w:rPr>
              <w:instrText>schema</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https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github</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com</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citation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style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language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schema</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raw</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master</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csl</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citation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json</w:instrText>
            </w:r>
            <w:r w:rsidR="008C6800" w:rsidRPr="00C935AA">
              <w:rPr>
                <w:rFonts w:ascii="Times New Roman" w:hAnsi="Times New Roman" w:cs="Times New Roman"/>
                <w:color w:val="231F20"/>
                <w:spacing w:val="-2"/>
                <w:sz w:val="24"/>
                <w:szCs w:val="24"/>
                <w:lang w:val="ru-RU"/>
              </w:rPr>
              <w:instrText>"}</w:instrText>
            </w:r>
            <w:r w:rsidR="009D681C" w:rsidRPr="00C935AA">
              <w:rPr>
                <w:rFonts w:ascii="Times New Roman" w:hAnsi="Times New Roman" w:cs="Times New Roman"/>
                <w:color w:val="231F20"/>
                <w:spacing w:val="-2"/>
                <w:sz w:val="24"/>
                <w:szCs w:val="24"/>
              </w:rPr>
              <w:fldChar w:fldCharType="separate"/>
            </w:r>
            <w:r w:rsidR="008C6800" w:rsidRPr="00C935AA">
              <w:rPr>
                <w:rFonts w:ascii="Times New Roman" w:hAnsi="Times New Roman" w:cs="Times New Roman"/>
                <w:noProof/>
                <w:color w:val="231F20"/>
                <w:spacing w:val="-2"/>
                <w:sz w:val="24"/>
                <w:szCs w:val="24"/>
                <w:lang w:val="ru-RU"/>
              </w:rPr>
              <w:t>[115]</w:t>
            </w:r>
            <w:r w:rsidR="009D681C" w:rsidRPr="00C935AA">
              <w:rPr>
                <w:rFonts w:ascii="Times New Roman" w:hAnsi="Times New Roman" w:cs="Times New Roman"/>
                <w:color w:val="231F20"/>
                <w:spacing w:val="-2"/>
                <w:sz w:val="24"/>
                <w:szCs w:val="24"/>
              </w:rPr>
              <w:fldChar w:fldCharType="end"/>
            </w:r>
            <w:r w:rsidRPr="00C935AA">
              <w:rPr>
                <w:rFonts w:ascii="Times New Roman" w:hAnsi="Times New Roman" w:cs="Times New Roman"/>
                <w:color w:val="231F20"/>
                <w:sz w:val="24"/>
                <w:szCs w:val="24"/>
                <w:lang w:val="ru-RU"/>
              </w:rPr>
              <w:t>2017,</w:t>
            </w:r>
            <w:r w:rsidRPr="00C935AA">
              <w:rPr>
                <w:rFonts w:ascii="Times New Roman" w:hAnsi="Times New Roman" w:cs="Times New Roman"/>
                <w:color w:val="231F20"/>
                <w:spacing w:val="-5"/>
                <w:sz w:val="24"/>
                <w:szCs w:val="24"/>
                <w:lang w:val="ru-RU"/>
              </w:rPr>
              <w:t xml:space="preserve"> </w:t>
            </w:r>
            <w:r w:rsidRPr="00C935AA">
              <w:rPr>
                <w:rFonts w:ascii="Times New Roman" w:hAnsi="Times New Roman" w:cs="Times New Roman"/>
                <w:color w:val="231F20"/>
                <w:sz w:val="24"/>
                <w:szCs w:val="24"/>
              </w:rPr>
              <w:t>China</w:t>
            </w:r>
          </w:p>
        </w:tc>
        <w:tc>
          <w:tcPr>
            <w:tcW w:w="567" w:type="dxa"/>
            <w:vMerge w:val="restart"/>
          </w:tcPr>
          <w:p w14:paraId="398E2A40" w14:textId="77777777" w:rsidR="00C11A77" w:rsidRPr="00BE6128" w:rsidRDefault="00C11A77" w:rsidP="002635DA">
            <w:pPr>
              <w:pStyle w:val="TableParagraph"/>
              <w:spacing w:before="0"/>
              <w:ind w:left="169"/>
              <w:jc w:val="center"/>
              <w:rPr>
                <w:rFonts w:ascii="Times New Roman" w:hAnsi="Times New Roman" w:cs="Times New Roman"/>
                <w:sz w:val="24"/>
                <w:szCs w:val="24"/>
                <w:lang w:val="ru-RU"/>
              </w:rPr>
            </w:pPr>
            <w:r w:rsidRPr="00BE6128">
              <w:rPr>
                <w:rFonts w:ascii="Times New Roman" w:hAnsi="Times New Roman" w:cs="Times New Roman"/>
                <w:color w:val="231F20"/>
                <w:spacing w:val="-5"/>
                <w:sz w:val="24"/>
                <w:szCs w:val="24"/>
                <w:lang w:val="ru-RU"/>
              </w:rPr>
              <w:t>571</w:t>
            </w:r>
          </w:p>
        </w:tc>
        <w:tc>
          <w:tcPr>
            <w:tcW w:w="1701" w:type="dxa"/>
          </w:tcPr>
          <w:p w14:paraId="1DF7B21E" w14:textId="77777777" w:rsidR="00C11A77" w:rsidRPr="00BE6128" w:rsidRDefault="00C11A77" w:rsidP="002635DA">
            <w:pPr>
              <w:pStyle w:val="TableParagraph"/>
              <w:spacing w:before="0"/>
              <w:ind w:left="8" w:right="3"/>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lang w:val="ru-RU"/>
              </w:rPr>
              <w:t>31.5±3.9</w:t>
            </w:r>
          </w:p>
        </w:tc>
        <w:tc>
          <w:tcPr>
            <w:tcW w:w="1701" w:type="dxa"/>
          </w:tcPr>
          <w:p w14:paraId="4278ECB5" w14:textId="77777777" w:rsidR="00C11A77" w:rsidRPr="00BE6128" w:rsidRDefault="00C11A77" w:rsidP="002635DA">
            <w:pPr>
              <w:pStyle w:val="TableParagraph"/>
              <w:spacing w:before="0"/>
              <w:ind w:left="8" w:right="4"/>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lang w:val="ru-RU"/>
              </w:rPr>
              <w:t>21.5±2.7</w:t>
            </w:r>
          </w:p>
        </w:tc>
        <w:tc>
          <w:tcPr>
            <w:tcW w:w="3402" w:type="dxa"/>
          </w:tcPr>
          <w:p w14:paraId="341DC45B" w14:textId="77777777" w:rsidR="00C11A77" w:rsidRPr="00BE6128" w:rsidRDefault="00C11A77" w:rsidP="002635DA">
            <w:pPr>
              <w:pStyle w:val="TableParagraph"/>
              <w:spacing w:before="0"/>
              <w:ind w:left="76"/>
              <w:jc w:val="center"/>
              <w:rPr>
                <w:rFonts w:ascii="Times New Roman" w:hAnsi="Times New Roman" w:cs="Times New Roman"/>
                <w:sz w:val="24"/>
                <w:szCs w:val="24"/>
                <w:lang w:val="ru-RU"/>
              </w:rPr>
            </w:pPr>
            <w:r w:rsidRPr="00BE6128">
              <w:rPr>
                <w:rFonts w:ascii="Times New Roman" w:hAnsi="Times New Roman" w:cs="Times New Roman"/>
                <w:color w:val="231F20"/>
                <w:w w:val="105"/>
                <w:sz w:val="24"/>
                <w:szCs w:val="24"/>
              </w:rPr>
              <w:t>FET</w:t>
            </w:r>
            <w:r w:rsidRPr="00BE6128">
              <w:rPr>
                <w:rFonts w:ascii="Times New Roman" w:hAnsi="Times New Roman" w:cs="Times New Roman"/>
                <w:color w:val="231F20"/>
                <w:w w:val="105"/>
                <w:sz w:val="24"/>
                <w:szCs w:val="24"/>
                <w:lang w:val="ru-RU"/>
              </w:rPr>
              <w:t>:</w:t>
            </w:r>
            <w:r w:rsidRPr="00BE6128">
              <w:rPr>
                <w:rFonts w:ascii="Times New Roman" w:hAnsi="Times New Roman" w:cs="Times New Roman"/>
                <w:color w:val="231F20"/>
                <w:spacing w:val="20"/>
                <w:w w:val="105"/>
                <w:sz w:val="24"/>
                <w:szCs w:val="24"/>
                <w:lang w:val="ru-RU"/>
              </w:rPr>
              <w:t xml:space="preserve"> </w:t>
            </w:r>
            <w:r w:rsidRPr="00BE6128">
              <w:rPr>
                <w:rFonts w:ascii="Times New Roman" w:hAnsi="Times New Roman" w:cs="Times New Roman"/>
                <w:color w:val="231F20"/>
                <w:w w:val="105"/>
                <w:sz w:val="24"/>
                <w:szCs w:val="24"/>
                <w:lang w:val="ru-RU"/>
              </w:rPr>
              <w:t>введение ХГЧ</w:t>
            </w:r>
          </w:p>
        </w:tc>
        <w:tc>
          <w:tcPr>
            <w:tcW w:w="1559" w:type="dxa"/>
          </w:tcPr>
          <w:p w14:paraId="7502A069" w14:textId="77777777" w:rsidR="00C11A77" w:rsidRPr="00BE6128" w:rsidRDefault="00C11A77" w:rsidP="002635DA">
            <w:pPr>
              <w:pStyle w:val="TableParagraph"/>
              <w:spacing w:before="0"/>
              <w:ind w:right="86"/>
              <w:jc w:val="center"/>
              <w:rPr>
                <w:rFonts w:ascii="Times New Roman" w:hAnsi="Times New Roman" w:cs="Times New Roman"/>
                <w:sz w:val="24"/>
                <w:szCs w:val="24"/>
                <w:lang w:val="ru-RU"/>
              </w:rPr>
            </w:pPr>
            <w:r w:rsidRPr="00BE6128">
              <w:rPr>
                <w:rFonts w:ascii="Times New Roman" w:hAnsi="Times New Roman" w:cs="Times New Roman"/>
                <w:color w:val="231F20"/>
                <w:spacing w:val="-5"/>
                <w:sz w:val="24"/>
                <w:szCs w:val="24"/>
                <w:lang w:val="ru-RU"/>
              </w:rPr>
              <w:t>&lt;10</w:t>
            </w:r>
          </w:p>
        </w:tc>
        <w:tc>
          <w:tcPr>
            <w:tcW w:w="1843" w:type="dxa"/>
          </w:tcPr>
          <w:p w14:paraId="00D0D5AF" w14:textId="77777777" w:rsidR="00C11A77" w:rsidRPr="00BE6128" w:rsidRDefault="00C11A77" w:rsidP="002635DA">
            <w:pPr>
              <w:pStyle w:val="TableParagraph"/>
              <w:spacing w:before="0"/>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lang w:val="ru-RU"/>
              </w:rPr>
              <w:t>48.2%</w:t>
            </w:r>
          </w:p>
        </w:tc>
        <w:tc>
          <w:tcPr>
            <w:tcW w:w="2126" w:type="dxa"/>
          </w:tcPr>
          <w:p w14:paraId="66A23FA9" w14:textId="77777777" w:rsidR="00C11A77" w:rsidRPr="00BE6128" w:rsidRDefault="00C11A77" w:rsidP="002635DA">
            <w:pPr>
              <w:pStyle w:val="TableParagraph"/>
              <w:spacing w:before="0"/>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lang w:val="ru-RU"/>
              </w:rPr>
              <w:t>39.2%</w:t>
            </w:r>
          </w:p>
        </w:tc>
      </w:tr>
      <w:tr w:rsidR="00BE6128" w:rsidRPr="00BE6128" w14:paraId="045DF94E" w14:textId="77777777" w:rsidTr="00C935AA">
        <w:trPr>
          <w:trHeight w:val="502"/>
        </w:trPr>
        <w:tc>
          <w:tcPr>
            <w:tcW w:w="709" w:type="dxa"/>
            <w:vMerge/>
          </w:tcPr>
          <w:p w14:paraId="06C70E8B" w14:textId="77777777" w:rsidR="00C11A77" w:rsidRPr="00BE6128" w:rsidRDefault="00C11A77" w:rsidP="00BE6128">
            <w:pPr>
              <w:jc w:val="center"/>
              <w:rPr>
                <w:rFonts w:ascii="Times New Roman" w:hAnsi="Times New Roman" w:cs="Times New Roman"/>
                <w:sz w:val="24"/>
                <w:szCs w:val="24"/>
                <w:lang w:val="ru-RU"/>
              </w:rPr>
            </w:pPr>
          </w:p>
        </w:tc>
        <w:tc>
          <w:tcPr>
            <w:tcW w:w="1276" w:type="dxa"/>
            <w:vMerge/>
          </w:tcPr>
          <w:p w14:paraId="1D858F4A" w14:textId="77777777" w:rsidR="00C11A77" w:rsidRPr="00C935AA" w:rsidRDefault="00C11A77" w:rsidP="00BE6128">
            <w:pPr>
              <w:jc w:val="center"/>
              <w:rPr>
                <w:rFonts w:ascii="Times New Roman" w:hAnsi="Times New Roman" w:cs="Times New Roman"/>
                <w:sz w:val="24"/>
                <w:szCs w:val="24"/>
                <w:lang w:val="ru-RU"/>
              </w:rPr>
            </w:pPr>
          </w:p>
        </w:tc>
        <w:tc>
          <w:tcPr>
            <w:tcW w:w="567" w:type="dxa"/>
            <w:vMerge/>
          </w:tcPr>
          <w:p w14:paraId="27D6C47B" w14:textId="77777777" w:rsidR="00C11A77" w:rsidRPr="00BE6128" w:rsidRDefault="00C11A77" w:rsidP="00BE6128">
            <w:pPr>
              <w:jc w:val="center"/>
              <w:rPr>
                <w:rFonts w:ascii="Times New Roman" w:hAnsi="Times New Roman" w:cs="Times New Roman"/>
                <w:sz w:val="24"/>
                <w:szCs w:val="24"/>
                <w:lang w:val="ru-RU"/>
              </w:rPr>
            </w:pPr>
          </w:p>
        </w:tc>
        <w:tc>
          <w:tcPr>
            <w:tcW w:w="1701" w:type="dxa"/>
          </w:tcPr>
          <w:p w14:paraId="753C57CE" w14:textId="77777777" w:rsidR="00C11A77" w:rsidRPr="00BE6128" w:rsidRDefault="00C11A77" w:rsidP="00BE6128">
            <w:pPr>
              <w:pStyle w:val="TableParagraph"/>
              <w:spacing w:before="0"/>
              <w:ind w:left="8" w:right="3"/>
              <w:jc w:val="center"/>
              <w:rPr>
                <w:rFonts w:ascii="Times New Roman" w:hAnsi="Times New Roman" w:cs="Times New Roman"/>
                <w:sz w:val="24"/>
                <w:szCs w:val="24"/>
                <w:lang w:val="ru-RU"/>
              </w:rPr>
            </w:pPr>
            <w:r w:rsidRPr="00BE6128">
              <w:rPr>
                <w:rFonts w:ascii="Times New Roman" w:hAnsi="Times New Roman" w:cs="Times New Roman"/>
                <w:color w:val="231F20"/>
                <w:spacing w:val="-5"/>
                <w:sz w:val="24"/>
                <w:szCs w:val="24"/>
                <w:lang w:val="ru-RU"/>
              </w:rPr>
              <w:t>31.6±</w:t>
            </w:r>
            <w:r w:rsidRPr="00BE6128">
              <w:rPr>
                <w:rFonts w:ascii="Times New Roman" w:hAnsi="Times New Roman" w:cs="Times New Roman"/>
                <w:color w:val="231F20"/>
                <w:spacing w:val="-3"/>
                <w:sz w:val="24"/>
                <w:szCs w:val="24"/>
                <w:lang w:val="ru-RU"/>
              </w:rPr>
              <w:t xml:space="preserve"> </w:t>
            </w:r>
            <w:r w:rsidRPr="00BE6128">
              <w:rPr>
                <w:rFonts w:ascii="Times New Roman" w:hAnsi="Times New Roman" w:cs="Times New Roman"/>
                <w:color w:val="231F20"/>
                <w:spacing w:val="-5"/>
                <w:sz w:val="24"/>
                <w:szCs w:val="24"/>
                <w:lang w:val="ru-RU"/>
              </w:rPr>
              <w:t>4.2</w:t>
            </w:r>
          </w:p>
        </w:tc>
        <w:tc>
          <w:tcPr>
            <w:tcW w:w="1701" w:type="dxa"/>
          </w:tcPr>
          <w:p w14:paraId="270171B9" w14:textId="77777777" w:rsidR="00C11A77" w:rsidRPr="00BE6128" w:rsidRDefault="00C11A77" w:rsidP="00BE6128">
            <w:pPr>
              <w:pStyle w:val="TableParagraph"/>
              <w:spacing w:before="0"/>
              <w:ind w:left="8" w:right="4"/>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lang w:val="ru-RU"/>
              </w:rPr>
              <w:t>21.9±2.6</w:t>
            </w:r>
          </w:p>
        </w:tc>
        <w:tc>
          <w:tcPr>
            <w:tcW w:w="3402" w:type="dxa"/>
          </w:tcPr>
          <w:p w14:paraId="7D7491A8" w14:textId="77777777" w:rsidR="00C11A77" w:rsidRPr="00BE6128" w:rsidRDefault="00C11A77" w:rsidP="00BE6128">
            <w:pPr>
              <w:pStyle w:val="TableParagraph"/>
              <w:spacing w:before="0"/>
              <w:ind w:left="76"/>
              <w:jc w:val="center"/>
              <w:rPr>
                <w:rFonts w:ascii="Times New Roman" w:hAnsi="Times New Roman" w:cs="Times New Roman"/>
                <w:sz w:val="24"/>
                <w:szCs w:val="24"/>
                <w:lang w:val="ru-RU"/>
              </w:rPr>
            </w:pPr>
            <w:r w:rsidRPr="00BE6128">
              <w:rPr>
                <w:rFonts w:ascii="Times New Roman" w:hAnsi="Times New Roman" w:cs="Times New Roman"/>
                <w:color w:val="231F20"/>
                <w:spacing w:val="-4"/>
                <w:sz w:val="24"/>
                <w:szCs w:val="24"/>
              </w:rPr>
              <w:t>FET</w:t>
            </w:r>
            <w:r w:rsidRPr="00BE6128">
              <w:rPr>
                <w:rFonts w:ascii="Times New Roman" w:hAnsi="Times New Roman" w:cs="Times New Roman"/>
                <w:color w:val="231F20"/>
                <w:spacing w:val="-4"/>
                <w:sz w:val="24"/>
                <w:szCs w:val="24"/>
                <w:lang w:val="ru-RU"/>
              </w:rPr>
              <w:t>:</w:t>
            </w:r>
            <w:r w:rsidRPr="00BE6128">
              <w:rPr>
                <w:rFonts w:ascii="Times New Roman" w:hAnsi="Times New Roman" w:cs="Times New Roman"/>
                <w:color w:val="231F20"/>
                <w:spacing w:val="-8"/>
                <w:sz w:val="24"/>
                <w:szCs w:val="24"/>
                <w:lang w:val="ru-RU"/>
              </w:rPr>
              <w:t xml:space="preserve">  </w:t>
            </w:r>
            <w:r w:rsidRPr="00BE6128">
              <w:rPr>
                <w:rFonts w:ascii="Times New Roman" w:hAnsi="Times New Roman" w:cs="Times New Roman"/>
                <w:color w:val="231F20"/>
                <w:spacing w:val="-4"/>
                <w:sz w:val="24"/>
                <w:szCs w:val="24"/>
                <w:lang w:val="ru-RU"/>
              </w:rPr>
              <w:t>Группа с двукратной криоконсервацией: введение ХГЧ</w:t>
            </w:r>
          </w:p>
        </w:tc>
        <w:tc>
          <w:tcPr>
            <w:tcW w:w="1559" w:type="dxa"/>
          </w:tcPr>
          <w:p w14:paraId="7C04D6DC" w14:textId="77777777" w:rsidR="00C11A77" w:rsidRPr="00BE6128" w:rsidRDefault="00C11A77" w:rsidP="00BE6128">
            <w:pPr>
              <w:pStyle w:val="TableParagraph"/>
              <w:spacing w:before="0"/>
              <w:jc w:val="center"/>
              <w:rPr>
                <w:rFonts w:ascii="Times New Roman" w:hAnsi="Times New Roman" w:cs="Times New Roman"/>
                <w:sz w:val="24"/>
                <w:szCs w:val="24"/>
                <w:lang w:val="ru-RU"/>
              </w:rPr>
            </w:pPr>
          </w:p>
        </w:tc>
        <w:tc>
          <w:tcPr>
            <w:tcW w:w="1843" w:type="dxa"/>
          </w:tcPr>
          <w:p w14:paraId="60B3A770" w14:textId="77777777" w:rsidR="00C11A77" w:rsidRPr="00BE6128" w:rsidRDefault="00C11A77" w:rsidP="00BE6128">
            <w:pPr>
              <w:pStyle w:val="TableParagraph"/>
              <w:spacing w:before="0"/>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lang w:val="ru-RU"/>
              </w:rPr>
              <w:t>44.1%</w:t>
            </w:r>
          </w:p>
        </w:tc>
        <w:tc>
          <w:tcPr>
            <w:tcW w:w="2126" w:type="dxa"/>
          </w:tcPr>
          <w:p w14:paraId="672B54B8" w14:textId="77777777" w:rsidR="00C11A77" w:rsidRPr="00BE6128" w:rsidRDefault="00C11A77" w:rsidP="00BE6128">
            <w:pPr>
              <w:pStyle w:val="TableParagraph"/>
              <w:spacing w:before="0"/>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lang w:val="ru-RU"/>
              </w:rPr>
              <w:t>29.1%</w:t>
            </w:r>
          </w:p>
        </w:tc>
      </w:tr>
      <w:tr w:rsidR="00BE6128" w:rsidRPr="00BE6128" w14:paraId="392D5ED3" w14:textId="77777777" w:rsidTr="00C935AA">
        <w:trPr>
          <w:trHeight w:val="722"/>
        </w:trPr>
        <w:tc>
          <w:tcPr>
            <w:tcW w:w="709" w:type="dxa"/>
          </w:tcPr>
          <w:p w14:paraId="2431CC60" w14:textId="77777777" w:rsidR="00C11A77" w:rsidRPr="00BE6128" w:rsidRDefault="00C11A77" w:rsidP="00BE6128">
            <w:pPr>
              <w:pStyle w:val="TableParagraph"/>
              <w:spacing w:before="0"/>
              <w:ind w:right="96"/>
              <w:jc w:val="center"/>
              <w:rPr>
                <w:rFonts w:ascii="Times New Roman" w:hAnsi="Times New Roman" w:cs="Times New Roman"/>
                <w:sz w:val="24"/>
                <w:szCs w:val="24"/>
                <w:lang w:val="ru-RU"/>
              </w:rPr>
            </w:pPr>
            <w:r w:rsidRPr="00BE6128">
              <w:rPr>
                <w:rFonts w:ascii="Times New Roman" w:hAnsi="Times New Roman" w:cs="Times New Roman"/>
                <w:color w:val="231F20"/>
                <w:spacing w:val="-10"/>
                <w:sz w:val="24"/>
                <w:szCs w:val="24"/>
                <w:lang w:val="ru-RU"/>
              </w:rPr>
              <w:t>6</w:t>
            </w:r>
          </w:p>
        </w:tc>
        <w:tc>
          <w:tcPr>
            <w:tcW w:w="1276" w:type="dxa"/>
          </w:tcPr>
          <w:p w14:paraId="257A4AB4" w14:textId="01664A2C" w:rsidR="00C11A77" w:rsidRPr="00C935AA" w:rsidRDefault="00C11A77" w:rsidP="00BE6128">
            <w:pPr>
              <w:pStyle w:val="TableParagraph"/>
              <w:spacing w:before="0"/>
              <w:ind w:left="79" w:right="349"/>
              <w:jc w:val="center"/>
              <w:rPr>
                <w:rFonts w:ascii="Times New Roman" w:hAnsi="Times New Roman" w:cs="Times New Roman"/>
                <w:sz w:val="24"/>
                <w:szCs w:val="24"/>
                <w:lang w:val="ru-RU"/>
              </w:rPr>
            </w:pPr>
            <w:r w:rsidRPr="00C935AA">
              <w:rPr>
                <w:rFonts w:ascii="Times New Roman" w:hAnsi="Times New Roman" w:cs="Times New Roman"/>
                <w:color w:val="231F20"/>
                <w:spacing w:val="-2"/>
                <w:sz w:val="24"/>
                <w:szCs w:val="24"/>
              </w:rPr>
              <w:t>Ke</w:t>
            </w:r>
            <w:r w:rsidRPr="00C935AA">
              <w:rPr>
                <w:rFonts w:ascii="Times New Roman" w:hAnsi="Times New Roman" w:cs="Times New Roman"/>
                <w:color w:val="231F20"/>
                <w:spacing w:val="-8"/>
                <w:sz w:val="24"/>
                <w:szCs w:val="24"/>
                <w:lang w:val="ru-RU"/>
              </w:rPr>
              <w:t xml:space="preserve"> </w:t>
            </w:r>
            <w:r w:rsidRPr="00C935AA">
              <w:rPr>
                <w:rFonts w:ascii="Times New Roman" w:hAnsi="Times New Roman" w:cs="Times New Roman"/>
                <w:color w:val="231F20"/>
                <w:spacing w:val="-2"/>
                <w:sz w:val="24"/>
                <w:szCs w:val="24"/>
              </w:rPr>
              <w:t>et</w:t>
            </w:r>
            <w:r w:rsidRPr="00C935AA">
              <w:rPr>
                <w:rFonts w:ascii="Times New Roman" w:hAnsi="Times New Roman" w:cs="Times New Roman"/>
                <w:color w:val="231F20"/>
                <w:spacing w:val="-8"/>
                <w:sz w:val="24"/>
                <w:szCs w:val="24"/>
                <w:lang w:val="ru-RU"/>
              </w:rPr>
              <w:t xml:space="preserve"> </w:t>
            </w:r>
            <w:r w:rsidRPr="00C935AA">
              <w:rPr>
                <w:rFonts w:ascii="Times New Roman" w:hAnsi="Times New Roman" w:cs="Times New Roman"/>
                <w:color w:val="231F20"/>
                <w:spacing w:val="-2"/>
                <w:sz w:val="24"/>
                <w:szCs w:val="24"/>
              </w:rPr>
              <w:t>al</w:t>
            </w:r>
            <w:r w:rsidRPr="00C935AA">
              <w:rPr>
                <w:rFonts w:ascii="Times New Roman" w:hAnsi="Times New Roman" w:cs="Times New Roman"/>
                <w:color w:val="231F20"/>
                <w:spacing w:val="-2"/>
                <w:sz w:val="24"/>
                <w:szCs w:val="24"/>
                <w:lang w:val="ru-RU"/>
              </w:rPr>
              <w:t>.,</w:t>
            </w:r>
            <w:r w:rsidRPr="00C935AA">
              <w:rPr>
                <w:rFonts w:ascii="Times New Roman" w:hAnsi="Times New Roman" w:cs="Times New Roman"/>
                <w:color w:val="231F20"/>
                <w:spacing w:val="-8"/>
                <w:sz w:val="24"/>
                <w:szCs w:val="24"/>
                <w:lang w:val="ru-RU"/>
              </w:rPr>
              <w:t xml:space="preserve"> </w:t>
            </w:r>
            <w:r w:rsidR="009D681C" w:rsidRPr="00C935AA">
              <w:rPr>
                <w:rFonts w:ascii="Times New Roman" w:hAnsi="Times New Roman" w:cs="Times New Roman"/>
                <w:color w:val="231F20"/>
                <w:spacing w:val="-2"/>
                <w:sz w:val="24"/>
                <w:szCs w:val="24"/>
              </w:rPr>
              <w:fldChar w:fldCharType="begin" w:fldLock="1"/>
            </w:r>
            <w:r w:rsidR="008C6800" w:rsidRPr="00C935AA">
              <w:rPr>
                <w:rFonts w:ascii="Times New Roman" w:hAnsi="Times New Roman" w:cs="Times New Roman"/>
                <w:color w:val="231F20"/>
                <w:spacing w:val="-2"/>
                <w:sz w:val="24"/>
                <w:szCs w:val="24"/>
              </w:rPr>
              <w:instrText>ADDIN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CSL</w:instrText>
            </w:r>
            <w:r w:rsidR="008C6800" w:rsidRPr="00C935AA">
              <w:rPr>
                <w:rFonts w:ascii="Times New Roman" w:hAnsi="Times New Roman" w:cs="Times New Roman"/>
                <w:color w:val="231F20"/>
                <w:spacing w:val="-2"/>
                <w:sz w:val="24"/>
                <w:szCs w:val="24"/>
                <w:lang w:val="ru-RU"/>
              </w:rPr>
              <w:instrText>_</w:instrText>
            </w:r>
            <w:r w:rsidR="008C6800" w:rsidRPr="00C935AA">
              <w:rPr>
                <w:rFonts w:ascii="Times New Roman" w:hAnsi="Times New Roman" w:cs="Times New Roman"/>
                <w:color w:val="231F20"/>
                <w:spacing w:val="-2"/>
                <w:sz w:val="24"/>
                <w:szCs w:val="24"/>
              </w:rPr>
              <w:instrText>CITATION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citationItems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id</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ITEM</w:instrText>
            </w:r>
            <w:r w:rsidR="008C6800" w:rsidRPr="00C935AA">
              <w:rPr>
                <w:rFonts w:ascii="Times New Roman" w:hAnsi="Times New Roman" w:cs="Times New Roman"/>
                <w:color w:val="231F20"/>
                <w:spacing w:val="-2"/>
                <w:sz w:val="24"/>
                <w:szCs w:val="24"/>
                <w:lang w:val="ru-RU"/>
              </w:rPr>
              <w:instrText>-1","</w:instrText>
            </w:r>
            <w:r w:rsidR="008C6800" w:rsidRPr="00C935AA">
              <w:rPr>
                <w:rFonts w:ascii="Times New Roman" w:hAnsi="Times New Roman" w:cs="Times New Roman"/>
                <w:color w:val="231F20"/>
                <w:spacing w:val="-2"/>
                <w:sz w:val="24"/>
                <w:szCs w:val="24"/>
              </w:rPr>
              <w:instrText>itemData</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DOI</w:instrText>
            </w:r>
            <w:r w:rsidR="008C6800" w:rsidRPr="00C935AA">
              <w:rPr>
                <w:rFonts w:ascii="Times New Roman" w:hAnsi="Times New Roman" w:cs="Times New Roman"/>
                <w:color w:val="231F20"/>
                <w:spacing w:val="-2"/>
                <w:sz w:val="24"/>
                <w:szCs w:val="24"/>
                <w:lang w:val="ru-RU"/>
              </w:rPr>
              <w:instrText>":"10.1177/1933719117698580","</w:instrText>
            </w:r>
            <w:r w:rsidR="008C6800" w:rsidRPr="00C935AA">
              <w:rPr>
                <w:rFonts w:ascii="Times New Roman" w:hAnsi="Times New Roman" w:cs="Times New Roman"/>
                <w:color w:val="231F20"/>
                <w:spacing w:val="-2"/>
                <w:sz w:val="24"/>
                <w:szCs w:val="24"/>
              </w:rPr>
              <w:instrText>ISBN</w:instrText>
            </w:r>
            <w:r w:rsidR="008C6800" w:rsidRPr="00C935AA">
              <w:rPr>
                <w:rFonts w:ascii="Times New Roman" w:hAnsi="Times New Roman" w:cs="Times New Roman"/>
                <w:color w:val="231F20"/>
                <w:spacing w:val="-2"/>
                <w:sz w:val="24"/>
                <w:szCs w:val="24"/>
                <w:lang w:val="ru-RU"/>
              </w:rPr>
              <w:instrText>":"1933719117","</w:instrText>
            </w:r>
            <w:r w:rsidR="008C6800" w:rsidRPr="00C935AA">
              <w:rPr>
                <w:rFonts w:ascii="Times New Roman" w:hAnsi="Times New Roman" w:cs="Times New Roman"/>
                <w:color w:val="231F20"/>
                <w:spacing w:val="-2"/>
                <w:sz w:val="24"/>
                <w:szCs w:val="24"/>
              </w:rPr>
              <w:instrText>ISSN</w:instrText>
            </w:r>
            <w:r w:rsidR="008C6800" w:rsidRPr="00C935AA">
              <w:rPr>
                <w:rFonts w:ascii="Times New Roman" w:hAnsi="Times New Roman" w:cs="Times New Roman"/>
                <w:color w:val="231F20"/>
                <w:spacing w:val="-2"/>
                <w:sz w:val="24"/>
                <w:szCs w:val="24"/>
                <w:lang w:val="ru-RU"/>
              </w:rPr>
              <w:instrText>":"19337205","</w:instrText>
            </w:r>
            <w:r w:rsidR="008C6800" w:rsidRPr="00C935AA">
              <w:rPr>
                <w:rFonts w:ascii="Times New Roman" w:hAnsi="Times New Roman" w:cs="Times New Roman"/>
                <w:color w:val="231F20"/>
                <w:spacing w:val="-2"/>
                <w:sz w:val="24"/>
                <w:szCs w:val="24"/>
              </w:rPr>
              <w:instrText>PMID</w:instrText>
            </w:r>
            <w:r w:rsidR="008C6800" w:rsidRPr="00C935AA">
              <w:rPr>
                <w:rFonts w:ascii="Times New Roman" w:hAnsi="Times New Roman" w:cs="Times New Roman"/>
                <w:color w:val="231F20"/>
                <w:spacing w:val="-2"/>
                <w:sz w:val="24"/>
                <w:szCs w:val="24"/>
                <w:lang w:val="ru-RU"/>
              </w:rPr>
              <w:instrText>":"28345485","</w:instrText>
            </w:r>
            <w:r w:rsidR="008C6800" w:rsidRPr="00C935AA">
              <w:rPr>
                <w:rFonts w:ascii="Times New Roman" w:hAnsi="Times New Roman" w:cs="Times New Roman"/>
                <w:color w:val="231F20"/>
                <w:spacing w:val="-2"/>
                <w:sz w:val="24"/>
                <w:szCs w:val="24"/>
              </w:rPr>
              <w:instrText>abstract</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Tamoxifen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has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played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vital</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role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endocrine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therapy</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for</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treatment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estrogen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receptor</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positive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breast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cancer</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We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examined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effect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tamoxifen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patients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with</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endometrium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frozen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thawed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embryo</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transfer</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FET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cycles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and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compared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improvement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endometrial</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thickness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EMT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and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pregnancy</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outcomes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stratified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by</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different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etiologies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endometrium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total</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226 </w:instrText>
            </w:r>
            <w:r w:rsidR="008C6800" w:rsidRPr="00C935AA">
              <w:rPr>
                <w:rFonts w:ascii="Times New Roman" w:hAnsi="Times New Roman" w:cs="Times New Roman"/>
                <w:color w:val="231F20"/>
                <w:spacing w:val="-2"/>
                <w:sz w:val="24"/>
                <w:szCs w:val="24"/>
              </w:rPr>
              <w:instrText>women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were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recruited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for</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new</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tamoxifen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protocol</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all</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had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EMT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less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than</w:instrText>
            </w:r>
            <w:r w:rsidR="008C6800" w:rsidRPr="00C935AA">
              <w:rPr>
                <w:rFonts w:ascii="Times New Roman" w:hAnsi="Times New Roman" w:cs="Times New Roman"/>
                <w:color w:val="231F20"/>
                <w:spacing w:val="-2"/>
                <w:sz w:val="24"/>
                <w:szCs w:val="24"/>
                <w:lang w:val="ru-RU"/>
              </w:rPr>
              <w:instrText xml:space="preserve"> 7.5 </w:instrText>
            </w:r>
            <w:r w:rsidR="008C6800" w:rsidRPr="00C935AA">
              <w:rPr>
                <w:rFonts w:ascii="Times New Roman" w:hAnsi="Times New Roman" w:cs="Times New Roman"/>
                <w:color w:val="231F20"/>
                <w:spacing w:val="-2"/>
                <w:sz w:val="24"/>
                <w:szCs w:val="24"/>
              </w:rPr>
              <w:instrText>mm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previous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cycles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including</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natural</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cycle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NC</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hormone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replacement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treatment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HRT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and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ovulation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induction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OI</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cycles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Compared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with</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previous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cycles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tamoxifen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cycles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showed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significantly</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increased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EMT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from</w:instrText>
            </w:r>
            <w:r w:rsidR="008C6800" w:rsidRPr="00C935AA">
              <w:rPr>
                <w:rFonts w:ascii="Times New Roman" w:hAnsi="Times New Roman" w:cs="Times New Roman"/>
                <w:color w:val="231F20"/>
                <w:spacing w:val="-2"/>
                <w:sz w:val="24"/>
                <w:szCs w:val="24"/>
                <w:lang w:val="ru-RU"/>
              </w:rPr>
              <w:instrText xml:space="preserve"> 6.11 ± 0.98 </w:instrText>
            </w:r>
            <w:r w:rsidR="008C6800" w:rsidRPr="00C935AA">
              <w:rPr>
                <w:rFonts w:ascii="Times New Roman" w:hAnsi="Times New Roman" w:cs="Times New Roman"/>
                <w:color w:val="231F20"/>
                <w:spacing w:val="-2"/>
                <w:sz w:val="24"/>
                <w:szCs w:val="24"/>
              </w:rPr>
              <w:instrText>mm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to</w:instrText>
            </w:r>
            <w:r w:rsidR="008C6800" w:rsidRPr="00C935AA">
              <w:rPr>
                <w:rFonts w:ascii="Times New Roman" w:hAnsi="Times New Roman" w:cs="Times New Roman"/>
                <w:color w:val="231F20"/>
                <w:spacing w:val="-2"/>
                <w:sz w:val="24"/>
                <w:szCs w:val="24"/>
                <w:lang w:val="ru-RU"/>
              </w:rPr>
              <w:instrText xml:space="preserve"> 7.87 ± 1.48 </w:instrText>
            </w:r>
            <w:r w:rsidR="008C6800" w:rsidRPr="00C935AA">
              <w:rPr>
                <w:rFonts w:ascii="Times New Roman" w:hAnsi="Times New Roman" w:cs="Times New Roman"/>
                <w:color w:val="231F20"/>
                <w:spacing w:val="-2"/>
                <w:sz w:val="24"/>
                <w:szCs w:val="24"/>
              </w:rPr>
              <w:instrText>mm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NC</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group</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from</w:instrText>
            </w:r>
            <w:r w:rsidR="008C6800" w:rsidRPr="00C935AA">
              <w:rPr>
                <w:rFonts w:ascii="Times New Roman" w:hAnsi="Times New Roman" w:cs="Times New Roman"/>
                <w:color w:val="231F20"/>
                <w:spacing w:val="-2"/>
                <w:sz w:val="24"/>
                <w:szCs w:val="24"/>
                <w:lang w:val="ru-RU"/>
              </w:rPr>
              <w:instrText xml:space="preserve"> 6.24 ± 1.01 </w:instrText>
            </w:r>
            <w:r w:rsidR="008C6800" w:rsidRPr="00C935AA">
              <w:rPr>
                <w:rFonts w:ascii="Times New Roman" w:hAnsi="Times New Roman" w:cs="Times New Roman"/>
                <w:color w:val="231F20"/>
                <w:spacing w:val="-2"/>
                <w:sz w:val="24"/>
                <w:szCs w:val="24"/>
              </w:rPr>
              <w:instrText>mm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to</w:instrText>
            </w:r>
            <w:r w:rsidR="008C6800" w:rsidRPr="00C935AA">
              <w:rPr>
                <w:rFonts w:ascii="Times New Roman" w:hAnsi="Times New Roman" w:cs="Times New Roman"/>
                <w:color w:val="231F20"/>
                <w:spacing w:val="-2"/>
                <w:sz w:val="24"/>
                <w:szCs w:val="24"/>
                <w:lang w:val="ru-RU"/>
              </w:rPr>
              <w:instrText xml:space="preserve"> 8.22 ± 1.67 </w:instrText>
            </w:r>
            <w:r w:rsidR="008C6800" w:rsidRPr="00C935AA">
              <w:rPr>
                <w:rFonts w:ascii="Times New Roman" w:hAnsi="Times New Roman" w:cs="Times New Roman"/>
                <w:color w:val="231F20"/>
                <w:spacing w:val="-2"/>
                <w:sz w:val="24"/>
                <w:szCs w:val="24"/>
              </w:rPr>
              <w:instrText>mm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HRT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group</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and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from</w:instrText>
            </w:r>
            <w:r w:rsidR="008C6800" w:rsidRPr="00C935AA">
              <w:rPr>
                <w:rFonts w:ascii="Times New Roman" w:hAnsi="Times New Roman" w:cs="Times New Roman"/>
                <w:color w:val="231F20"/>
                <w:spacing w:val="-2"/>
                <w:sz w:val="24"/>
                <w:szCs w:val="24"/>
                <w:lang w:val="ru-RU"/>
              </w:rPr>
              <w:instrText xml:space="preserve"> 6.34 ± 1.03 </w:instrText>
            </w:r>
            <w:r w:rsidR="008C6800" w:rsidRPr="00C935AA">
              <w:rPr>
                <w:rFonts w:ascii="Times New Roman" w:hAnsi="Times New Roman" w:cs="Times New Roman"/>
                <w:color w:val="231F20"/>
                <w:spacing w:val="-2"/>
                <w:sz w:val="24"/>
                <w:szCs w:val="24"/>
              </w:rPr>
              <w:instrText>mm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to</w:instrText>
            </w:r>
            <w:r w:rsidR="008C6800" w:rsidRPr="00C935AA">
              <w:rPr>
                <w:rFonts w:ascii="Times New Roman" w:hAnsi="Times New Roman" w:cs="Times New Roman"/>
                <w:color w:val="231F20"/>
                <w:spacing w:val="-2"/>
                <w:sz w:val="24"/>
                <w:szCs w:val="24"/>
                <w:lang w:val="ru-RU"/>
              </w:rPr>
              <w:instrText xml:space="preserve"> 8.05 ± 1.58 </w:instrText>
            </w:r>
            <w:r w:rsidR="008C6800" w:rsidRPr="00C935AA">
              <w:rPr>
                <w:rFonts w:ascii="Times New Roman" w:hAnsi="Times New Roman" w:cs="Times New Roman"/>
                <w:color w:val="231F20"/>
                <w:spacing w:val="-2"/>
                <w:sz w:val="24"/>
                <w:szCs w:val="24"/>
              </w:rPr>
              <w:instrText>mm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OI</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group</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all</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w:instrText>
            </w:r>
            <w:r w:rsidR="008C6800" w:rsidRPr="00C935AA">
              <w:rPr>
                <w:rFonts w:ascii="Times New Roman" w:hAnsi="Times New Roman" w:cs="Times New Roman"/>
                <w:color w:val="231F20"/>
                <w:spacing w:val="-2"/>
                <w:sz w:val="24"/>
                <w:szCs w:val="24"/>
                <w:lang w:val="ru-RU"/>
              </w:rPr>
              <w:instrText xml:space="preserve"> &lt;.001). </w:instrText>
            </w:r>
            <w:r w:rsidR="008C6800" w:rsidRPr="00C935AA">
              <w:rPr>
                <w:rFonts w:ascii="Times New Roman" w:hAnsi="Times New Roman" w:cs="Times New Roman"/>
                <w:color w:val="231F20"/>
                <w:spacing w:val="-2"/>
                <w:sz w:val="24"/>
                <w:szCs w:val="24"/>
              </w:rPr>
              <w:instrText>Patients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were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further</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divided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into</w:instrText>
            </w:r>
            <w:r w:rsidR="008C6800" w:rsidRPr="00C935AA">
              <w:rPr>
                <w:rFonts w:ascii="Times New Roman" w:hAnsi="Times New Roman" w:cs="Times New Roman"/>
                <w:color w:val="231F20"/>
                <w:spacing w:val="-2"/>
                <w:sz w:val="24"/>
                <w:szCs w:val="24"/>
                <w:lang w:val="ru-RU"/>
              </w:rPr>
              <w:instrText xml:space="preserve"> 3 </w:instrText>
            </w:r>
            <w:r w:rsidR="008C6800" w:rsidRPr="00C935AA">
              <w:rPr>
                <w:rFonts w:ascii="Times New Roman" w:hAnsi="Times New Roman" w:cs="Times New Roman"/>
                <w:color w:val="231F20"/>
                <w:spacing w:val="-2"/>
                <w:sz w:val="24"/>
                <w:szCs w:val="24"/>
              </w:rPr>
              <w:instrText>groups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based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causes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their</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endometrium</w:instrText>
            </w:r>
            <w:r w:rsidR="008C6800" w:rsidRPr="00C935AA">
              <w:rPr>
                <w:rFonts w:ascii="Times New Roman" w:hAnsi="Times New Roman" w:cs="Times New Roman"/>
                <w:color w:val="231F20"/>
                <w:spacing w:val="-2"/>
                <w:sz w:val="24"/>
                <w:szCs w:val="24"/>
                <w:lang w:val="ru-RU"/>
              </w:rPr>
              <w:instrText xml:space="preserve">: (1) </w:instrText>
            </w:r>
            <w:r w:rsidR="008C6800" w:rsidRPr="00C935AA">
              <w:rPr>
                <w:rFonts w:ascii="Times New Roman" w:hAnsi="Times New Roman" w:cs="Times New Roman"/>
                <w:color w:val="231F20"/>
                <w:spacing w:val="-2"/>
                <w:sz w:val="24"/>
                <w:szCs w:val="24"/>
              </w:rPr>
              <w:instrText>history</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intrauterine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adhesion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n</w:instrText>
            </w:r>
            <w:r w:rsidR="008C6800" w:rsidRPr="00C935AA">
              <w:rPr>
                <w:rFonts w:ascii="Times New Roman" w:hAnsi="Times New Roman" w:cs="Times New Roman"/>
                <w:color w:val="231F20"/>
                <w:spacing w:val="-2"/>
                <w:sz w:val="24"/>
                <w:szCs w:val="24"/>
                <w:lang w:val="ru-RU"/>
              </w:rPr>
              <w:instrText xml:space="preserve"> = 34), (2) </w:instrText>
            </w:r>
            <w:r w:rsidR="008C6800" w:rsidRPr="00C935AA">
              <w:rPr>
                <w:rFonts w:ascii="Times New Roman" w:hAnsi="Times New Roman" w:cs="Times New Roman"/>
                <w:color w:val="231F20"/>
                <w:spacing w:val="-2"/>
                <w:sz w:val="24"/>
                <w:szCs w:val="24"/>
              </w:rPr>
              <w:instrText>history</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uterine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curettage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n</w:instrText>
            </w:r>
            <w:r w:rsidR="008C6800" w:rsidRPr="00C935AA">
              <w:rPr>
                <w:rFonts w:ascii="Times New Roman" w:hAnsi="Times New Roman" w:cs="Times New Roman"/>
                <w:color w:val="231F20"/>
                <w:spacing w:val="-2"/>
                <w:sz w:val="24"/>
                <w:szCs w:val="24"/>
                <w:lang w:val="ru-RU"/>
              </w:rPr>
              <w:instrText xml:space="preserve"> = 141), </w:instrText>
            </w:r>
            <w:r w:rsidR="008C6800" w:rsidRPr="00C935AA">
              <w:rPr>
                <w:rFonts w:ascii="Times New Roman" w:hAnsi="Times New Roman" w:cs="Times New Roman"/>
                <w:color w:val="231F20"/>
                <w:spacing w:val="-2"/>
                <w:sz w:val="24"/>
                <w:szCs w:val="24"/>
              </w:rPr>
              <w:instrText>and</w:instrText>
            </w:r>
            <w:r w:rsidR="008C6800" w:rsidRPr="00C935AA">
              <w:rPr>
                <w:rFonts w:ascii="Times New Roman" w:hAnsi="Times New Roman" w:cs="Times New Roman"/>
                <w:color w:val="231F20"/>
                <w:spacing w:val="-2"/>
                <w:sz w:val="24"/>
                <w:szCs w:val="24"/>
                <w:lang w:val="ru-RU"/>
              </w:rPr>
              <w:instrText xml:space="preserve"> (3) </w:instrText>
            </w:r>
            <w:r w:rsidR="008C6800" w:rsidRPr="00C935AA">
              <w:rPr>
                <w:rFonts w:ascii="Times New Roman" w:hAnsi="Times New Roman" w:cs="Times New Roman"/>
                <w:color w:val="231F20"/>
                <w:spacing w:val="-2"/>
                <w:sz w:val="24"/>
                <w:szCs w:val="24"/>
              </w:rPr>
              <w:instrText>polycystic</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ovary</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syndrome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PCOS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n</w:instrText>
            </w:r>
            <w:r w:rsidR="008C6800" w:rsidRPr="00C935AA">
              <w:rPr>
                <w:rFonts w:ascii="Times New Roman" w:hAnsi="Times New Roman" w:cs="Times New Roman"/>
                <w:color w:val="231F20"/>
                <w:spacing w:val="-2"/>
                <w:sz w:val="24"/>
                <w:szCs w:val="24"/>
                <w:lang w:val="ru-RU"/>
              </w:rPr>
              <w:instrText xml:space="preserve"> = 51). </w:instrText>
            </w:r>
            <w:r w:rsidR="008C6800" w:rsidRPr="00C935AA">
              <w:rPr>
                <w:rFonts w:ascii="Times New Roman" w:hAnsi="Times New Roman" w:cs="Times New Roman"/>
                <w:color w:val="231F20"/>
                <w:spacing w:val="-2"/>
                <w:sz w:val="24"/>
                <w:szCs w:val="24"/>
              </w:rPr>
              <w:instrText>Patients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with</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PCOS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obtained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thickest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EMT</w:instrText>
            </w:r>
            <w:r w:rsidR="008C6800" w:rsidRPr="00C935AA">
              <w:rPr>
                <w:rFonts w:ascii="Times New Roman" w:hAnsi="Times New Roman" w:cs="Times New Roman"/>
                <w:color w:val="231F20"/>
                <w:spacing w:val="-2"/>
                <w:sz w:val="24"/>
                <w:szCs w:val="24"/>
                <w:lang w:val="ru-RU"/>
              </w:rPr>
              <w:instrText xml:space="preserve"> (9.31 </w:instrText>
            </w:r>
            <w:r w:rsidR="008C6800" w:rsidRPr="00C935AA">
              <w:rPr>
                <w:rFonts w:ascii="Times New Roman" w:hAnsi="Times New Roman" w:cs="Times New Roman"/>
                <w:color w:val="231F20"/>
                <w:spacing w:val="-2"/>
                <w:sz w:val="24"/>
                <w:szCs w:val="24"/>
              </w:rPr>
              <w:instrText>± 1.55 mm), the lowest cycle cancellation rate (11.76%), and the highest rate of clinical pregnancy (60%) and live birth (55.56%) per transfer (P &lt;.001). Multivariable regression analysis showed that EMT was related to live birth (odds ratio: 1.487; 95% confidence interval: 1.1</w:instrText>
            </w:r>
            <w:r w:rsidR="008C6800" w:rsidRPr="00C935AA">
              <w:rPr>
                <w:rFonts w:ascii="Times New Roman" w:hAnsi="Times New Roman" w:cs="Times New Roman"/>
                <w:color w:val="231F20"/>
                <w:spacing w:val="-2"/>
                <w:sz w:val="24"/>
                <w:szCs w:val="24"/>
                <w:lang w:val="ru-RU"/>
              </w:rPr>
              <w:instrText xml:space="preserve">72-1.887). </w:instrText>
            </w:r>
            <w:r w:rsidR="008C6800" w:rsidRPr="00C935AA">
              <w:rPr>
                <w:rFonts w:ascii="Times New Roman" w:hAnsi="Times New Roman" w:cs="Times New Roman"/>
                <w:color w:val="231F20"/>
                <w:spacing w:val="-2"/>
                <w:sz w:val="24"/>
                <w:szCs w:val="24"/>
              </w:rPr>
              <w:instrText>A</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tamoxifen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protocol</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improves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EMT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patients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after</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NC</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HRT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and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OI</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cycles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during</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FET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Patients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with</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PCOS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show</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most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benefit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from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tamoxifen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and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achieve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better</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pregnancy</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outcomes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author</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Ke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Hanni</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Jiang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Jingjing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Xia</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Mingdi</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Tang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Rong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Qin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Yingying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family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Chen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given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Zi</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Jiang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dropping</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names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false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suffix</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container</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title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Reproductive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Sciences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id</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ITEM</w:instrText>
            </w:r>
            <w:r w:rsidR="008C6800" w:rsidRPr="00C935AA">
              <w:rPr>
                <w:rFonts w:ascii="Times New Roman" w:hAnsi="Times New Roman" w:cs="Times New Roman"/>
                <w:color w:val="231F20"/>
                <w:spacing w:val="-2"/>
                <w:sz w:val="24"/>
                <w:szCs w:val="24"/>
                <w:lang w:val="ru-RU"/>
              </w:rPr>
              <w:instrText>-1","</w:instrText>
            </w:r>
            <w:r w:rsidR="008C6800" w:rsidRPr="00C935AA">
              <w:rPr>
                <w:rFonts w:ascii="Times New Roman" w:hAnsi="Times New Roman" w:cs="Times New Roman"/>
                <w:color w:val="231F20"/>
                <w:spacing w:val="-2"/>
                <w:sz w:val="24"/>
                <w:szCs w:val="24"/>
              </w:rPr>
              <w:instrText>issue</w:instrText>
            </w:r>
            <w:r w:rsidR="008C6800" w:rsidRPr="00C935AA">
              <w:rPr>
                <w:rFonts w:ascii="Times New Roman" w:hAnsi="Times New Roman" w:cs="Times New Roman"/>
                <w:color w:val="231F20"/>
                <w:spacing w:val="-2"/>
                <w:sz w:val="24"/>
                <w:szCs w:val="24"/>
                <w:lang w:val="ru-RU"/>
              </w:rPr>
              <w:instrText>":"6","</w:instrText>
            </w:r>
            <w:r w:rsidR="008C6800" w:rsidRPr="00C935AA">
              <w:rPr>
                <w:rFonts w:ascii="Times New Roman" w:hAnsi="Times New Roman" w:cs="Times New Roman"/>
                <w:color w:val="231F20"/>
                <w:spacing w:val="-2"/>
                <w:sz w:val="24"/>
                <w:szCs w:val="24"/>
              </w:rPr>
              <w:instrText>issued</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date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parts</w:instrText>
            </w:r>
            <w:r w:rsidR="008C6800" w:rsidRPr="00C935AA">
              <w:rPr>
                <w:rFonts w:ascii="Times New Roman" w:hAnsi="Times New Roman" w:cs="Times New Roman"/>
                <w:color w:val="231F20"/>
                <w:spacing w:val="-2"/>
                <w:sz w:val="24"/>
                <w:szCs w:val="24"/>
                <w:lang w:val="ru-RU"/>
              </w:rPr>
              <w:instrText>":[["2018"]]},"</w:instrText>
            </w:r>
            <w:r w:rsidR="008C6800" w:rsidRPr="00C935AA">
              <w:rPr>
                <w:rFonts w:ascii="Times New Roman" w:hAnsi="Times New Roman" w:cs="Times New Roman"/>
                <w:color w:val="231F20"/>
                <w:spacing w:val="-2"/>
                <w:sz w:val="24"/>
                <w:szCs w:val="24"/>
              </w:rPr>
              <w:instrText>page</w:instrText>
            </w:r>
            <w:r w:rsidR="008C6800" w:rsidRPr="00C935AA">
              <w:rPr>
                <w:rFonts w:ascii="Times New Roman" w:hAnsi="Times New Roman" w:cs="Times New Roman"/>
                <w:color w:val="231F20"/>
                <w:spacing w:val="-2"/>
                <w:sz w:val="24"/>
                <w:szCs w:val="24"/>
                <w:lang w:val="ru-RU"/>
              </w:rPr>
              <w:instrText>":"861-866","</w:instrText>
            </w:r>
            <w:r w:rsidR="008C6800" w:rsidRPr="00C935AA">
              <w:rPr>
                <w:rFonts w:ascii="Times New Roman" w:hAnsi="Times New Roman" w:cs="Times New Roman"/>
                <w:color w:val="231F20"/>
                <w:spacing w:val="-2"/>
                <w:sz w:val="24"/>
                <w:szCs w:val="24"/>
              </w:rPr>
              <w:instrText>title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The</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Effect</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of</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Tamoxifen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on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Thin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Endometrium</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in</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Patients</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Undergoing</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Frozen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Thawed</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Embryo</w:instrText>
            </w:r>
            <w:r w:rsidR="008C6800" w:rsidRPr="00C935AA">
              <w:rPr>
                <w:rFonts w:ascii="Times New Roman" w:hAnsi="Times New Roman" w:cs="Times New Roman"/>
                <w:color w:val="231F20"/>
                <w:spacing w:val="-2"/>
                <w:sz w:val="24"/>
                <w:szCs w:val="24"/>
                <w:lang w:val="ru-RU"/>
              </w:rPr>
              <w:instrText xml:space="preserve"> </w:instrText>
            </w:r>
            <w:r w:rsidR="008C6800" w:rsidRPr="00C935AA">
              <w:rPr>
                <w:rFonts w:ascii="Times New Roman" w:hAnsi="Times New Roman" w:cs="Times New Roman"/>
                <w:color w:val="231F20"/>
                <w:spacing w:val="-2"/>
                <w:sz w:val="24"/>
                <w:szCs w:val="24"/>
              </w:rPr>
              <w:instrText>Transfer</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type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article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journal</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volume</w:instrText>
            </w:r>
            <w:r w:rsidR="008C6800" w:rsidRPr="00C935AA">
              <w:rPr>
                <w:rFonts w:ascii="Times New Roman" w:hAnsi="Times New Roman" w:cs="Times New Roman"/>
                <w:color w:val="231F20"/>
                <w:spacing w:val="-2"/>
                <w:sz w:val="24"/>
                <w:szCs w:val="24"/>
                <w:lang w:val="ru-RU"/>
              </w:rPr>
              <w:instrText>":"25"},"</w:instrText>
            </w:r>
            <w:r w:rsidR="008C6800" w:rsidRPr="00C935AA">
              <w:rPr>
                <w:rFonts w:ascii="Times New Roman" w:hAnsi="Times New Roman" w:cs="Times New Roman"/>
                <w:color w:val="231F20"/>
                <w:spacing w:val="-2"/>
                <w:sz w:val="24"/>
                <w:szCs w:val="24"/>
              </w:rPr>
              <w:instrText>uris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http</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www</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mendeley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com</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documents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uuid</w:instrText>
            </w:r>
            <w:r w:rsidR="008C6800" w:rsidRPr="00C935AA">
              <w:rPr>
                <w:rFonts w:ascii="Times New Roman" w:hAnsi="Times New Roman" w:cs="Times New Roman"/>
                <w:color w:val="231F20"/>
                <w:spacing w:val="-2"/>
                <w:sz w:val="24"/>
                <w:szCs w:val="24"/>
                <w:lang w:val="ru-RU"/>
              </w:rPr>
              <w:instrText>=175</w:instrText>
            </w:r>
            <w:r w:rsidR="008C6800" w:rsidRPr="00C935AA">
              <w:rPr>
                <w:rFonts w:ascii="Times New Roman" w:hAnsi="Times New Roman" w:cs="Times New Roman"/>
                <w:color w:val="231F20"/>
                <w:spacing w:val="-2"/>
                <w:sz w:val="24"/>
                <w:szCs w:val="24"/>
              </w:rPr>
              <w:instrText>fb</w:instrText>
            </w:r>
            <w:r w:rsidR="008C6800" w:rsidRPr="00C935AA">
              <w:rPr>
                <w:rFonts w:ascii="Times New Roman" w:hAnsi="Times New Roman" w:cs="Times New Roman"/>
                <w:color w:val="231F20"/>
                <w:spacing w:val="-2"/>
                <w:sz w:val="24"/>
                <w:szCs w:val="24"/>
                <w:lang w:val="ru-RU"/>
              </w:rPr>
              <w:instrText>14</w:instrText>
            </w:r>
            <w:r w:rsidR="008C6800" w:rsidRPr="00C935AA">
              <w:rPr>
                <w:rFonts w:ascii="Times New Roman" w:hAnsi="Times New Roman" w:cs="Times New Roman"/>
                <w:color w:val="231F20"/>
                <w:spacing w:val="-2"/>
                <w:sz w:val="24"/>
                <w:szCs w:val="24"/>
              </w:rPr>
              <w:instrText>b</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e</w:instrText>
            </w:r>
            <w:r w:rsidR="008C6800" w:rsidRPr="00C935AA">
              <w:rPr>
                <w:rFonts w:ascii="Times New Roman" w:hAnsi="Times New Roman" w:cs="Times New Roman"/>
                <w:color w:val="231F20"/>
                <w:spacing w:val="-2"/>
                <w:sz w:val="24"/>
                <w:szCs w:val="24"/>
                <w:lang w:val="ru-RU"/>
              </w:rPr>
              <w:instrText>031-40</w:instrText>
            </w:r>
            <w:r w:rsidR="008C6800" w:rsidRPr="00C935AA">
              <w:rPr>
                <w:rFonts w:ascii="Times New Roman" w:hAnsi="Times New Roman" w:cs="Times New Roman"/>
                <w:color w:val="231F20"/>
                <w:spacing w:val="-2"/>
                <w:sz w:val="24"/>
                <w:szCs w:val="24"/>
              </w:rPr>
              <w:instrText>ea</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aee</w:instrText>
            </w:r>
            <w:r w:rsidR="008C6800" w:rsidRPr="00C935AA">
              <w:rPr>
                <w:rFonts w:ascii="Times New Roman" w:hAnsi="Times New Roman" w:cs="Times New Roman"/>
                <w:color w:val="231F20"/>
                <w:spacing w:val="-2"/>
                <w:sz w:val="24"/>
                <w:szCs w:val="24"/>
                <w:lang w:val="ru-RU"/>
              </w:rPr>
              <w:instrText>7-</w:instrText>
            </w:r>
            <w:r w:rsidR="008C6800" w:rsidRPr="00C935AA">
              <w:rPr>
                <w:rFonts w:ascii="Times New Roman" w:hAnsi="Times New Roman" w:cs="Times New Roman"/>
                <w:color w:val="231F20"/>
                <w:spacing w:val="-2"/>
                <w:sz w:val="24"/>
                <w:szCs w:val="24"/>
              </w:rPr>
              <w:instrText>a</w:instrText>
            </w:r>
            <w:r w:rsidR="008C6800" w:rsidRPr="00C935AA">
              <w:rPr>
                <w:rFonts w:ascii="Times New Roman" w:hAnsi="Times New Roman" w:cs="Times New Roman"/>
                <w:color w:val="231F20"/>
                <w:spacing w:val="-2"/>
                <w:sz w:val="24"/>
                <w:szCs w:val="24"/>
                <w:lang w:val="ru-RU"/>
              </w:rPr>
              <w:instrText>69</w:instrText>
            </w:r>
            <w:r w:rsidR="008C6800" w:rsidRPr="00C935AA">
              <w:rPr>
                <w:rFonts w:ascii="Times New Roman" w:hAnsi="Times New Roman" w:cs="Times New Roman"/>
                <w:color w:val="231F20"/>
                <w:spacing w:val="-2"/>
                <w:sz w:val="24"/>
                <w:szCs w:val="24"/>
              </w:rPr>
              <w:instrText>c</w:instrText>
            </w:r>
            <w:r w:rsidR="008C6800" w:rsidRPr="00C935AA">
              <w:rPr>
                <w:rFonts w:ascii="Times New Roman" w:hAnsi="Times New Roman" w:cs="Times New Roman"/>
                <w:color w:val="231F20"/>
                <w:spacing w:val="-2"/>
                <w:sz w:val="24"/>
                <w:szCs w:val="24"/>
                <w:lang w:val="ru-RU"/>
              </w:rPr>
              <w:instrText>58201</w:instrText>
            </w:r>
            <w:r w:rsidR="008C6800" w:rsidRPr="00C935AA">
              <w:rPr>
                <w:rFonts w:ascii="Times New Roman" w:hAnsi="Times New Roman" w:cs="Times New Roman"/>
                <w:color w:val="231F20"/>
                <w:spacing w:val="-2"/>
                <w:sz w:val="24"/>
                <w:szCs w:val="24"/>
              </w:rPr>
              <w:instrText>be</w:instrText>
            </w:r>
            <w:r w:rsidR="008C6800" w:rsidRPr="00C935AA">
              <w:rPr>
                <w:rFonts w:ascii="Times New Roman" w:hAnsi="Times New Roman" w:cs="Times New Roman"/>
                <w:color w:val="231F20"/>
                <w:spacing w:val="-2"/>
                <w:sz w:val="24"/>
                <w:szCs w:val="24"/>
                <w:lang w:val="ru-RU"/>
              </w:rPr>
              <w:instrText>7"]}],"</w:instrText>
            </w:r>
            <w:r w:rsidR="008C6800" w:rsidRPr="00C935AA">
              <w:rPr>
                <w:rFonts w:ascii="Times New Roman" w:hAnsi="Times New Roman" w:cs="Times New Roman"/>
                <w:color w:val="231F20"/>
                <w:spacing w:val="-2"/>
                <w:sz w:val="24"/>
                <w:szCs w:val="24"/>
              </w:rPr>
              <w:instrText>mendeley</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formattedCitation</w:instrText>
            </w:r>
            <w:r w:rsidR="008C6800" w:rsidRPr="00C935AA">
              <w:rPr>
                <w:rFonts w:ascii="Times New Roman" w:hAnsi="Times New Roman" w:cs="Times New Roman"/>
                <w:color w:val="231F20"/>
                <w:spacing w:val="-2"/>
                <w:sz w:val="24"/>
                <w:szCs w:val="24"/>
                <w:lang w:val="ru-RU"/>
              </w:rPr>
              <w:instrText>":"[116]","</w:instrText>
            </w:r>
            <w:r w:rsidR="008C6800" w:rsidRPr="00C935AA">
              <w:rPr>
                <w:rFonts w:ascii="Times New Roman" w:hAnsi="Times New Roman" w:cs="Times New Roman"/>
                <w:color w:val="231F20"/>
                <w:spacing w:val="-2"/>
                <w:sz w:val="24"/>
                <w:szCs w:val="24"/>
              </w:rPr>
              <w:instrText>plainTextFormattedCitation</w:instrText>
            </w:r>
            <w:r w:rsidR="008C6800" w:rsidRPr="00C935AA">
              <w:rPr>
                <w:rFonts w:ascii="Times New Roman" w:hAnsi="Times New Roman" w:cs="Times New Roman"/>
                <w:color w:val="231F20"/>
                <w:spacing w:val="-2"/>
                <w:sz w:val="24"/>
                <w:szCs w:val="24"/>
                <w:lang w:val="ru-RU"/>
              </w:rPr>
              <w:instrText>":"[116]","</w:instrText>
            </w:r>
            <w:r w:rsidR="008C6800" w:rsidRPr="00C935AA">
              <w:rPr>
                <w:rFonts w:ascii="Times New Roman" w:hAnsi="Times New Roman" w:cs="Times New Roman"/>
                <w:color w:val="231F20"/>
                <w:spacing w:val="-2"/>
                <w:sz w:val="24"/>
                <w:szCs w:val="24"/>
              </w:rPr>
              <w:instrText>previouslyFormattedCitation</w:instrText>
            </w:r>
            <w:r w:rsidR="008C6800" w:rsidRPr="00C935AA">
              <w:rPr>
                <w:rFonts w:ascii="Times New Roman" w:hAnsi="Times New Roman" w:cs="Times New Roman"/>
                <w:color w:val="231F20"/>
                <w:spacing w:val="-2"/>
                <w:sz w:val="24"/>
                <w:szCs w:val="24"/>
                <w:lang w:val="ru-RU"/>
              </w:rPr>
              <w:instrText>":"(116)"},"</w:instrText>
            </w:r>
            <w:r w:rsidR="008C6800" w:rsidRPr="00C935AA">
              <w:rPr>
                <w:rFonts w:ascii="Times New Roman" w:hAnsi="Times New Roman" w:cs="Times New Roman"/>
                <w:color w:val="231F20"/>
                <w:spacing w:val="-2"/>
                <w:sz w:val="24"/>
                <w:szCs w:val="24"/>
              </w:rPr>
              <w:instrText>properties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noteIndex</w:instrText>
            </w:r>
            <w:r w:rsidR="008C6800" w:rsidRPr="00C935AA">
              <w:rPr>
                <w:rFonts w:ascii="Times New Roman" w:hAnsi="Times New Roman" w:cs="Times New Roman"/>
                <w:color w:val="231F20"/>
                <w:spacing w:val="-2"/>
                <w:sz w:val="24"/>
                <w:szCs w:val="24"/>
                <w:lang w:val="ru-RU"/>
              </w:rPr>
              <w:instrText>":0},"</w:instrText>
            </w:r>
            <w:r w:rsidR="008C6800" w:rsidRPr="00C935AA">
              <w:rPr>
                <w:rFonts w:ascii="Times New Roman" w:hAnsi="Times New Roman" w:cs="Times New Roman"/>
                <w:color w:val="231F20"/>
                <w:spacing w:val="-2"/>
                <w:sz w:val="24"/>
                <w:szCs w:val="24"/>
              </w:rPr>
              <w:instrText>schema</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https</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github</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com</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citation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style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language</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schema</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raw</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master</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csl</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citation</w:instrText>
            </w:r>
            <w:r w:rsidR="008C6800" w:rsidRPr="00C935AA">
              <w:rPr>
                <w:rFonts w:ascii="Times New Roman" w:hAnsi="Times New Roman" w:cs="Times New Roman"/>
                <w:color w:val="231F20"/>
                <w:spacing w:val="-2"/>
                <w:sz w:val="24"/>
                <w:szCs w:val="24"/>
                <w:lang w:val="ru-RU"/>
              </w:rPr>
              <w:instrText>.</w:instrText>
            </w:r>
            <w:r w:rsidR="008C6800" w:rsidRPr="00C935AA">
              <w:rPr>
                <w:rFonts w:ascii="Times New Roman" w:hAnsi="Times New Roman" w:cs="Times New Roman"/>
                <w:color w:val="231F20"/>
                <w:spacing w:val="-2"/>
                <w:sz w:val="24"/>
                <w:szCs w:val="24"/>
              </w:rPr>
              <w:instrText>json</w:instrText>
            </w:r>
            <w:r w:rsidR="008C6800" w:rsidRPr="00C935AA">
              <w:rPr>
                <w:rFonts w:ascii="Times New Roman" w:hAnsi="Times New Roman" w:cs="Times New Roman"/>
                <w:color w:val="231F20"/>
                <w:spacing w:val="-2"/>
                <w:sz w:val="24"/>
                <w:szCs w:val="24"/>
                <w:lang w:val="ru-RU"/>
              </w:rPr>
              <w:instrText>"}</w:instrText>
            </w:r>
            <w:r w:rsidR="009D681C" w:rsidRPr="00C935AA">
              <w:rPr>
                <w:rFonts w:ascii="Times New Roman" w:hAnsi="Times New Roman" w:cs="Times New Roman"/>
                <w:color w:val="231F20"/>
                <w:spacing w:val="-2"/>
                <w:sz w:val="24"/>
                <w:szCs w:val="24"/>
              </w:rPr>
              <w:fldChar w:fldCharType="separate"/>
            </w:r>
            <w:r w:rsidR="008C6800" w:rsidRPr="00C935AA">
              <w:rPr>
                <w:rFonts w:ascii="Times New Roman" w:hAnsi="Times New Roman" w:cs="Times New Roman"/>
                <w:noProof/>
                <w:color w:val="231F20"/>
                <w:spacing w:val="-2"/>
                <w:sz w:val="24"/>
                <w:szCs w:val="24"/>
                <w:lang w:val="ru-RU"/>
              </w:rPr>
              <w:t>[116]</w:t>
            </w:r>
            <w:r w:rsidR="009D681C" w:rsidRPr="00C935AA">
              <w:rPr>
                <w:rFonts w:ascii="Times New Roman" w:hAnsi="Times New Roman" w:cs="Times New Roman"/>
                <w:color w:val="231F20"/>
                <w:spacing w:val="-2"/>
                <w:sz w:val="24"/>
                <w:szCs w:val="24"/>
              </w:rPr>
              <w:fldChar w:fldCharType="end"/>
            </w:r>
            <w:r w:rsidRPr="00C935AA">
              <w:rPr>
                <w:rFonts w:ascii="Times New Roman" w:hAnsi="Times New Roman" w:cs="Times New Roman"/>
                <w:color w:val="231F20"/>
                <w:sz w:val="24"/>
                <w:szCs w:val="24"/>
                <w:lang w:val="ru-RU"/>
              </w:rPr>
              <w:t>2018,</w:t>
            </w:r>
            <w:r w:rsidRPr="00C935AA">
              <w:rPr>
                <w:rFonts w:ascii="Times New Roman" w:hAnsi="Times New Roman" w:cs="Times New Roman"/>
                <w:color w:val="231F20"/>
                <w:spacing w:val="-5"/>
                <w:sz w:val="24"/>
                <w:szCs w:val="24"/>
                <w:lang w:val="ru-RU"/>
              </w:rPr>
              <w:t xml:space="preserve"> </w:t>
            </w:r>
            <w:r w:rsidRPr="00C935AA">
              <w:rPr>
                <w:rFonts w:ascii="Times New Roman" w:hAnsi="Times New Roman" w:cs="Times New Roman"/>
                <w:color w:val="231F20"/>
                <w:sz w:val="24"/>
                <w:szCs w:val="24"/>
              </w:rPr>
              <w:t>China</w:t>
            </w:r>
          </w:p>
        </w:tc>
        <w:tc>
          <w:tcPr>
            <w:tcW w:w="567" w:type="dxa"/>
          </w:tcPr>
          <w:p w14:paraId="5F90AE56" w14:textId="77777777" w:rsidR="00C11A77" w:rsidRPr="00BE6128" w:rsidRDefault="00C11A77" w:rsidP="00BE6128">
            <w:pPr>
              <w:pStyle w:val="TableParagraph"/>
              <w:spacing w:before="0"/>
              <w:ind w:right="89"/>
              <w:jc w:val="center"/>
              <w:rPr>
                <w:rFonts w:ascii="Times New Roman" w:hAnsi="Times New Roman" w:cs="Times New Roman"/>
                <w:sz w:val="24"/>
                <w:szCs w:val="24"/>
                <w:lang w:val="ru-RU"/>
              </w:rPr>
            </w:pPr>
            <w:r w:rsidRPr="00BE6128">
              <w:rPr>
                <w:rFonts w:ascii="Times New Roman" w:hAnsi="Times New Roman" w:cs="Times New Roman"/>
                <w:color w:val="231F20"/>
                <w:spacing w:val="-5"/>
                <w:sz w:val="24"/>
                <w:szCs w:val="24"/>
                <w:lang w:val="ru-RU"/>
              </w:rPr>
              <w:t>226</w:t>
            </w:r>
          </w:p>
        </w:tc>
        <w:tc>
          <w:tcPr>
            <w:tcW w:w="1701" w:type="dxa"/>
          </w:tcPr>
          <w:p w14:paraId="4C7CF601" w14:textId="77777777" w:rsidR="00C11A77" w:rsidRPr="00BE6128" w:rsidRDefault="00C11A77" w:rsidP="00BE6128">
            <w:pPr>
              <w:pStyle w:val="TableParagraph"/>
              <w:spacing w:before="0"/>
              <w:ind w:left="8" w:right="3"/>
              <w:jc w:val="center"/>
              <w:rPr>
                <w:rFonts w:ascii="Times New Roman" w:hAnsi="Times New Roman" w:cs="Times New Roman"/>
                <w:sz w:val="24"/>
                <w:szCs w:val="24"/>
                <w:lang w:val="ru-RU"/>
              </w:rPr>
            </w:pPr>
            <w:r w:rsidRPr="00BE6128">
              <w:rPr>
                <w:rFonts w:ascii="Times New Roman" w:hAnsi="Times New Roman" w:cs="Times New Roman"/>
                <w:color w:val="231F20"/>
                <w:spacing w:val="-4"/>
                <w:sz w:val="24"/>
                <w:szCs w:val="24"/>
                <w:lang w:val="ru-RU"/>
              </w:rPr>
              <w:t>32.0</w:t>
            </w:r>
          </w:p>
          <w:p w14:paraId="70F65941" w14:textId="77777777" w:rsidR="00C11A77" w:rsidRPr="00BE6128" w:rsidRDefault="00C11A77" w:rsidP="00BE6128">
            <w:pPr>
              <w:pStyle w:val="TableParagraph"/>
              <w:spacing w:before="0"/>
              <w:ind w:left="8" w:right="3"/>
              <w:jc w:val="center"/>
              <w:rPr>
                <w:rFonts w:ascii="Times New Roman" w:hAnsi="Times New Roman" w:cs="Times New Roman"/>
                <w:sz w:val="24"/>
                <w:szCs w:val="24"/>
                <w:lang w:val="ru-RU"/>
              </w:rPr>
            </w:pPr>
            <w:r w:rsidRPr="00BE6128">
              <w:rPr>
                <w:rFonts w:ascii="Times New Roman" w:hAnsi="Times New Roman" w:cs="Times New Roman"/>
                <w:color w:val="231F20"/>
                <w:w w:val="90"/>
                <w:sz w:val="24"/>
                <w:szCs w:val="24"/>
                <w:lang w:val="ru-RU"/>
              </w:rPr>
              <w:t>(28.8-</w:t>
            </w:r>
            <w:r w:rsidRPr="00BE6128">
              <w:rPr>
                <w:rFonts w:ascii="Times New Roman" w:hAnsi="Times New Roman" w:cs="Times New Roman"/>
                <w:color w:val="231F20"/>
                <w:spacing w:val="-2"/>
                <w:sz w:val="24"/>
                <w:szCs w:val="24"/>
                <w:lang w:val="ru-RU"/>
              </w:rPr>
              <w:t>36.0)</w:t>
            </w:r>
          </w:p>
        </w:tc>
        <w:tc>
          <w:tcPr>
            <w:tcW w:w="1701" w:type="dxa"/>
          </w:tcPr>
          <w:p w14:paraId="35CB0B19" w14:textId="77777777" w:rsidR="00C11A77" w:rsidRPr="00BE6128" w:rsidRDefault="00C11A77" w:rsidP="00BE6128">
            <w:pPr>
              <w:pStyle w:val="TableParagraph"/>
              <w:spacing w:before="0"/>
              <w:ind w:left="8" w:right="4"/>
              <w:jc w:val="center"/>
              <w:rPr>
                <w:rFonts w:ascii="Times New Roman" w:hAnsi="Times New Roman" w:cs="Times New Roman"/>
                <w:sz w:val="24"/>
                <w:szCs w:val="24"/>
                <w:lang w:val="ru-RU"/>
              </w:rPr>
            </w:pPr>
            <w:r w:rsidRPr="00BE6128">
              <w:rPr>
                <w:rFonts w:ascii="Times New Roman" w:hAnsi="Times New Roman" w:cs="Times New Roman"/>
                <w:color w:val="231F20"/>
                <w:spacing w:val="-4"/>
                <w:sz w:val="24"/>
                <w:szCs w:val="24"/>
                <w:lang w:val="ru-RU"/>
              </w:rPr>
              <w:t>22.9</w:t>
            </w:r>
          </w:p>
          <w:p w14:paraId="49759AEB" w14:textId="77777777" w:rsidR="00C11A77" w:rsidRPr="00BE6128" w:rsidRDefault="00C11A77" w:rsidP="00BE6128">
            <w:pPr>
              <w:pStyle w:val="TableParagraph"/>
              <w:spacing w:before="0"/>
              <w:ind w:left="8" w:right="4"/>
              <w:jc w:val="center"/>
              <w:rPr>
                <w:rFonts w:ascii="Times New Roman" w:hAnsi="Times New Roman" w:cs="Times New Roman"/>
                <w:sz w:val="24"/>
                <w:szCs w:val="24"/>
                <w:lang w:val="ru-RU"/>
              </w:rPr>
            </w:pPr>
            <w:r w:rsidRPr="00BE6128">
              <w:rPr>
                <w:rFonts w:ascii="Times New Roman" w:hAnsi="Times New Roman" w:cs="Times New Roman"/>
                <w:color w:val="231F20"/>
                <w:w w:val="90"/>
                <w:sz w:val="24"/>
                <w:szCs w:val="24"/>
                <w:lang w:val="ru-RU"/>
              </w:rPr>
              <w:t>(20.7-</w:t>
            </w:r>
            <w:r w:rsidRPr="00BE6128">
              <w:rPr>
                <w:rFonts w:ascii="Times New Roman" w:hAnsi="Times New Roman" w:cs="Times New Roman"/>
                <w:color w:val="231F20"/>
                <w:spacing w:val="-2"/>
                <w:sz w:val="24"/>
                <w:szCs w:val="24"/>
                <w:lang w:val="ru-RU"/>
              </w:rPr>
              <w:t>25.9)</w:t>
            </w:r>
          </w:p>
        </w:tc>
        <w:tc>
          <w:tcPr>
            <w:tcW w:w="3402" w:type="dxa"/>
          </w:tcPr>
          <w:p w14:paraId="3FC5053C" w14:textId="77777777" w:rsidR="00C11A77" w:rsidRPr="00BE6128" w:rsidRDefault="00C11A77" w:rsidP="00BE6128">
            <w:pPr>
              <w:pStyle w:val="TableParagraph"/>
              <w:spacing w:before="0"/>
              <w:ind w:left="76" w:right="173"/>
              <w:jc w:val="center"/>
              <w:rPr>
                <w:rFonts w:ascii="Times New Roman" w:hAnsi="Times New Roman" w:cs="Times New Roman"/>
                <w:sz w:val="24"/>
                <w:szCs w:val="24"/>
                <w:lang w:val="ru-RU"/>
              </w:rPr>
            </w:pPr>
            <w:r w:rsidRPr="00BE6128">
              <w:rPr>
                <w:rFonts w:ascii="Times New Roman" w:hAnsi="Times New Roman" w:cs="Times New Roman"/>
                <w:color w:val="231F20"/>
                <w:spacing w:val="-6"/>
                <w:sz w:val="24"/>
                <w:szCs w:val="24"/>
              </w:rPr>
              <w:t>FET</w:t>
            </w:r>
            <w:r w:rsidRPr="00BE6128">
              <w:rPr>
                <w:rFonts w:ascii="Times New Roman" w:hAnsi="Times New Roman" w:cs="Times New Roman"/>
                <w:color w:val="231F20"/>
                <w:spacing w:val="-6"/>
                <w:sz w:val="24"/>
                <w:szCs w:val="24"/>
                <w:lang w:val="ru-RU"/>
              </w:rPr>
              <w:t>:</w:t>
            </w:r>
            <w:r w:rsidRPr="00BE6128">
              <w:rPr>
                <w:rFonts w:ascii="Times New Roman" w:hAnsi="Times New Roman" w:cs="Times New Roman"/>
                <w:color w:val="231F20"/>
                <w:spacing w:val="-4"/>
                <w:sz w:val="24"/>
                <w:szCs w:val="24"/>
                <w:lang w:val="ru-RU"/>
              </w:rPr>
              <w:t xml:space="preserve"> </w:t>
            </w:r>
            <w:r w:rsidRPr="00BE6128">
              <w:rPr>
                <w:rFonts w:ascii="Times New Roman" w:hAnsi="Times New Roman" w:cs="Times New Roman"/>
                <w:color w:val="231F20"/>
                <w:spacing w:val="-6"/>
                <w:sz w:val="24"/>
                <w:szCs w:val="24"/>
                <w:lang w:val="ru-RU"/>
              </w:rPr>
              <w:t>Измерения повторяли не менее 3 раз и фиксировали среднее значение.</w:t>
            </w:r>
          </w:p>
        </w:tc>
        <w:tc>
          <w:tcPr>
            <w:tcW w:w="1559" w:type="dxa"/>
          </w:tcPr>
          <w:p w14:paraId="04669CCD" w14:textId="77777777" w:rsidR="00C11A77" w:rsidRPr="00BE6128" w:rsidRDefault="00C11A77" w:rsidP="00BE6128">
            <w:pPr>
              <w:pStyle w:val="TableParagraph"/>
              <w:spacing w:before="0"/>
              <w:ind w:right="86"/>
              <w:jc w:val="center"/>
              <w:rPr>
                <w:rFonts w:ascii="Times New Roman" w:hAnsi="Times New Roman" w:cs="Times New Roman"/>
                <w:sz w:val="24"/>
                <w:szCs w:val="24"/>
                <w:lang w:val="ru-RU"/>
              </w:rPr>
            </w:pPr>
            <w:r w:rsidRPr="00BE6128">
              <w:rPr>
                <w:rFonts w:ascii="Times New Roman" w:hAnsi="Times New Roman" w:cs="Times New Roman"/>
                <w:color w:val="231F20"/>
                <w:spacing w:val="-5"/>
                <w:sz w:val="24"/>
                <w:szCs w:val="24"/>
                <w:lang w:val="ru-RU"/>
              </w:rPr>
              <w:t>&lt;7</w:t>
            </w:r>
          </w:p>
        </w:tc>
        <w:tc>
          <w:tcPr>
            <w:tcW w:w="1843" w:type="dxa"/>
          </w:tcPr>
          <w:p w14:paraId="6F9A1B51" w14:textId="77777777" w:rsidR="00C11A77" w:rsidRPr="00BE6128" w:rsidRDefault="00C11A77" w:rsidP="00BE6128">
            <w:pPr>
              <w:pStyle w:val="TableParagraph"/>
              <w:spacing w:before="0"/>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lang w:val="ru-RU"/>
              </w:rPr>
              <w:t>33.3%</w:t>
            </w:r>
          </w:p>
        </w:tc>
        <w:tc>
          <w:tcPr>
            <w:tcW w:w="2126" w:type="dxa"/>
          </w:tcPr>
          <w:p w14:paraId="0616F122" w14:textId="77777777" w:rsidR="00C11A77" w:rsidRPr="00BE6128" w:rsidRDefault="00C11A77" w:rsidP="00BE6128">
            <w:pPr>
              <w:pStyle w:val="TableParagraph"/>
              <w:spacing w:before="0"/>
              <w:jc w:val="center"/>
              <w:rPr>
                <w:rFonts w:ascii="Times New Roman" w:hAnsi="Times New Roman" w:cs="Times New Roman"/>
                <w:sz w:val="24"/>
                <w:szCs w:val="24"/>
                <w:lang w:val="ru-RU"/>
              </w:rPr>
            </w:pPr>
            <w:r w:rsidRPr="00BE6128">
              <w:rPr>
                <w:rFonts w:ascii="Times New Roman" w:hAnsi="Times New Roman" w:cs="Times New Roman"/>
                <w:color w:val="231F20"/>
                <w:spacing w:val="-2"/>
                <w:sz w:val="24"/>
                <w:szCs w:val="24"/>
                <w:lang w:val="ru-RU"/>
              </w:rPr>
              <w:t>12.8%</w:t>
            </w:r>
          </w:p>
        </w:tc>
      </w:tr>
      <w:tr w:rsidR="00BE6128" w:rsidRPr="00BE6128" w14:paraId="1D3DB713" w14:textId="77777777" w:rsidTr="00C935AA">
        <w:trPr>
          <w:trHeight w:val="722"/>
        </w:trPr>
        <w:tc>
          <w:tcPr>
            <w:tcW w:w="709" w:type="dxa"/>
          </w:tcPr>
          <w:p w14:paraId="1C9B8458" w14:textId="77777777" w:rsidR="00C11A77" w:rsidRPr="00BE6128" w:rsidRDefault="00C11A77" w:rsidP="00BE6128">
            <w:pPr>
              <w:pStyle w:val="TableParagraph"/>
              <w:spacing w:before="0"/>
              <w:ind w:right="96"/>
              <w:jc w:val="center"/>
              <w:rPr>
                <w:rFonts w:ascii="Times New Roman" w:hAnsi="Times New Roman" w:cs="Times New Roman"/>
                <w:sz w:val="24"/>
                <w:szCs w:val="24"/>
                <w:lang w:val="ru-RU"/>
              </w:rPr>
            </w:pPr>
            <w:r w:rsidRPr="00BE6128">
              <w:rPr>
                <w:rFonts w:ascii="Times New Roman" w:hAnsi="Times New Roman" w:cs="Times New Roman"/>
                <w:color w:val="231F20"/>
                <w:spacing w:val="-10"/>
                <w:sz w:val="24"/>
                <w:szCs w:val="24"/>
                <w:lang w:val="ru-RU"/>
              </w:rPr>
              <w:t>7</w:t>
            </w:r>
          </w:p>
        </w:tc>
        <w:tc>
          <w:tcPr>
            <w:tcW w:w="1276" w:type="dxa"/>
          </w:tcPr>
          <w:p w14:paraId="3D3806D6" w14:textId="77777777" w:rsidR="00C935AA" w:rsidRDefault="00C11A77" w:rsidP="00C935AA">
            <w:pPr>
              <w:pStyle w:val="TableParagraph"/>
              <w:spacing w:before="0"/>
              <w:ind w:left="79"/>
              <w:rPr>
                <w:rFonts w:ascii="Times New Roman" w:hAnsi="Times New Roman" w:cs="Times New Roman"/>
                <w:color w:val="231F20"/>
                <w:spacing w:val="-4"/>
                <w:sz w:val="24"/>
                <w:szCs w:val="24"/>
              </w:rPr>
            </w:pPr>
            <w:r w:rsidRPr="00C935AA">
              <w:rPr>
                <w:rFonts w:ascii="Times New Roman" w:hAnsi="Times New Roman" w:cs="Times New Roman"/>
                <w:color w:val="231F20"/>
                <w:spacing w:val="-2"/>
                <w:sz w:val="24"/>
                <w:szCs w:val="24"/>
              </w:rPr>
              <w:t>Ribeiro</w:t>
            </w:r>
            <w:r w:rsidR="00C935AA" w:rsidRPr="00C935AA">
              <w:rPr>
                <w:rFonts w:ascii="Times New Roman" w:hAnsi="Times New Roman" w:cs="Times New Roman"/>
                <w:sz w:val="24"/>
                <w:szCs w:val="24"/>
              </w:rPr>
              <w:t xml:space="preserve"> </w:t>
            </w:r>
            <w:r w:rsidRPr="00C935AA">
              <w:rPr>
                <w:rFonts w:ascii="Times New Roman" w:hAnsi="Times New Roman" w:cs="Times New Roman"/>
                <w:color w:val="231F20"/>
                <w:spacing w:val="-4"/>
                <w:sz w:val="24"/>
                <w:szCs w:val="24"/>
              </w:rPr>
              <w:t>et</w:t>
            </w:r>
            <w:r w:rsidRPr="00C935AA">
              <w:rPr>
                <w:rFonts w:ascii="Times New Roman" w:hAnsi="Times New Roman" w:cs="Times New Roman"/>
                <w:color w:val="231F20"/>
                <w:spacing w:val="-1"/>
                <w:sz w:val="24"/>
                <w:szCs w:val="24"/>
              </w:rPr>
              <w:t xml:space="preserve"> </w:t>
            </w:r>
            <w:r w:rsidRPr="00C935AA">
              <w:rPr>
                <w:rFonts w:ascii="Times New Roman" w:hAnsi="Times New Roman" w:cs="Times New Roman"/>
                <w:color w:val="231F20"/>
                <w:spacing w:val="-4"/>
                <w:sz w:val="24"/>
                <w:szCs w:val="24"/>
              </w:rPr>
              <w:t>al.,</w:t>
            </w:r>
          </w:p>
          <w:p w14:paraId="0716B9C2" w14:textId="77777777" w:rsidR="00C935AA" w:rsidRDefault="009D681C" w:rsidP="00C935AA">
            <w:pPr>
              <w:pStyle w:val="TableParagraph"/>
              <w:spacing w:before="0"/>
              <w:ind w:left="79"/>
              <w:rPr>
                <w:rFonts w:ascii="Times New Roman" w:hAnsi="Times New Roman" w:cs="Times New Roman"/>
                <w:color w:val="231F20"/>
                <w:spacing w:val="-4"/>
                <w:sz w:val="24"/>
                <w:szCs w:val="24"/>
              </w:rPr>
            </w:pPr>
            <w:r w:rsidRPr="00C935AA">
              <w:rPr>
                <w:rFonts w:ascii="Times New Roman" w:hAnsi="Times New Roman" w:cs="Times New Roman"/>
                <w:color w:val="231F20"/>
                <w:spacing w:val="-4"/>
                <w:sz w:val="24"/>
                <w:szCs w:val="24"/>
              </w:rPr>
              <w:fldChar w:fldCharType="begin" w:fldLock="1"/>
            </w:r>
            <w:r w:rsidR="008C6800" w:rsidRPr="00C935AA">
              <w:rPr>
                <w:rFonts w:ascii="Times New Roman" w:hAnsi="Times New Roman" w:cs="Times New Roman"/>
                <w:color w:val="231F20"/>
                <w:spacing w:val="-4"/>
                <w:sz w:val="24"/>
                <w:szCs w:val="24"/>
              </w:rPr>
              <w:instrText>ADDIN CSL_CITATION {"citationItems":[{"id":"ITEM-1","itemData":{"ISSN":"1472-6483","author":[{"dropping-particle":"","family":"Ribeiro","given":"Vânia Costa","non-dropping-particle":"","parse-names":false,"suffix":""},{"dropping-particle":"","family":"Santos-Ribeiro","given":"Samuel","non-dropping-particle":"","parse-names":false,"suffix":""},{"dropping-particle":"","family":"Munck","given":"Neelke","non-dropping-particle":"De","parse-names":false,"suffix":""},{"dropping-particle":"","family":"Drakopoulos","given":"Panagiotis","non-dropping-particle":"","parse-names":false,"suffix":""},{"dropping-particle":"","family":"Polyzos","given":"Nikolaos P","non-dropping-particle":"","parse-names":false,"suffix":""},{"dropping-particle":"","family":"Schutyser","given":"Valerie","non-dropping-particle":"","parse-names":false,"suffix":""},{"dropping-particle":"","family":"Verheyen","given":"Greta","non-dropping-particle":"","parse-names":false,"suffix":""},{"dropping-particle":"","family":"Tournaye","given":"Herman","non-dropping-particle":"","parse-names":false,"suffix":""},{"dropping-particle":"","family":"Blockeel","given":"Christophe","non-dropping-particle":"","parse-names":false,"suffix":""}],"container-title":"Reproductive biomedicine online","id":"ITEM-1","issue":"4","issued":{"date-parts":[["2018"]]},"page":"416-426","publisher":"Elsevier","title":"Should we continue to measure endometrial thickness in modern-day medicine? The effect on live birth rates and birth weight","type":"article-journal","volume":"36"},"uris":["http://www.mendeley.com/documents/?uuid=f96c8e3f-3af9-4e0e-b585-f79b456695b7"]}],"mendeley":{"formattedCitation":"[106]","plainTextFormattedCitation":"[106]","previouslyFormattedCitation":"(106)"},"properties":{"noteIndex":0},"schema":"https://github.com/citation-style-language/schema/raw/master/csl-citation.json"}</w:instrText>
            </w:r>
            <w:r w:rsidRPr="00C935AA">
              <w:rPr>
                <w:rFonts w:ascii="Times New Roman" w:hAnsi="Times New Roman" w:cs="Times New Roman"/>
                <w:color w:val="231F20"/>
                <w:spacing w:val="-4"/>
                <w:sz w:val="24"/>
                <w:szCs w:val="24"/>
              </w:rPr>
              <w:fldChar w:fldCharType="separate"/>
            </w:r>
            <w:r w:rsidR="008C6800" w:rsidRPr="00C935AA">
              <w:rPr>
                <w:rFonts w:ascii="Times New Roman" w:hAnsi="Times New Roman" w:cs="Times New Roman"/>
                <w:noProof/>
                <w:color w:val="231F20"/>
                <w:spacing w:val="-4"/>
                <w:sz w:val="24"/>
                <w:szCs w:val="24"/>
              </w:rPr>
              <w:t>[106</w:t>
            </w:r>
            <w:r w:rsidR="00635EAA" w:rsidRPr="00C935AA">
              <w:rPr>
                <w:rFonts w:ascii="Times New Roman" w:hAnsi="Times New Roman" w:cs="Times New Roman"/>
                <w:noProof/>
                <w:color w:val="231F20"/>
                <w:spacing w:val="-4"/>
                <w:sz w:val="24"/>
                <w:szCs w:val="24"/>
              </w:rPr>
              <w:t>,</w:t>
            </w:r>
            <w:r w:rsidR="00635EAA" w:rsidRPr="00C935AA">
              <w:rPr>
                <w:rFonts w:ascii="Times New Roman" w:hAnsi="Times New Roman" w:cs="Times New Roman"/>
                <w:noProof/>
                <w:color w:val="231F20"/>
                <w:spacing w:val="-4"/>
                <w:sz w:val="24"/>
                <w:szCs w:val="24"/>
                <w:lang w:val="ru-RU"/>
              </w:rPr>
              <w:t>с</w:t>
            </w:r>
            <w:r w:rsidR="00635EAA" w:rsidRPr="00C935AA">
              <w:rPr>
                <w:rFonts w:ascii="Times New Roman" w:hAnsi="Times New Roman" w:cs="Times New Roman"/>
                <w:noProof/>
                <w:color w:val="231F20"/>
                <w:spacing w:val="-4"/>
                <w:sz w:val="24"/>
                <w:szCs w:val="24"/>
              </w:rPr>
              <w:t>.416</w:t>
            </w:r>
            <w:r w:rsidR="008C6800" w:rsidRPr="00C935AA">
              <w:rPr>
                <w:rFonts w:ascii="Times New Roman" w:hAnsi="Times New Roman" w:cs="Times New Roman"/>
                <w:noProof/>
                <w:color w:val="231F20"/>
                <w:spacing w:val="-4"/>
                <w:sz w:val="24"/>
                <w:szCs w:val="24"/>
              </w:rPr>
              <w:t>]</w:t>
            </w:r>
            <w:r w:rsidRPr="00C935AA">
              <w:rPr>
                <w:rFonts w:ascii="Times New Roman" w:hAnsi="Times New Roman" w:cs="Times New Roman"/>
                <w:color w:val="231F20"/>
                <w:spacing w:val="-4"/>
                <w:sz w:val="24"/>
                <w:szCs w:val="24"/>
              </w:rPr>
              <w:fldChar w:fldCharType="end"/>
            </w:r>
          </w:p>
          <w:p w14:paraId="100AA7F7" w14:textId="150F4D57" w:rsidR="00C11A77" w:rsidRPr="00C935AA" w:rsidRDefault="00C11A77" w:rsidP="00C935AA">
            <w:pPr>
              <w:pStyle w:val="TableParagraph"/>
              <w:spacing w:before="0"/>
              <w:ind w:left="79"/>
              <w:rPr>
                <w:rFonts w:ascii="Times New Roman" w:hAnsi="Times New Roman" w:cs="Times New Roman"/>
                <w:sz w:val="24"/>
                <w:szCs w:val="24"/>
              </w:rPr>
            </w:pPr>
            <w:r w:rsidRPr="00C935AA">
              <w:rPr>
                <w:rFonts w:ascii="Times New Roman" w:hAnsi="Times New Roman" w:cs="Times New Roman"/>
                <w:color w:val="231F20"/>
                <w:spacing w:val="-4"/>
                <w:sz w:val="24"/>
                <w:szCs w:val="24"/>
              </w:rPr>
              <w:t>2018,</w:t>
            </w:r>
          </w:p>
          <w:p w14:paraId="03DA6D4D" w14:textId="77777777" w:rsidR="00C11A77" w:rsidRPr="00C935AA" w:rsidRDefault="00C11A77" w:rsidP="00C935AA">
            <w:pPr>
              <w:pStyle w:val="TableParagraph"/>
              <w:spacing w:before="0"/>
              <w:ind w:left="79"/>
              <w:rPr>
                <w:rFonts w:ascii="Times New Roman" w:hAnsi="Times New Roman" w:cs="Times New Roman"/>
                <w:sz w:val="24"/>
                <w:szCs w:val="24"/>
              </w:rPr>
            </w:pPr>
            <w:r w:rsidRPr="00C935AA">
              <w:rPr>
                <w:rFonts w:ascii="Times New Roman" w:hAnsi="Times New Roman" w:cs="Times New Roman"/>
                <w:color w:val="231F20"/>
                <w:spacing w:val="-2"/>
                <w:sz w:val="24"/>
                <w:szCs w:val="24"/>
              </w:rPr>
              <w:t>Portugal</w:t>
            </w:r>
          </w:p>
        </w:tc>
        <w:tc>
          <w:tcPr>
            <w:tcW w:w="567" w:type="dxa"/>
          </w:tcPr>
          <w:p w14:paraId="6D9FC9C8" w14:textId="77777777" w:rsidR="00C11A77" w:rsidRPr="00BE6128" w:rsidRDefault="00C11A77" w:rsidP="00BE6128">
            <w:pPr>
              <w:pStyle w:val="TableParagraph"/>
              <w:spacing w:before="0"/>
              <w:ind w:right="89"/>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3350</w:t>
            </w:r>
          </w:p>
        </w:tc>
        <w:tc>
          <w:tcPr>
            <w:tcW w:w="1701" w:type="dxa"/>
          </w:tcPr>
          <w:p w14:paraId="260D014F" w14:textId="77777777" w:rsidR="00C11A77" w:rsidRPr="00BE6128" w:rsidRDefault="00C11A77" w:rsidP="00BE6128">
            <w:pPr>
              <w:pStyle w:val="TableParagraph"/>
              <w:spacing w:before="0"/>
              <w:ind w:left="8" w:right="3"/>
              <w:jc w:val="center"/>
              <w:rPr>
                <w:rFonts w:ascii="Times New Roman" w:hAnsi="Times New Roman" w:cs="Times New Roman"/>
                <w:sz w:val="24"/>
                <w:szCs w:val="24"/>
              </w:rPr>
            </w:pPr>
            <w:r w:rsidRPr="00BE6128">
              <w:rPr>
                <w:rFonts w:ascii="Times New Roman" w:hAnsi="Times New Roman" w:cs="Times New Roman"/>
                <w:color w:val="231F20"/>
                <w:spacing w:val="-6"/>
                <w:sz w:val="24"/>
                <w:szCs w:val="24"/>
              </w:rPr>
              <w:t>33</w:t>
            </w:r>
            <w:r w:rsidRPr="00BE6128">
              <w:rPr>
                <w:rFonts w:ascii="Times New Roman" w:hAnsi="Times New Roman" w:cs="Times New Roman"/>
                <w:color w:val="231F20"/>
                <w:spacing w:val="-2"/>
                <w:sz w:val="24"/>
                <w:szCs w:val="24"/>
              </w:rPr>
              <w:t xml:space="preserve"> (31–36)</w:t>
            </w:r>
          </w:p>
        </w:tc>
        <w:tc>
          <w:tcPr>
            <w:tcW w:w="1701" w:type="dxa"/>
          </w:tcPr>
          <w:p w14:paraId="5BF7ECB8" w14:textId="77777777" w:rsidR="00C11A77" w:rsidRPr="00BE6128" w:rsidRDefault="00C11A77" w:rsidP="00BE6128">
            <w:pPr>
              <w:pStyle w:val="TableParagraph"/>
              <w:spacing w:before="0"/>
              <w:ind w:left="8" w:right="4"/>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22.5</w:t>
            </w:r>
          </w:p>
          <w:p w14:paraId="51413173" w14:textId="77777777" w:rsidR="00C11A77" w:rsidRPr="00BE6128" w:rsidRDefault="00C11A77" w:rsidP="00BE6128">
            <w:pPr>
              <w:pStyle w:val="TableParagraph"/>
              <w:spacing w:before="0"/>
              <w:ind w:left="8" w:right="4"/>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(20.4–26.4)</w:t>
            </w:r>
          </w:p>
        </w:tc>
        <w:tc>
          <w:tcPr>
            <w:tcW w:w="3402" w:type="dxa"/>
          </w:tcPr>
          <w:p w14:paraId="4D12E41D" w14:textId="77777777" w:rsidR="00C11A77" w:rsidRPr="00BE6128" w:rsidRDefault="00C11A77" w:rsidP="00BE6128">
            <w:pPr>
              <w:pStyle w:val="TableParagraph"/>
              <w:spacing w:before="0"/>
              <w:ind w:left="76"/>
              <w:jc w:val="center"/>
              <w:rPr>
                <w:rFonts w:ascii="Times New Roman" w:hAnsi="Times New Roman" w:cs="Times New Roman"/>
                <w:sz w:val="24"/>
                <w:szCs w:val="24"/>
              </w:rPr>
            </w:pPr>
            <w:r w:rsidRPr="00BE6128">
              <w:rPr>
                <w:rFonts w:ascii="Times New Roman" w:hAnsi="Times New Roman" w:cs="Times New Roman"/>
                <w:color w:val="231F20"/>
                <w:w w:val="105"/>
                <w:sz w:val="24"/>
                <w:szCs w:val="24"/>
              </w:rPr>
              <w:t>FET:</w:t>
            </w:r>
            <w:r w:rsidRPr="00BE6128">
              <w:rPr>
                <w:rFonts w:ascii="Times New Roman" w:hAnsi="Times New Roman" w:cs="Times New Roman"/>
                <w:color w:val="231F20"/>
                <w:spacing w:val="20"/>
                <w:w w:val="105"/>
                <w:sz w:val="24"/>
                <w:szCs w:val="24"/>
              </w:rPr>
              <w:t xml:space="preserve"> </w:t>
            </w:r>
            <w:r w:rsidRPr="00BE6128">
              <w:rPr>
                <w:rFonts w:ascii="Times New Roman" w:hAnsi="Times New Roman" w:cs="Times New Roman"/>
                <w:color w:val="231F20"/>
                <w:w w:val="105"/>
                <w:sz w:val="24"/>
                <w:szCs w:val="24"/>
              </w:rPr>
              <w:t>введение ХГЧ</w:t>
            </w:r>
          </w:p>
        </w:tc>
        <w:tc>
          <w:tcPr>
            <w:tcW w:w="1559" w:type="dxa"/>
          </w:tcPr>
          <w:p w14:paraId="68C6167B" w14:textId="77777777" w:rsidR="00C11A77" w:rsidRPr="00BE6128" w:rsidRDefault="00C11A77" w:rsidP="00BE6128">
            <w:pPr>
              <w:pStyle w:val="TableParagraph"/>
              <w:spacing w:before="0"/>
              <w:ind w:right="86"/>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Pr>
          <w:p w14:paraId="125966BF"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28.9%</w:t>
            </w:r>
          </w:p>
        </w:tc>
        <w:tc>
          <w:tcPr>
            <w:tcW w:w="2126" w:type="dxa"/>
          </w:tcPr>
          <w:p w14:paraId="0AC75CBF"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21.8%</w:t>
            </w:r>
          </w:p>
        </w:tc>
      </w:tr>
      <w:tr w:rsidR="00BE6128" w:rsidRPr="00BE6128" w14:paraId="34AE75D9" w14:textId="77777777" w:rsidTr="00C935AA">
        <w:trPr>
          <w:trHeight w:val="722"/>
        </w:trPr>
        <w:tc>
          <w:tcPr>
            <w:tcW w:w="709" w:type="dxa"/>
            <w:tcBorders>
              <w:bottom w:val="single" w:sz="4" w:space="0" w:color="auto"/>
            </w:tcBorders>
          </w:tcPr>
          <w:p w14:paraId="63A50368" w14:textId="77777777" w:rsidR="00C11A77" w:rsidRPr="00BE6128" w:rsidRDefault="00C11A77" w:rsidP="00BE6128">
            <w:pPr>
              <w:pStyle w:val="TableParagraph"/>
              <w:spacing w:before="0"/>
              <w:ind w:right="96"/>
              <w:jc w:val="center"/>
              <w:rPr>
                <w:rFonts w:ascii="Times New Roman" w:hAnsi="Times New Roman" w:cs="Times New Roman"/>
                <w:sz w:val="24"/>
                <w:szCs w:val="24"/>
              </w:rPr>
            </w:pPr>
            <w:r w:rsidRPr="00BE6128">
              <w:rPr>
                <w:rFonts w:ascii="Times New Roman" w:hAnsi="Times New Roman" w:cs="Times New Roman"/>
                <w:color w:val="231F20"/>
                <w:spacing w:val="-10"/>
                <w:sz w:val="24"/>
                <w:szCs w:val="24"/>
              </w:rPr>
              <w:t>8</w:t>
            </w:r>
          </w:p>
        </w:tc>
        <w:tc>
          <w:tcPr>
            <w:tcW w:w="1276" w:type="dxa"/>
            <w:tcBorders>
              <w:bottom w:val="single" w:sz="4" w:space="0" w:color="auto"/>
            </w:tcBorders>
          </w:tcPr>
          <w:p w14:paraId="4C808CC4" w14:textId="77777777" w:rsidR="00C11A77" w:rsidRPr="00C935AA" w:rsidRDefault="00C11A77" w:rsidP="00BE6128">
            <w:pPr>
              <w:pStyle w:val="TableParagraph"/>
              <w:spacing w:before="0"/>
              <w:ind w:left="79"/>
              <w:jc w:val="center"/>
              <w:rPr>
                <w:rFonts w:ascii="Times New Roman" w:hAnsi="Times New Roman" w:cs="Times New Roman"/>
                <w:sz w:val="24"/>
                <w:szCs w:val="24"/>
                <w:lang w:val="de-DE"/>
              </w:rPr>
            </w:pPr>
            <w:r w:rsidRPr="00C935AA">
              <w:rPr>
                <w:rFonts w:ascii="Times New Roman" w:hAnsi="Times New Roman" w:cs="Times New Roman"/>
                <w:color w:val="231F20"/>
                <w:spacing w:val="-2"/>
                <w:sz w:val="24"/>
                <w:szCs w:val="24"/>
                <w:lang w:val="de-DE"/>
              </w:rPr>
              <w:t>Von</w:t>
            </w:r>
            <w:r w:rsidRPr="00C935AA">
              <w:rPr>
                <w:rFonts w:ascii="Times New Roman" w:hAnsi="Times New Roman" w:cs="Times New Roman"/>
                <w:color w:val="231F20"/>
                <w:spacing w:val="-5"/>
                <w:sz w:val="24"/>
                <w:szCs w:val="24"/>
                <w:lang w:val="de-DE"/>
              </w:rPr>
              <w:t xml:space="preserve"> </w:t>
            </w:r>
            <w:r w:rsidRPr="00C935AA">
              <w:rPr>
                <w:rFonts w:ascii="Times New Roman" w:hAnsi="Times New Roman" w:cs="Times New Roman"/>
                <w:color w:val="231F20"/>
                <w:spacing w:val="-2"/>
                <w:sz w:val="24"/>
                <w:szCs w:val="24"/>
                <w:lang w:val="de-DE"/>
              </w:rPr>
              <w:t>Wolff</w:t>
            </w:r>
          </w:p>
          <w:p w14:paraId="07E1DBF5" w14:textId="77777777" w:rsidR="00C935AA" w:rsidRDefault="00C11A77" w:rsidP="00BE6128">
            <w:pPr>
              <w:pStyle w:val="TableParagraph"/>
              <w:spacing w:before="0"/>
              <w:ind w:left="79"/>
              <w:jc w:val="center"/>
              <w:rPr>
                <w:rFonts w:ascii="Times New Roman" w:hAnsi="Times New Roman" w:cs="Times New Roman"/>
                <w:color w:val="231F20"/>
                <w:spacing w:val="-4"/>
                <w:sz w:val="24"/>
                <w:szCs w:val="24"/>
                <w:lang w:val="de-DE"/>
              </w:rPr>
            </w:pPr>
            <w:r w:rsidRPr="00C935AA">
              <w:rPr>
                <w:rFonts w:ascii="Times New Roman" w:hAnsi="Times New Roman" w:cs="Times New Roman"/>
                <w:color w:val="231F20"/>
                <w:spacing w:val="-4"/>
                <w:sz w:val="24"/>
                <w:szCs w:val="24"/>
                <w:lang w:val="de-DE"/>
              </w:rPr>
              <w:t>et</w:t>
            </w:r>
            <w:r w:rsidRPr="00C935AA">
              <w:rPr>
                <w:rFonts w:ascii="Times New Roman" w:hAnsi="Times New Roman" w:cs="Times New Roman"/>
                <w:color w:val="231F20"/>
                <w:spacing w:val="-6"/>
                <w:sz w:val="24"/>
                <w:szCs w:val="24"/>
                <w:lang w:val="de-DE"/>
              </w:rPr>
              <w:t xml:space="preserve"> </w:t>
            </w:r>
            <w:r w:rsidRPr="00C935AA">
              <w:rPr>
                <w:rFonts w:ascii="Times New Roman" w:hAnsi="Times New Roman" w:cs="Times New Roman"/>
                <w:color w:val="231F20"/>
                <w:spacing w:val="-4"/>
                <w:sz w:val="24"/>
                <w:szCs w:val="24"/>
                <w:lang w:val="de-DE"/>
              </w:rPr>
              <w:t>al,</w:t>
            </w:r>
            <w:r w:rsidRPr="00C935AA">
              <w:rPr>
                <w:rFonts w:ascii="Times New Roman" w:hAnsi="Times New Roman" w:cs="Times New Roman"/>
                <w:color w:val="231F20"/>
                <w:spacing w:val="-6"/>
                <w:sz w:val="24"/>
                <w:szCs w:val="24"/>
                <w:lang w:val="de-DE"/>
              </w:rPr>
              <w:t xml:space="preserve"> </w:t>
            </w:r>
            <w:r w:rsidR="00CC19D9" w:rsidRPr="00C935AA">
              <w:rPr>
                <w:rFonts w:ascii="Times New Roman" w:hAnsi="Times New Roman" w:cs="Times New Roman"/>
                <w:color w:val="231F20"/>
                <w:spacing w:val="-4"/>
                <w:sz w:val="24"/>
                <w:szCs w:val="24"/>
                <w:lang w:val="de-DE"/>
              </w:rPr>
              <w:fldChar w:fldCharType="begin" w:fldLock="1"/>
            </w:r>
            <w:r w:rsidR="008C6800" w:rsidRPr="00C935AA">
              <w:rPr>
                <w:rFonts w:ascii="Times New Roman" w:hAnsi="Times New Roman" w:cs="Times New Roman"/>
                <w:color w:val="231F20"/>
                <w:spacing w:val="-4"/>
                <w:sz w:val="24"/>
                <w:szCs w:val="24"/>
                <w:lang w:val="de-DE"/>
              </w:rPr>
              <w:instrText>ADDIN CSL_CITATION {"citationItems":[{"id":"ITEM-1","itemData":{"ISSN":"1664-2392","author":[{"dropping-particle":"","family":"Wolff","given":"Michael","non-dropping-particle":"Von","parse-names":false,"suffix":""},{"dropping-particle":"","family":"Fäh","given":"Monika","non-dropping-particle":"","parse-names":false,"suffix":""},{"dropping-particle":"","family":"Roumet","given":"Marie","non-dropping-particle":"","parse-names":false,"suffix":""},{"dropping-particle":"","family":"Mitter","given":"Vera","non-dropping-particle":"","parse-names":false,"suffix":""},{"dropping-particle":"","family":"Stute","given":"Petra","non-dropping-particle":"","parse-names":false,"suffix":""},{"dropping-particle":"","family":"Griesinger","given":"Georg","non-dropping-particle":"","parse-names":false,"suffix":""},{"dropping-particle":"","family":"Kohl Schwartz","given":"Alexandra","non-dropping-particle":"","parse-names":false,"suffix":""}],"container-title":"Frontiers in endocrinology","id":"ITEM-1","issued":{"date-parts":[["2018"]]},"page":"776","publisher":"Frontiers Media SA","title":"Thin endometrium is also associated with lower clinical pregnancy rate in unstimulated menstrual cycles: a study based on natural cycle IVF","type":"article-journal","volume":"9"},"uris":["http://www.mendeley.com/documents/?uuid=8865ed06-7d20-44e4-9f90-d0b36efca8e3"]}],"mendeley":{"formattedCitation":"[108]","plainTextFormattedCitation":"[108]","previouslyFormattedCitation":"(108)"},"properties":{"noteIndex":0},"schema":"https://github.com/citation-style-language/schema/raw/master/csl-citation.json"}</w:instrText>
            </w:r>
            <w:r w:rsidR="00CC19D9" w:rsidRPr="00C935AA">
              <w:rPr>
                <w:rFonts w:ascii="Times New Roman" w:hAnsi="Times New Roman" w:cs="Times New Roman"/>
                <w:color w:val="231F20"/>
                <w:spacing w:val="-4"/>
                <w:sz w:val="24"/>
                <w:szCs w:val="24"/>
                <w:lang w:val="de-DE"/>
              </w:rPr>
              <w:fldChar w:fldCharType="separate"/>
            </w:r>
            <w:r w:rsidR="008C6800" w:rsidRPr="00C935AA">
              <w:rPr>
                <w:rFonts w:ascii="Times New Roman" w:hAnsi="Times New Roman" w:cs="Times New Roman"/>
                <w:noProof/>
                <w:color w:val="231F20"/>
                <w:spacing w:val="-4"/>
                <w:sz w:val="24"/>
                <w:szCs w:val="24"/>
                <w:lang w:val="de-DE"/>
              </w:rPr>
              <w:t>[108</w:t>
            </w:r>
            <w:r w:rsidR="00635EAA" w:rsidRPr="00C935AA">
              <w:rPr>
                <w:rFonts w:ascii="Times New Roman" w:hAnsi="Times New Roman" w:cs="Times New Roman"/>
                <w:noProof/>
                <w:color w:val="231F20"/>
                <w:spacing w:val="-4"/>
                <w:sz w:val="24"/>
                <w:szCs w:val="24"/>
                <w:lang w:val="ru-RU"/>
              </w:rPr>
              <w:t>,с.776</w:t>
            </w:r>
            <w:r w:rsidR="008C6800" w:rsidRPr="00C935AA">
              <w:rPr>
                <w:rFonts w:ascii="Times New Roman" w:hAnsi="Times New Roman" w:cs="Times New Roman"/>
                <w:noProof/>
                <w:color w:val="231F20"/>
                <w:spacing w:val="-4"/>
                <w:sz w:val="24"/>
                <w:szCs w:val="24"/>
                <w:lang w:val="de-DE"/>
              </w:rPr>
              <w:t>]</w:t>
            </w:r>
            <w:r w:rsidR="00CC19D9" w:rsidRPr="00C935AA">
              <w:rPr>
                <w:rFonts w:ascii="Times New Roman" w:hAnsi="Times New Roman" w:cs="Times New Roman"/>
                <w:color w:val="231F20"/>
                <w:spacing w:val="-4"/>
                <w:sz w:val="24"/>
                <w:szCs w:val="24"/>
                <w:lang w:val="de-DE"/>
              </w:rPr>
              <w:fldChar w:fldCharType="end"/>
            </w:r>
          </w:p>
          <w:p w14:paraId="7AA508D3" w14:textId="06EE87F1" w:rsidR="00C11A77" w:rsidRPr="00C935AA" w:rsidRDefault="00C11A77" w:rsidP="00BE6128">
            <w:pPr>
              <w:pStyle w:val="TableParagraph"/>
              <w:spacing w:before="0"/>
              <w:ind w:left="79"/>
              <w:jc w:val="center"/>
              <w:rPr>
                <w:rFonts w:ascii="Times New Roman" w:hAnsi="Times New Roman" w:cs="Times New Roman"/>
                <w:sz w:val="24"/>
                <w:szCs w:val="24"/>
                <w:lang w:val="de-DE"/>
              </w:rPr>
            </w:pPr>
            <w:r w:rsidRPr="00C935AA">
              <w:rPr>
                <w:rFonts w:ascii="Times New Roman" w:hAnsi="Times New Roman" w:cs="Times New Roman"/>
                <w:color w:val="231F20"/>
                <w:spacing w:val="-4"/>
                <w:sz w:val="24"/>
                <w:szCs w:val="24"/>
                <w:lang w:val="de-DE"/>
              </w:rPr>
              <w:t>2018,</w:t>
            </w:r>
          </w:p>
          <w:p w14:paraId="28508DC0" w14:textId="77777777" w:rsidR="00C11A77" w:rsidRPr="00C935AA" w:rsidRDefault="00C11A77" w:rsidP="00BE6128">
            <w:pPr>
              <w:pStyle w:val="TableParagraph"/>
              <w:spacing w:before="0"/>
              <w:ind w:left="79"/>
              <w:jc w:val="center"/>
              <w:rPr>
                <w:rFonts w:ascii="Times New Roman" w:hAnsi="Times New Roman" w:cs="Times New Roman"/>
                <w:sz w:val="24"/>
                <w:szCs w:val="24"/>
                <w:lang w:val="de-DE"/>
              </w:rPr>
            </w:pPr>
            <w:r w:rsidRPr="00C935AA">
              <w:rPr>
                <w:rFonts w:ascii="Times New Roman" w:hAnsi="Times New Roman" w:cs="Times New Roman"/>
                <w:color w:val="231F20"/>
                <w:spacing w:val="-2"/>
                <w:sz w:val="24"/>
                <w:szCs w:val="24"/>
                <w:lang w:val="de-DE"/>
              </w:rPr>
              <w:t>Switzerland</w:t>
            </w:r>
          </w:p>
        </w:tc>
        <w:tc>
          <w:tcPr>
            <w:tcW w:w="567" w:type="dxa"/>
            <w:tcBorders>
              <w:bottom w:val="single" w:sz="4" w:space="0" w:color="auto"/>
            </w:tcBorders>
          </w:tcPr>
          <w:p w14:paraId="355AC569" w14:textId="77777777" w:rsidR="00C11A77" w:rsidRPr="00BE6128" w:rsidRDefault="00C11A77" w:rsidP="00BE6128">
            <w:pPr>
              <w:pStyle w:val="TableParagraph"/>
              <w:spacing w:before="0"/>
              <w:ind w:right="8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106</w:t>
            </w:r>
          </w:p>
        </w:tc>
        <w:tc>
          <w:tcPr>
            <w:tcW w:w="1701" w:type="dxa"/>
            <w:tcBorders>
              <w:bottom w:val="single" w:sz="4" w:space="0" w:color="auto"/>
            </w:tcBorders>
          </w:tcPr>
          <w:p w14:paraId="76540BA2" w14:textId="77777777" w:rsidR="00C11A77" w:rsidRPr="00BE6128" w:rsidRDefault="00C11A77" w:rsidP="00BE6128">
            <w:pPr>
              <w:pStyle w:val="TableParagraph"/>
              <w:spacing w:before="0"/>
              <w:ind w:left="229"/>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29.5</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3.2</w:t>
            </w:r>
          </w:p>
        </w:tc>
        <w:tc>
          <w:tcPr>
            <w:tcW w:w="1701" w:type="dxa"/>
            <w:tcBorders>
              <w:bottom w:val="single" w:sz="4" w:space="0" w:color="auto"/>
            </w:tcBorders>
          </w:tcPr>
          <w:p w14:paraId="114F326D" w14:textId="77777777" w:rsidR="00C11A77" w:rsidRPr="00BE6128" w:rsidRDefault="00C11A77" w:rsidP="00BE6128">
            <w:pPr>
              <w:pStyle w:val="TableParagraph"/>
              <w:spacing w:before="0"/>
              <w:ind w:left="228"/>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21.5</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3.7</w:t>
            </w:r>
          </w:p>
        </w:tc>
        <w:tc>
          <w:tcPr>
            <w:tcW w:w="3402" w:type="dxa"/>
            <w:tcBorders>
              <w:bottom w:val="single" w:sz="4" w:space="0" w:color="auto"/>
            </w:tcBorders>
          </w:tcPr>
          <w:p w14:paraId="264E3AB8" w14:textId="77777777" w:rsidR="00C11A77" w:rsidRPr="00BE6128" w:rsidRDefault="00C11A77" w:rsidP="00BE6128">
            <w:pPr>
              <w:pStyle w:val="TableParagraph"/>
              <w:spacing w:before="0"/>
              <w:ind w:left="76"/>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Fresh:</w:t>
            </w:r>
            <w:r w:rsidRPr="00BE6128">
              <w:rPr>
                <w:rFonts w:ascii="Times New Roman" w:hAnsi="Times New Roman" w:cs="Times New Roman"/>
                <w:color w:val="231F20"/>
                <w:spacing w:val="-1"/>
                <w:sz w:val="24"/>
                <w:szCs w:val="24"/>
              </w:rPr>
              <w:t xml:space="preserve"> </w:t>
            </w:r>
            <w:r w:rsidRPr="00BE6128">
              <w:rPr>
                <w:rFonts w:ascii="Times New Roman" w:hAnsi="Times New Roman" w:cs="Times New Roman"/>
                <w:color w:val="231F20"/>
                <w:spacing w:val="-4"/>
                <w:sz w:val="24"/>
                <w:szCs w:val="24"/>
                <w:lang w:val="ru-RU"/>
              </w:rPr>
              <w:t>и</w:t>
            </w:r>
            <w:r w:rsidRPr="00BE6128">
              <w:rPr>
                <w:rFonts w:ascii="Times New Roman" w:hAnsi="Times New Roman" w:cs="Times New Roman"/>
                <w:color w:val="231F20"/>
                <w:spacing w:val="-4"/>
                <w:sz w:val="24"/>
                <w:szCs w:val="24"/>
              </w:rPr>
              <w:t>звлечение ооцитов</w:t>
            </w:r>
          </w:p>
        </w:tc>
        <w:tc>
          <w:tcPr>
            <w:tcW w:w="1559" w:type="dxa"/>
            <w:tcBorders>
              <w:bottom w:val="single" w:sz="4" w:space="0" w:color="auto"/>
            </w:tcBorders>
          </w:tcPr>
          <w:p w14:paraId="222F6463" w14:textId="77777777" w:rsidR="00C11A77" w:rsidRPr="00BE6128" w:rsidRDefault="00C11A77" w:rsidP="00BE6128">
            <w:pPr>
              <w:pStyle w:val="TableParagraph"/>
              <w:spacing w:before="0"/>
              <w:ind w:right="86"/>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Borders>
              <w:bottom w:val="single" w:sz="4" w:space="0" w:color="auto"/>
            </w:tcBorders>
          </w:tcPr>
          <w:p w14:paraId="0F2ADEA5"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9.5%</w:t>
            </w:r>
          </w:p>
        </w:tc>
        <w:tc>
          <w:tcPr>
            <w:tcW w:w="2126" w:type="dxa"/>
            <w:tcBorders>
              <w:bottom w:val="single" w:sz="4" w:space="0" w:color="auto"/>
            </w:tcBorders>
          </w:tcPr>
          <w:p w14:paraId="7AAC07A6"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4.8%</w:t>
            </w:r>
          </w:p>
        </w:tc>
      </w:tr>
      <w:tr w:rsidR="00BE6128" w:rsidRPr="00BE6128" w14:paraId="10F3907C" w14:textId="77777777" w:rsidTr="00C935AA">
        <w:trPr>
          <w:trHeight w:val="282"/>
        </w:trPr>
        <w:tc>
          <w:tcPr>
            <w:tcW w:w="709" w:type="dxa"/>
            <w:vMerge w:val="restart"/>
          </w:tcPr>
          <w:p w14:paraId="23EBDA21" w14:textId="77777777" w:rsidR="00C11A77" w:rsidRPr="00BE6128" w:rsidRDefault="00C11A77" w:rsidP="00BE6128">
            <w:pPr>
              <w:pStyle w:val="TableParagraph"/>
              <w:spacing w:before="0"/>
              <w:ind w:left="170"/>
              <w:jc w:val="center"/>
              <w:rPr>
                <w:rFonts w:ascii="Times New Roman" w:hAnsi="Times New Roman" w:cs="Times New Roman"/>
                <w:sz w:val="24"/>
                <w:szCs w:val="24"/>
              </w:rPr>
            </w:pPr>
            <w:r w:rsidRPr="00BE6128">
              <w:rPr>
                <w:rFonts w:ascii="Times New Roman" w:hAnsi="Times New Roman" w:cs="Times New Roman"/>
                <w:color w:val="231F20"/>
                <w:spacing w:val="-10"/>
                <w:sz w:val="24"/>
                <w:szCs w:val="24"/>
              </w:rPr>
              <w:t>9</w:t>
            </w:r>
          </w:p>
        </w:tc>
        <w:tc>
          <w:tcPr>
            <w:tcW w:w="1276" w:type="dxa"/>
            <w:vMerge w:val="restart"/>
          </w:tcPr>
          <w:p w14:paraId="2A1BE4BA" w14:textId="07697EEB" w:rsidR="00C11A77" w:rsidRPr="00C935AA" w:rsidRDefault="00C11A77" w:rsidP="00BE6128">
            <w:pPr>
              <w:pStyle w:val="TableParagraph"/>
              <w:spacing w:before="0"/>
              <w:ind w:left="79"/>
              <w:jc w:val="center"/>
              <w:rPr>
                <w:rFonts w:ascii="Times New Roman" w:hAnsi="Times New Roman" w:cs="Times New Roman"/>
                <w:sz w:val="24"/>
                <w:szCs w:val="24"/>
              </w:rPr>
            </w:pPr>
            <w:r w:rsidRPr="00C935AA">
              <w:rPr>
                <w:rFonts w:ascii="Times New Roman" w:hAnsi="Times New Roman" w:cs="Times New Roman"/>
                <w:color w:val="231F20"/>
                <w:spacing w:val="-2"/>
                <w:sz w:val="24"/>
                <w:szCs w:val="24"/>
              </w:rPr>
              <w:t>Zhang</w:t>
            </w:r>
            <w:r w:rsidRPr="00C935AA">
              <w:rPr>
                <w:rFonts w:ascii="Times New Roman" w:hAnsi="Times New Roman" w:cs="Times New Roman"/>
                <w:color w:val="231F20"/>
                <w:spacing w:val="-8"/>
                <w:sz w:val="24"/>
                <w:szCs w:val="24"/>
              </w:rPr>
              <w:t xml:space="preserve"> </w:t>
            </w:r>
            <w:r w:rsidRPr="00C935AA">
              <w:rPr>
                <w:rFonts w:ascii="Times New Roman" w:hAnsi="Times New Roman" w:cs="Times New Roman"/>
                <w:color w:val="231F20"/>
                <w:spacing w:val="-2"/>
                <w:sz w:val="24"/>
                <w:szCs w:val="24"/>
              </w:rPr>
              <w:t>et</w:t>
            </w:r>
            <w:r w:rsidRPr="00C935AA">
              <w:rPr>
                <w:rFonts w:ascii="Times New Roman" w:hAnsi="Times New Roman" w:cs="Times New Roman"/>
                <w:color w:val="231F20"/>
                <w:spacing w:val="-8"/>
                <w:sz w:val="24"/>
                <w:szCs w:val="24"/>
              </w:rPr>
              <w:t xml:space="preserve"> </w:t>
            </w:r>
            <w:r w:rsidRPr="00C935AA">
              <w:rPr>
                <w:rFonts w:ascii="Times New Roman" w:hAnsi="Times New Roman" w:cs="Times New Roman"/>
                <w:color w:val="231F20"/>
                <w:spacing w:val="-2"/>
                <w:sz w:val="24"/>
                <w:szCs w:val="24"/>
              </w:rPr>
              <w:t>al.,</w:t>
            </w:r>
            <w:r w:rsidRPr="00C935AA">
              <w:rPr>
                <w:rFonts w:ascii="Times New Roman" w:hAnsi="Times New Roman" w:cs="Times New Roman"/>
                <w:color w:val="231F20"/>
                <w:spacing w:val="-8"/>
                <w:sz w:val="24"/>
                <w:szCs w:val="24"/>
              </w:rPr>
              <w:t xml:space="preserve"> </w:t>
            </w:r>
            <w:r w:rsidR="00404317" w:rsidRPr="00C935AA">
              <w:rPr>
                <w:rFonts w:ascii="Times New Roman" w:hAnsi="Times New Roman" w:cs="Times New Roman"/>
                <w:color w:val="231F20"/>
                <w:spacing w:val="-2"/>
                <w:sz w:val="24"/>
                <w:szCs w:val="24"/>
              </w:rPr>
              <w:fldChar w:fldCharType="begin" w:fldLock="1"/>
            </w:r>
            <w:r w:rsidR="00404317" w:rsidRPr="00C935AA">
              <w:rPr>
                <w:rFonts w:ascii="Times New Roman" w:hAnsi="Times New Roman" w:cs="Times New Roman"/>
                <w:color w:val="231F20"/>
                <w:spacing w:val="-2"/>
                <w:sz w:val="24"/>
                <w:szCs w:val="24"/>
              </w:rPr>
              <w:instrText>ADDIN CSL_CITATION {"citationItems":[{"id":"ITEM-1","itemData":{"DOI":"10.1177/1933719118816835","ISSN":"19337205","PMID":"30501453","abstract":"The aim of this study is to investigate the effect of ovarian and endometrial response on live birth rates (LBRs) in young normal and high responders and prolonged pituitary downregulation on endometrial receptivity and clinical outcomes in patients with different endometrial thickness. Between January 2013 and December 2017, 9511 patients underwent first in vitro fertilization (IVF)/intracytoplasmic sperm injection (ICSI) cycles with age ≤35 years, follicle stimulating hormone &lt; 10 IU/l, and ≥4 retrieved oocytes were conducted. The estradiol (E2) levels on the human chorionic gonadotropin (HCG) day were classified into 4 groups: group 1 (&lt;3000 pg/mL); group 2 (3000-5000 pg/mL); group 3 (5000-7000 pg/mL), and group 4 (≥7000 pg/mL). Logistic regression analysis was performed to predict the independent variables for live birth. Clinical outcomes between gonadotropin-releasing hormone agonist (GnRH-a) long protocol and GnRH-a prolonged protocol in patients with different endometrial thickness (EMT) were compared. There were no significant differences among the 4 groups in implantation rates, clinical pregnancy rates, and LBRs (P &gt;.05). Binary logistic regression analysis suggested that EMT but not E2 levels was one of the independent predictive factors of LBRs (odds ratio 0.889, 95% confidence interval, 0.865-0.914, P &lt;.001). The prolonged protocol had significantly higher implantation rates and clinical pregnancy rates in patients with medium (7 &lt; EMT &lt; 14 mm), especially thin endometrium (≤7 mm) compared to short GnRH-a long protocol. Our study showed that endometrial response but not ovarian response was associated with LBRs in young normal and hyper responders. Prolonged pituitary downregulation was an effective treatment to improve endometrial receptivity in patients with medium, especially thin endometrium.","author":[{"dropping-particle":"","family":"Song","given":"Jianyuan","non-dropping-particle":"","parse-names":false,"suffix":""},{"dropping-particle":"","family":"Sun","given":"Xuejiao","non-dropping-particle":"","parse-names":false,"suffix":""},{"dropping-particle":"","family":"Qian","given":"Kun","non-dropping-particle":"","parse-names":false,"suffix":""}],"container-title":"Reproductive Sciences","id":"ITEM-1","issue":"11","issued":{"date-parts":[["2019"]]},"page":"1409-1416","title":"Endometrial but not Ovarian Response is Associated With Clinical Outcomes and can be Improved by Prolonged Pituitary Downregulation in Patients With Thin and Medium Endometrium","type":"article-journal","volume":"26"},"uris":["http://www.mendeley.com/documents/?uuid=394c3b88-a65a-4a5b-a044-d4f5daa706ca"]}],"mendeley":{"formattedCitation":"[52]","manualFormatting":"[9]","plainTextFormattedCitation":"[52]","previouslyFormattedCitation":"(52)"},"properties":{"noteIndex":0},"schema":"https://github.com/citation-style-language/schema/raw/master/csl-citation.json"}</w:instrText>
            </w:r>
            <w:r w:rsidR="00404317" w:rsidRPr="00C935AA">
              <w:rPr>
                <w:rFonts w:ascii="Times New Roman" w:hAnsi="Times New Roman" w:cs="Times New Roman"/>
                <w:color w:val="231F20"/>
                <w:spacing w:val="-2"/>
                <w:sz w:val="24"/>
                <w:szCs w:val="24"/>
              </w:rPr>
              <w:fldChar w:fldCharType="separate"/>
            </w:r>
            <w:r w:rsidR="00404317" w:rsidRPr="00C935AA">
              <w:rPr>
                <w:rFonts w:ascii="Times New Roman" w:hAnsi="Times New Roman" w:cs="Times New Roman"/>
                <w:noProof/>
                <w:color w:val="231F20"/>
                <w:spacing w:val="-2"/>
                <w:sz w:val="24"/>
                <w:szCs w:val="24"/>
              </w:rPr>
              <w:t>[</w:t>
            </w:r>
            <w:r w:rsidR="00404317" w:rsidRPr="00C935AA">
              <w:rPr>
                <w:rFonts w:ascii="Times New Roman" w:hAnsi="Times New Roman" w:cs="Times New Roman"/>
                <w:noProof/>
                <w:color w:val="231F20"/>
                <w:spacing w:val="-2"/>
                <w:sz w:val="24"/>
                <w:szCs w:val="24"/>
                <w:lang w:val="ru-RU"/>
              </w:rPr>
              <w:t>9</w:t>
            </w:r>
            <w:r w:rsidR="00404317" w:rsidRPr="00C935AA">
              <w:rPr>
                <w:rFonts w:ascii="Times New Roman" w:hAnsi="Times New Roman" w:cs="Times New Roman"/>
                <w:noProof/>
                <w:color w:val="231F20"/>
                <w:spacing w:val="-2"/>
                <w:sz w:val="24"/>
                <w:szCs w:val="24"/>
              </w:rPr>
              <w:t>]</w:t>
            </w:r>
            <w:r w:rsidR="00404317" w:rsidRPr="00C935AA">
              <w:rPr>
                <w:rFonts w:ascii="Times New Roman" w:hAnsi="Times New Roman" w:cs="Times New Roman"/>
                <w:color w:val="231F20"/>
                <w:spacing w:val="-2"/>
                <w:sz w:val="24"/>
                <w:szCs w:val="24"/>
              </w:rPr>
              <w:fldChar w:fldCharType="end"/>
            </w:r>
            <w:r w:rsidRPr="00C935AA">
              <w:rPr>
                <w:rFonts w:ascii="Times New Roman" w:hAnsi="Times New Roman" w:cs="Times New Roman"/>
                <w:color w:val="231F20"/>
                <w:sz w:val="24"/>
                <w:szCs w:val="24"/>
              </w:rPr>
              <w:t>2018,</w:t>
            </w:r>
            <w:r w:rsidRPr="00C935AA">
              <w:rPr>
                <w:rFonts w:ascii="Times New Roman" w:hAnsi="Times New Roman" w:cs="Times New Roman"/>
                <w:color w:val="231F20"/>
                <w:spacing w:val="-5"/>
                <w:sz w:val="24"/>
                <w:szCs w:val="24"/>
              </w:rPr>
              <w:t xml:space="preserve"> </w:t>
            </w:r>
          </w:p>
        </w:tc>
        <w:tc>
          <w:tcPr>
            <w:tcW w:w="567" w:type="dxa"/>
            <w:vMerge w:val="restart"/>
          </w:tcPr>
          <w:p w14:paraId="0B228B04" w14:textId="77777777" w:rsidR="00C11A77" w:rsidRPr="00BE6128" w:rsidRDefault="00C11A77" w:rsidP="00BE6128">
            <w:pPr>
              <w:pStyle w:val="TableParagraph"/>
              <w:spacing w:before="0"/>
              <w:ind w:left="79"/>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1512</w:t>
            </w:r>
          </w:p>
        </w:tc>
        <w:tc>
          <w:tcPr>
            <w:tcW w:w="1701" w:type="dxa"/>
            <w:vMerge w:val="restart"/>
          </w:tcPr>
          <w:p w14:paraId="473BCAF4" w14:textId="77777777" w:rsidR="00C11A77" w:rsidRPr="00BE6128" w:rsidRDefault="00C11A77" w:rsidP="00BE6128">
            <w:pPr>
              <w:pStyle w:val="TableParagraph"/>
              <w:spacing w:before="0"/>
              <w:ind w:left="275"/>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30.3±4.2</w:t>
            </w:r>
          </w:p>
        </w:tc>
        <w:tc>
          <w:tcPr>
            <w:tcW w:w="1701" w:type="dxa"/>
            <w:vMerge w:val="restart"/>
          </w:tcPr>
          <w:p w14:paraId="5BE5DCD0" w14:textId="77777777" w:rsidR="00C11A77" w:rsidRPr="00BE6128" w:rsidRDefault="00C11A77" w:rsidP="00BE6128">
            <w:pPr>
              <w:pStyle w:val="TableParagraph"/>
              <w:spacing w:before="0"/>
              <w:ind w:left="274"/>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21.5±5.8</w:t>
            </w:r>
          </w:p>
        </w:tc>
        <w:tc>
          <w:tcPr>
            <w:tcW w:w="3402" w:type="dxa"/>
          </w:tcPr>
          <w:p w14:paraId="1C55002A" w14:textId="77777777" w:rsidR="00C11A77" w:rsidRPr="00BE6128" w:rsidRDefault="00C11A77" w:rsidP="00BE6128">
            <w:pPr>
              <w:pStyle w:val="TableParagraph"/>
              <w:spacing w:before="0"/>
              <w:ind w:left="76"/>
              <w:jc w:val="center"/>
              <w:rPr>
                <w:rFonts w:ascii="Times New Roman" w:hAnsi="Times New Roman" w:cs="Times New Roman"/>
                <w:sz w:val="24"/>
                <w:szCs w:val="24"/>
              </w:rPr>
            </w:pPr>
            <w:r w:rsidRPr="00BE6128">
              <w:rPr>
                <w:rFonts w:ascii="Times New Roman" w:hAnsi="Times New Roman" w:cs="Times New Roman"/>
                <w:color w:val="231F20"/>
                <w:w w:val="90"/>
                <w:sz w:val="24"/>
                <w:szCs w:val="24"/>
              </w:rPr>
              <w:t>Fresh:</w:t>
            </w:r>
            <w:r w:rsidRPr="00BE6128">
              <w:rPr>
                <w:rFonts w:ascii="Times New Roman" w:hAnsi="Times New Roman" w:cs="Times New Roman"/>
                <w:color w:val="231F20"/>
                <w:spacing w:val="5"/>
                <w:sz w:val="24"/>
                <w:szCs w:val="24"/>
              </w:rPr>
              <w:t xml:space="preserve"> </w:t>
            </w:r>
            <w:r w:rsidRPr="00BE6128">
              <w:rPr>
                <w:rFonts w:ascii="Times New Roman" w:hAnsi="Times New Roman" w:cs="Times New Roman"/>
                <w:color w:val="231F20"/>
                <w:w w:val="90"/>
                <w:sz w:val="24"/>
                <w:szCs w:val="24"/>
                <w:lang w:val="ru-RU"/>
              </w:rPr>
              <w:t>и</w:t>
            </w:r>
            <w:r w:rsidRPr="00BE6128">
              <w:rPr>
                <w:rFonts w:ascii="Times New Roman" w:hAnsi="Times New Roman" w:cs="Times New Roman"/>
                <w:color w:val="231F20"/>
                <w:w w:val="90"/>
                <w:sz w:val="24"/>
                <w:szCs w:val="24"/>
              </w:rPr>
              <w:t>звлечение ооцитов</w:t>
            </w:r>
          </w:p>
        </w:tc>
        <w:tc>
          <w:tcPr>
            <w:tcW w:w="1559" w:type="dxa"/>
            <w:vMerge w:val="restart"/>
          </w:tcPr>
          <w:p w14:paraId="03F4149E" w14:textId="77777777" w:rsidR="00C11A77" w:rsidRPr="00BE6128" w:rsidRDefault="00C11A77" w:rsidP="00BE6128">
            <w:pPr>
              <w:pStyle w:val="TableParagraph"/>
              <w:spacing w:before="0"/>
              <w:ind w:left="175"/>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&lt;6</w:t>
            </w:r>
          </w:p>
        </w:tc>
        <w:tc>
          <w:tcPr>
            <w:tcW w:w="1843" w:type="dxa"/>
          </w:tcPr>
          <w:p w14:paraId="45C79E35"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50.0%</w:t>
            </w:r>
          </w:p>
        </w:tc>
        <w:tc>
          <w:tcPr>
            <w:tcW w:w="2126" w:type="dxa"/>
          </w:tcPr>
          <w:p w14:paraId="160D228F"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33.3%</w:t>
            </w:r>
          </w:p>
        </w:tc>
      </w:tr>
      <w:tr w:rsidR="00BE6128" w:rsidRPr="00BE6128" w14:paraId="3FE32DEF" w14:textId="77777777" w:rsidTr="00C935AA">
        <w:trPr>
          <w:trHeight w:val="282"/>
        </w:trPr>
        <w:tc>
          <w:tcPr>
            <w:tcW w:w="709" w:type="dxa"/>
            <w:vMerge/>
            <w:tcBorders>
              <w:bottom w:val="nil"/>
            </w:tcBorders>
          </w:tcPr>
          <w:p w14:paraId="6AFA91ED" w14:textId="77777777" w:rsidR="00C11A77" w:rsidRPr="00BE6128" w:rsidRDefault="00C11A77" w:rsidP="00BE6128">
            <w:pPr>
              <w:jc w:val="center"/>
              <w:rPr>
                <w:rFonts w:ascii="Times New Roman" w:hAnsi="Times New Roman" w:cs="Times New Roman"/>
                <w:sz w:val="24"/>
                <w:szCs w:val="24"/>
              </w:rPr>
            </w:pPr>
          </w:p>
        </w:tc>
        <w:tc>
          <w:tcPr>
            <w:tcW w:w="1276" w:type="dxa"/>
            <w:vMerge/>
            <w:tcBorders>
              <w:bottom w:val="nil"/>
            </w:tcBorders>
          </w:tcPr>
          <w:p w14:paraId="29BD29BC" w14:textId="77777777" w:rsidR="00C11A77" w:rsidRPr="00BE6128" w:rsidRDefault="00C11A77" w:rsidP="00BE6128">
            <w:pPr>
              <w:jc w:val="center"/>
              <w:rPr>
                <w:rFonts w:ascii="Times New Roman" w:hAnsi="Times New Roman" w:cs="Times New Roman"/>
                <w:sz w:val="24"/>
                <w:szCs w:val="24"/>
              </w:rPr>
            </w:pPr>
          </w:p>
        </w:tc>
        <w:tc>
          <w:tcPr>
            <w:tcW w:w="567" w:type="dxa"/>
            <w:vMerge/>
            <w:tcBorders>
              <w:bottom w:val="nil"/>
            </w:tcBorders>
          </w:tcPr>
          <w:p w14:paraId="58F6D5DB" w14:textId="77777777" w:rsidR="00C11A77" w:rsidRPr="00BE6128" w:rsidRDefault="00C11A77" w:rsidP="00BE6128">
            <w:pPr>
              <w:jc w:val="center"/>
              <w:rPr>
                <w:rFonts w:ascii="Times New Roman" w:hAnsi="Times New Roman" w:cs="Times New Roman"/>
                <w:sz w:val="24"/>
                <w:szCs w:val="24"/>
              </w:rPr>
            </w:pPr>
          </w:p>
        </w:tc>
        <w:tc>
          <w:tcPr>
            <w:tcW w:w="1701" w:type="dxa"/>
            <w:vMerge/>
            <w:tcBorders>
              <w:bottom w:val="nil"/>
            </w:tcBorders>
          </w:tcPr>
          <w:p w14:paraId="1077141E" w14:textId="77777777" w:rsidR="00C11A77" w:rsidRPr="00BE6128" w:rsidRDefault="00C11A77" w:rsidP="00BE6128">
            <w:pPr>
              <w:jc w:val="center"/>
              <w:rPr>
                <w:rFonts w:ascii="Times New Roman" w:hAnsi="Times New Roman" w:cs="Times New Roman"/>
                <w:sz w:val="24"/>
                <w:szCs w:val="24"/>
              </w:rPr>
            </w:pPr>
          </w:p>
        </w:tc>
        <w:tc>
          <w:tcPr>
            <w:tcW w:w="1701" w:type="dxa"/>
            <w:vMerge/>
            <w:tcBorders>
              <w:bottom w:val="nil"/>
            </w:tcBorders>
          </w:tcPr>
          <w:p w14:paraId="434B8968" w14:textId="77777777" w:rsidR="00C11A77" w:rsidRPr="00BE6128" w:rsidRDefault="00C11A77" w:rsidP="00BE6128">
            <w:pPr>
              <w:jc w:val="center"/>
              <w:rPr>
                <w:rFonts w:ascii="Times New Roman" w:hAnsi="Times New Roman" w:cs="Times New Roman"/>
                <w:sz w:val="24"/>
                <w:szCs w:val="24"/>
              </w:rPr>
            </w:pPr>
          </w:p>
        </w:tc>
        <w:tc>
          <w:tcPr>
            <w:tcW w:w="3402" w:type="dxa"/>
            <w:tcBorders>
              <w:bottom w:val="nil"/>
            </w:tcBorders>
          </w:tcPr>
          <w:p w14:paraId="43E331B3" w14:textId="77777777" w:rsidR="00C11A77" w:rsidRPr="00BE6128" w:rsidRDefault="00C11A77" w:rsidP="00BE6128">
            <w:pPr>
              <w:pStyle w:val="TableParagraph"/>
              <w:spacing w:before="0"/>
              <w:ind w:left="76"/>
              <w:jc w:val="center"/>
              <w:rPr>
                <w:rFonts w:ascii="Times New Roman" w:hAnsi="Times New Roman" w:cs="Times New Roman"/>
                <w:sz w:val="24"/>
                <w:szCs w:val="24"/>
              </w:rPr>
            </w:pPr>
            <w:r w:rsidRPr="00BE6128">
              <w:rPr>
                <w:rFonts w:ascii="Times New Roman" w:hAnsi="Times New Roman" w:cs="Times New Roman"/>
                <w:color w:val="231F20"/>
                <w:spacing w:val="-6"/>
                <w:sz w:val="24"/>
                <w:szCs w:val="24"/>
              </w:rPr>
              <w:t>FET:</w:t>
            </w:r>
            <w:r w:rsidRPr="00BE6128">
              <w:rPr>
                <w:rFonts w:ascii="Times New Roman" w:hAnsi="Times New Roman" w:cs="Times New Roman"/>
                <w:color w:val="231F20"/>
                <w:spacing w:val="4"/>
                <w:sz w:val="24"/>
                <w:szCs w:val="24"/>
              </w:rPr>
              <w:t xml:space="preserve"> </w:t>
            </w:r>
            <w:r w:rsidRPr="00BE6128">
              <w:rPr>
                <w:rFonts w:ascii="Times New Roman" w:hAnsi="Times New Roman" w:cs="Times New Roman"/>
                <w:color w:val="231F20"/>
                <w:spacing w:val="-6"/>
                <w:sz w:val="24"/>
                <w:szCs w:val="24"/>
              </w:rPr>
              <w:t>добавка прогестерона</w:t>
            </w:r>
          </w:p>
        </w:tc>
        <w:tc>
          <w:tcPr>
            <w:tcW w:w="1559" w:type="dxa"/>
            <w:vMerge/>
            <w:tcBorders>
              <w:bottom w:val="nil"/>
            </w:tcBorders>
          </w:tcPr>
          <w:p w14:paraId="7DF66E79" w14:textId="77777777" w:rsidR="00C11A77" w:rsidRPr="00BE6128" w:rsidRDefault="00C11A77" w:rsidP="00BE6128">
            <w:pPr>
              <w:jc w:val="center"/>
              <w:rPr>
                <w:rFonts w:ascii="Times New Roman" w:hAnsi="Times New Roman" w:cs="Times New Roman"/>
                <w:sz w:val="24"/>
                <w:szCs w:val="24"/>
              </w:rPr>
            </w:pPr>
          </w:p>
        </w:tc>
        <w:tc>
          <w:tcPr>
            <w:tcW w:w="1843" w:type="dxa"/>
            <w:tcBorders>
              <w:bottom w:val="nil"/>
            </w:tcBorders>
          </w:tcPr>
          <w:p w14:paraId="71F91EFA"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34.8%</w:t>
            </w:r>
          </w:p>
        </w:tc>
        <w:tc>
          <w:tcPr>
            <w:tcW w:w="2126" w:type="dxa"/>
            <w:tcBorders>
              <w:bottom w:val="nil"/>
            </w:tcBorders>
          </w:tcPr>
          <w:p w14:paraId="7D2642F2" w14:textId="77777777" w:rsidR="00C11A77" w:rsidRPr="00BE6128" w:rsidRDefault="00C11A77" w:rsidP="00BE612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26.1%</w:t>
            </w:r>
          </w:p>
        </w:tc>
      </w:tr>
    </w:tbl>
    <w:p w14:paraId="183651F1" w14:textId="1CC5C5F2" w:rsidR="002635DA" w:rsidRDefault="002635DA" w:rsidP="002635DA">
      <w:pPr>
        <w:spacing w:after="0" w:line="240" w:lineRule="auto"/>
        <w:rPr>
          <w:rFonts w:ascii="Times New Roman" w:hAnsi="Times New Roman" w:cs="Times New Roman"/>
          <w:sz w:val="28"/>
          <w:szCs w:val="28"/>
        </w:rPr>
      </w:pPr>
    </w:p>
    <w:p w14:paraId="6A4791D5" w14:textId="7DF8A9C4" w:rsidR="00C935AA" w:rsidRDefault="00C935AA" w:rsidP="002635DA">
      <w:pPr>
        <w:spacing w:after="0" w:line="240" w:lineRule="auto"/>
        <w:rPr>
          <w:rFonts w:ascii="Times New Roman" w:hAnsi="Times New Roman" w:cs="Times New Roman"/>
          <w:sz w:val="28"/>
          <w:szCs w:val="28"/>
        </w:rPr>
      </w:pPr>
    </w:p>
    <w:p w14:paraId="4795CA1A" w14:textId="6D05B246" w:rsidR="00C935AA" w:rsidRDefault="00C935AA" w:rsidP="002635DA">
      <w:pPr>
        <w:spacing w:after="0" w:line="240" w:lineRule="auto"/>
        <w:rPr>
          <w:rFonts w:ascii="Times New Roman" w:hAnsi="Times New Roman" w:cs="Times New Roman"/>
          <w:sz w:val="28"/>
          <w:szCs w:val="28"/>
        </w:rPr>
      </w:pPr>
    </w:p>
    <w:p w14:paraId="0E950C49" w14:textId="3E063780" w:rsidR="00C935AA" w:rsidRDefault="00C935AA" w:rsidP="002635DA">
      <w:pPr>
        <w:spacing w:after="0" w:line="240" w:lineRule="auto"/>
        <w:rPr>
          <w:rFonts w:ascii="Times New Roman" w:hAnsi="Times New Roman" w:cs="Times New Roman"/>
          <w:sz w:val="28"/>
          <w:szCs w:val="28"/>
        </w:rPr>
      </w:pPr>
    </w:p>
    <w:p w14:paraId="0F8BF82E" w14:textId="77777777" w:rsidR="00C935AA" w:rsidRDefault="00C935AA" w:rsidP="002635DA">
      <w:pPr>
        <w:spacing w:after="0" w:line="240" w:lineRule="auto"/>
        <w:rPr>
          <w:rFonts w:ascii="Times New Roman" w:hAnsi="Times New Roman" w:cs="Times New Roman"/>
          <w:sz w:val="28"/>
          <w:szCs w:val="28"/>
        </w:rPr>
      </w:pPr>
    </w:p>
    <w:p w14:paraId="45CF6963" w14:textId="77777777" w:rsidR="002635DA" w:rsidRDefault="002635DA" w:rsidP="002635DA">
      <w:pPr>
        <w:spacing w:after="0" w:line="240" w:lineRule="auto"/>
        <w:rPr>
          <w:rFonts w:ascii="Times New Roman" w:hAnsi="Times New Roman" w:cs="Times New Roman"/>
          <w:sz w:val="28"/>
          <w:szCs w:val="28"/>
        </w:rPr>
      </w:pPr>
    </w:p>
    <w:p w14:paraId="34B5422F" w14:textId="76F23B07" w:rsidR="001A5AC8" w:rsidRDefault="001A5AC8" w:rsidP="002635DA">
      <w:pPr>
        <w:spacing w:after="0" w:line="240" w:lineRule="auto"/>
        <w:rPr>
          <w:rFonts w:ascii="Times New Roman" w:hAnsi="Times New Roman" w:cs="Times New Roman"/>
          <w:sz w:val="28"/>
          <w:szCs w:val="28"/>
        </w:rPr>
      </w:pPr>
      <w:r w:rsidRPr="001A5AC8">
        <w:rPr>
          <w:rFonts w:ascii="Times New Roman" w:hAnsi="Times New Roman" w:cs="Times New Roman"/>
          <w:sz w:val="28"/>
          <w:szCs w:val="28"/>
        </w:rPr>
        <w:t xml:space="preserve">     Продолжение таблицы 4</w:t>
      </w:r>
    </w:p>
    <w:p w14:paraId="397255C1" w14:textId="77777777" w:rsidR="002635DA" w:rsidRPr="001A5AC8" w:rsidRDefault="002635DA" w:rsidP="002635DA">
      <w:pPr>
        <w:spacing w:after="0" w:line="240" w:lineRule="auto"/>
        <w:rPr>
          <w:rFonts w:ascii="Times New Roman" w:hAnsi="Times New Roman" w:cs="Times New Roman"/>
          <w:sz w:val="28"/>
          <w:szCs w:val="28"/>
        </w:rPr>
      </w:pPr>
    </w:p>
    <w:tbl>
      <w:tblPr>
        <w:tblStyle w:val="TableNormal"/>
        <w:tblW w:w="1445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134"/>
        <w:gridCol w:w="709"/>
        <w:gridCol w:w="1559"/>
        <w:gridCol w:w="1701"/>
        <w:gridCol w:w="3402"/>
        <w:gridCol w:w="1559"/>
        <w:gridCol w:w="1843"/>
        <w:gridCol w:w="2126"/>
      </w:tblGrid>
      <w:tr w:rsidR="00BE6128" w:rsidRPr="00BE6128" w14:paraId="5629E429" w14:textId="77777777" w:rsidTr="001A5AC8">
        <w:trPr>
          <w:trHeight w:val="272"/>
        </w:trPr>
        <w:tc>
          <w:tcPr>
            <w:tcW w:w="425" w:type="dxa"/>
          </w:tcPr>
          <w:p w14:paraId="0965F295" w14:textId="3EB92A9D" w:rsidR="00C11A77" w:rsidRPr="001A5AC8" w:rsidRDefault="001A5AC8" w:rsidP="002635DA">
            <w:pPr>
              <w:pStyle w:val="TableParagraph"/>
              <w:spacing w:before="0"/>
              <w:ind w:left="79"/>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134" w:type="dxa"/>
          </w:tcPr>
          <w:p w14:paraId="2717FFEB" w14:textId="23FDB856" w:rsidR="00C11A77" w:rsidRPr="001A5AC8" w:rsidRDefault="001A5AC8" w:rsidP="002635DA">
            <w:pPr>
              <w:pStyle w:val="TableParagraph"/>
              <w:spacing w:before="0"/>
              <w:ind w:left="79" w:right="227"/>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709" w:type="dxa"/>
          </w:tcPr>
          <w:p w14:paraId="5EC1A047" w14:textId="57957D67" w:rsidR="00C11A77" w:rsidRPr="001A5AC8" w:rsidRDefault="001A5AC8" w:rsidP="002635DA">
            <w:pPr>
              <w:pStyle w:val="TableParagraph"/>
              <w:spacing w:before="0"/>
              <w:ind w:right="89"/>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59" w:type="dxa"/>
          </w:tcPr>
          <w:p w14:paraId="2B16E25C" w14:textId="1CF8C12C" w:rsidR="00C11A77" w:rsidRPr="001A5AC8" w:rsidRDefault="001A5AC8" w:rsidP="002635DA">
            <w:pPr>
              <w:pStyle w:val="TableParagraph"/>
              <w:spacing w:before="0"/>
              <w:ind w:left="8" w:right="3"/>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Pr>
          <w:p w14:paraId="27F69AB9" w14:textId="0E1765EA" w:rsidR="00C11A77" w:rsidRPr="001A5AC8" w:rsidRDefault="001A5AC8" w:rsidP="002635DA">
            <w:pPr>
              <w:pStyle w:val="TableParagraph"/>
              <w:spacing w:before="0"/>
              <w:ind w:left="8" w:right="4"/>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402" w:type="dxa"/>
          </w:tcPr>
          <w:p w14:paraId="3A9A60A2" w14:textId="32AD8CF0" w:rsidR="00C11A77" w:rsidRPr="00BE6128" w:rsidRDefault="001A5AC8" w:rsidP="002635DA">
            <w:pPr>
              <w:pStyle w:val="TableParagraph"/>
              <w:spacing w:before="0"/>
              <w:ind w:left="76"/>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559" w:type="dxa"/>
          </w:tcPr>
          <w:p w14:paraId="4F79EDE2" w14:textId="05889685" w:rsidR="00C11A77" w:rsidRPr="001A5AC8" w:rsidRDefault="001A5AC8" w:rsidP="002635DA">
            <w:pPr>
              <w:pStyle w:val="TableParagraph"/>
              <w:spacing w:before="0"/>
              <w:ind w:right="86"/>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843" w:type="dxa"/>
          </w:tcPr>
          <w:p w14:paraId="13A7D870" w14:textId="640331C6" w:rsidR="00C11A77" w:rsidRPr="001A5AC8" w:rsidRDefault="001A5AC8" w:rsidP="002635DA">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126" w:type="dxa"/>
          </w:tcPr>
          <w:p w14:paraId="2926F24B" w14:textId="69996161" w:rsidR="00C11A77" w:rsidRPr="001A5AC8" w:rsidRDefault="001A5AC8" w:rsidP="002635DA">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1A5AC8" w:rsidRPr="001A5AC8" w14:paraId="23704247" w14:textId="77777777" w:rsidTr="001A5AC8">
        <w:trPr>
          <w:trHeight w:val="722"/>
        </w:trPr>
        <w:tc>
          <w:tcPr>
            <w:tcW w:w="425" w:type="dxa"/>
          </w:tcPr>
          <w:p w14:paraId="12608B5F" w14:textId="100B9849" w:rsidR="001A5AC8" w:rsidRPr="001A5AC8" w:rsidRDefault="001A5AC8" w:rsidP="002635DA">
            <w:pPr>
              <w:pStyle w:val="TableParagraph"/>
              <w:spacing w:before="0"/>
              <w:ind w:left="79"/>
              <w:jc w:val="center"/>
              <w:rPr>
                <w:rFonts w:ascii="Times New Roman" w:hAnsi="Times New Roman" w:cs="Times New Roman"/>
                <w:b/>
                <w:bCs/>
                <w:color w:val="231F20"/>
                <w:spacing w:val="-5"/>
                <w:sz w:val="24"/>
                <w:szCs w:val="24"/>
                <w:lang w:val="ru-RU"/>
              </w:rPr>
            </w:pPr>
            <w:r w:rsidRPr="00BE6128">
              <w:rPr>
                <w:rFonts w:ascii="Times New Roman" w:hAnsi="Times New Roman" w:cs="Times New Roman"/>
                <w:color w:val="231F20"/>
                <w:spacing w:val="-5"/>
                <w:sz w:val="24"/>
                <w:szCs w:val="24"/>
              </w:rPr>
              <w:t>10</w:t>
            </w:r>
          </w:p>
        </w:tc>
        <w:tc>
          <w:tcPr>
            <w:tcW w:w="1134" w:type="dxa"/>
          </w:tcPr>
          <w:p w14:paraId="1CCF8099" w14:textId="40EC372D" w:rsidR="001A5AC8" w:rsidRPr="001A5AC8" w:rsidRDefault="001A5AC8" w:rsidP="002635DA">
            <w:pPr>
              <w:pStyle w:val="TableParagraph"/>
              <w:spacing w:before="0"/>
              <w:ind w:left="79" w:right="227"/>
              <w:jc w:val="center"/>
              <w:rPr>
                <w:rFonts w:ascii="Times New Roman" w:hAnsi="Times New Roman" w:cs="Times New Roman"/>
                <w:b/>
                <w:bCs/>
                <w:color w:val="231F20"/>
                <w:spacing w:val="-2"/>
                <w:sz w:val="24"/>
                <w:szCs w:val="24"/>
                <w:lang w:val="de-DE"/>
              </w:rPr>
            </w:pPr>
            <w:r w:rsidRPr="00BE6128">
              <w:rPr>
                <w:rFonts w:ascii="Times New Roman" w:hAnsi="Times New Roman" w:cs="Times New Roman"/>
                <w:color w:val="231F20"/>
                <w:sz w:val="24"/>
                <w:szCs w:val="24"/>
              </w:rPr>
              <w:t>China</w:t>
            </w:r>
            <w:r w:rsidRPr="00BE6128">
              <w:rPr>
                <w:rFonts w:ascii="Times New Roman" w:hAnsi="Times New Roman" w:cs="Times New Roman"/>
                <w:color w:val="231F20"/>
                <w:spacing w:val="-2"/>
                <w:sz w:val="24"/>
                <w:szCs w:val="24"/>
                <w:lang w:val="de-DE"/>
              </w:rPr>
              <w:t xml:space="preserve"> Kim</w:t>
            </w:r>
            <w:r w:rsidRPr="00BE6128">
              <w:rPr>
                <w:rFonts w:ascii="Times New Roman" w:hAnsi="Times New Roman" w:cs="Times New Roman"/>
                <w:color w:val="231F20"/>
                <w:spacing w:val="-8"/>
                <w:sz w:val="24"/>
                <w:szCs w:val="24"/>
                <w:lang w:val="de-DE"/>
              </w:rPr>
              <w:t xml:space="preserve"> </w:t>
            </w:r>
            <w:r w:rsidRPr="00BE6128">
              <w:rPr>
                <w:rFonts w:ascii="Times New Roman" w:hAnsi="Times New Roman" w:cs="Times New Roman"/>
                <w:color w:val="231F20"/>
                <w:spacing w:val="-2"/>
                <w:sz w:val="24"/>
                <w:szCs w:val="24"/>
                <w:lang w:val="de-DE"/>
              </w:rPr>
              <w:t>et</w:t>
            </w:r>
            <w:r w:rsidRPr="00BE6128">
              <w:rPr>
                <w:rFonts w:ascii="Times New Roman" w:hAnsi="Times New Roman" w:cs="Times New Roman"/>
                <w:color w:val="231F20"/>
                <w:spacing w:val="-8"/>
                <w:sz w:val="24"/>
                <w:szCs w:val="24"/>
                <w:lang w:val="de-DE"/>
              </w:rPr>
              <w:t xml:space="preserve"> </w:t>
            </w:r>
            <w:r w:rsidRPr="00BE6128">
              <w:rPr>
                <w:rFonts w:ascii="Times New Roman" w:hAnsi="Times New Roman" w:cs="Times New Roman"/>
                <w:color w:val="231F20"/>
                <w:spacing w:val="-2"/>
                <w:sz w:val="24"/>
                <w:szCs w:val="24"/>
                <w:lang w:val="de-DE"/>
              </w:rPr>
              <w:t>al.,</w:t>
            </w:r>
            <w:r w:rsidRPr="00BE6128">
              <w:rPr>
                <w:rFonts w:ascii="Times New Roman" w:hAnsi="Times New Roman" w:cs="Times New Roman"/>
                <w:color w:val="231F20"/>
                <w:spacing w:val="-8"/>
                <w:sz w:val="24"/>
                <w:szCs w:val="24"/>
                <w:lang w:val="de-DE"/>
              </w:rPr>
              <w:t xml:space="preserve"> </w:t>
            </w:r>
            <w:r w:rsidRPr="00BE6128">
              <w:rPr>
                <w:rFonts w:ascii="Times New Roman" w:hAnsi="Times New Roman" w:cs="Times New Roman"/>
                <w:color w:val="231F20"/>
                <w:spacing w:val="-2"/>
                <w:sz w:val="24"/>
                <w:szCs w:val="24"/>
              </w:rPr>
              <w:fldChar w:fldCharType="begin" w:fldLock="1"/>
            </w:r>
            <w:r w:rsidR="00404317">
              <w:rPr>
                <w:rFonts w:ascii="Times New Roman" w:hAnsi="Times New Roman" w:cs="Times New Roman"/>
                <w:color w:val="231F20"/>
                <w:spacing w:val="-2"/>
                <w:sz w:val="24"/>
                <w:szCs w:val="24"/>
                <w:lang w:val="de-DE"/>
              </w:rPr>
              <w:instrText>ADDIN CSL_CITATION {"citationItems":[{"id":"ITEM-1","itemData":{"DOI":"10.3389/fendo.2019.00061","ISSN":"16642392","abstract":"Objective: Thin or damaged endometrium remains to be an unsolved problem in the treatment of patients with infertility. The empirical preference for endometrial thickness (EMT) among clinicians is &gt;7 mm, and the refractory thin endometrium, which doesn’t respond to standard medical therapies, can be the etiology of recurrent implantation failure (RIF). Autologous platelet-rich plasma (PRP) is known to help tissue regeneration and is widely used in various fields. In the present study, we conducted PRP treatment and investigated its effect on the refractory thin endometrium. Design: Prospective interventional study (https://cris.nih.go.kr/cris, clinical trial registration number: KCT0003375). Methods: Women who had a history of two or more failed IVF cycles and refractory thin endometrium were enrolled in this study. The main inclusion criteria were EMT of &lt;7 mm after more than 2 cycles of previous medical therapy for increasing the EMT. Twenty-four women were enrolled in this study. The subjects were treated with intrauterine infusion of autologous PRP 2 or 3 times from menstrual cycle day 10 of their frozen-thawed embryo transfer (FET) cycle, and ET was performed 3 days after the final autologous PRP infusion. 22 patients underwent FET, and 2 patients were lost to follow up. Results: The ongoing pregnancy rate and LBR were both 20%. The implantation and clinical pregnancy rates were 12.7 and 30%, respectively, and the difference was statistically significant. The average increase in the EMT was 0.6 mm compared with the EMT of their previous cycle. However, this difference was not statistically significant. Further, EMT of 12 patients increased (mean difference: 1.3 mm), while that of seven patients decreased (mean difference: 0.7 mm); the EMT of one patient did not change. There were no adverse effects reported by the patients who were treated with autologous PRP. Conclusions: The use of autologous PRP improved the implantation, pregnancy, and live birth rates (LBR) of the patients with refractory thin endometrium. We assume that the ability of autologous PRP to restore the endometrial receptivity of damaged endometrium has some aspects other than increasing the EMT. The molecular basis of the treatment needs to be revealed in future studies.","author":[{"dropping-particle":"","family":"Kim","given":"Hounyoung","non-dropping-particle":"","parse-names":false,"suffix":""},{"dropping-particle":"","family":"Shin","given":"Ji Eun","non-dropping-particle":"","parse-names":false,"suffix":""},{"dropping-particle":"","family":"Koo","given":"Hwa Seon","non-dropping-particle":"","parse-names":false,"suffix":""},{"dropping-particle":"","family":"Kwon","given":"Hwang","non-dropping-particle":"","parse-names":false,"suffix":""},{"dropping-particle":"","family":"Choi","given":"Dong Hee","non-dropping-particle":"","parse-names":false,"suffix":""},{"dropping-particle":"","family":"Kim","given":"Ji Hyang","non-dropping-particle":"","parse-names":false,"suffix":""}],"container-title":"Frontiers in Endocrinology","id":"ITEM-1","issue":"FEB","issued":{"date-parts":[["2019"]]},"page":"1-9","title":"Effect of autologous platelet-rich plasma treatment on refractory thin endometrium during the frozen embryo transfer cycle: A pilot study","type":"article-journal","volume":"10"},"uris":["http://www.mendeley.com/documents/?uuid=0e180e0f-7caa-4eae-9200-678e3e843694"]}],"mendeley":{"formattedCitation":"[47]","manualFormatting":"[47,с.1]","plainTextFormattedCitation":"[47]","previouslyFormattedCitation":"(47)"},"properties":{"noteIndex":0},"schema":"https://github.com/citation-style-language/schema/raw/master/csl-citation.json"}</w:instrText>
            </w:r>
            <w:r w:rsidRPr="00BE6128">
              <w:rPr>
                <w:rFonts w:ascii="Times New Roman" w:hAnsi="Times New Roman" w:cs="Times New Roman"/>
                <w:color w:val="231F20"/>
                <w:spacing w:val="-2"/>
                <w:sz w:val="24"/>
                <w:szCs w:val="24"/>
              </w:rPr>
              <w:fldChar w:fldCharType="separate"/>
            </w:r>
            <w:r w:rsidR="008C6800" w:rsidRPr="008C6800">
              <w:rPr>
                <w:rFonts w:ascii="Times New Roman" w:hAnsi="Times New Roman" w:cs="Times New Roman"/>
                <w:noProof/>
                <w:color w:val="231F20"/>
                <w:spacing w:val="-2"/>
                <w:sz w:val="24"/>
                <w:szCs w:val="24"/>
                <w:lang w:val="de-DE"/>
              </w:rPr>
              <w:t>[47</w:t>
            </w:r>
            <w:r w:rsidR="00404317" w:rsidRPr="007E3E67">
              <w:rPr>
                <w:rFonts w:ascii="Times New Roman" w:hAnsi="Times New Roman" w:cs="Times New Roman"/>
                <w:noProof/>
                <w:color w:val="231F20"/>
                <w:spacing w:val="-2"/>
                <w:sz w:val="24"/>
                <w:szCs w:val="24"/>
                <w:lang w:val="ru-RU"/>
              </w:rPr>
              <w:t>,</w:t>
            </w:r>
            <w:r w:rsidR="00404317">
              <w:rPr>
                <w:rFonts w:ascii="Times New Roman" w:hAnsi="Times New Roman" w:cs="Times New Roman"/>
                <w:noProof/>
                <w:color w:val="231F20"/>
                <w:spacing w:val="-2"/>
                <w:sz w:val="24"/>
                <w:szCs w:val="24"/>
                <w:lang w:val="ru-RU"/>
              </w:rPr>
              <w:t>с</w:t>
            </w:r>
            <w:r w:rsidR="00404317" w:rsidRPr="007E3E67">
              <w:rPr>
                <w:rFonts w:ascii="Times New Roman" w:hAnsi="Times New Roman" w:cs="Times New Roman"/>
                <w:noProof/>
                <w:color w:val="231F20"/>
                <w:spacing w:val="-2"/>
                <w:sz w:val="24"/>
                <w:szCs w:val="24"/>
                <w:lang w:val="ru-RU"/>
              </w:rPr>
              <w:t>.1</w:t>
            </w:r>
            <w:r w:rsidR="008C6800" w:rsidRPr="008C6800">
              <w:rPr>
                <w:rFonts w:ascii="Times New Roman" w:hAnsi="Times New Roman" w:cs="Times New Roman"/>
                <w:noProof/>
                <w:color w:val="231F20"/>
                <w:spacing w:val="-2"/>
                <w:sz w:val="24"/>
                <w:szCs w:val="24"/>
                <w:lang w:val="de-DE"/>
              </w:rPr>
              <w:t>]</w:t>
            </w:r>
            <w:r w:rsidRPr="00BE6128">
              <w:rPr>
                <w:rFonts w:ascii="Times New Roman" w:hAnsi="Times New Roman" w:cs="Times New Roman"/>
                <w:color w:val="231F20"/>
                <w:spacing w:val="-2"/>
                <w:sz w:val="24"/>
                <w:szCs w:val="24"/>
              </w:rPr>
              <w:fldChar w:fldCharType="end"/>
            </w:r>
            <w:r w:rsidRPr="00BE6128">
              <w:rPr>
                <w:rFonts w:ascii="Times New Roman" w:hAnsi="Times New Roman" w:cs="Times New Roman"/>
                <w:color w:val="231F20"/>
                <w:sz w:val="24"/>
                <w:szCs w:val="24"/>
                <w:lang w:val="de-DE"/>
              </w:rPr>
              <w:t>2019,</w:t>
            </w:r>
            <w:r w:rsidRPr="00BE6128">
              <w:rPr>
                <w:rFonts w:ascii="Times New Roman" w:hAnsi="Times New Roman" w:cs="Times New Roman"/>
                <w:color w:val="231F20"/>
                <w:spacing w:val="-5"/>
                <w:sz w:val="24"/>
                <w:szCs w:val="24"/>
                <w:lang w:val="de-DE"/>
              </w:rPr>
              <w:t xml:space="preserve"> </w:t>
            </w:r>
            <w:r w:rsidRPr="00BE6128">
              <w:rPr>
                <w:rFonts w:ascii="Times New Roman" w:hAnsi="Times New Roman" w:cs="Times New Roman"/>
                <w:color w:val="231F20"/>
                <w:sz w:val="24"/>
                <w:szCs w:val="24"/>
                <w:lang w:val="de-DE"/>
              </w:rPr>
              <w:t>South</w:t>
            </w:r>
            <w:r w:rsidRPr="00BE6128">
              <w:rPr>
                <w:rFonts w:ascii="Times New Roman" w:hAnsi="Times New Roman" w:cs="Times New Roman"/>
                <w:color w:val="231F20"/>
                <w:spacing w:val="40"/>
                <w:sz w:val="24"/>
                <w:szCs w:val="24"/>
                <w:lang w:val="de-DE"/>
              </w:rPr>
              <w:t xml:space="preserve"> </w:t>
            </w:r>
            <w:r w:rsidRPr="00BE6128">
              <w:rPr>
                <w:rFonts w:ascii="Times New Roman" w:hAnsi="Times New Roman" w:cs="Times New Roman"/>
                <w:color w:val="231F20"/>
                <w:spacing w:val="-2"/>
                <w:sz w:val="24"/>
                <w:szCs w:val="24"/>
                <w:lang w:val="de-DE"/>
              </w:rPr>
              <w:t>Korea</w:t>
            </w:r>
          </w:p>
        </w:tc>
        <w:tc>
          <w:tcPr>
            <w:tcW w:w="709" w:type="dxa"/>
          </w:tcPr>
          <w:p w14:paraId="5F85418E" w14:textId="08C2EF7B" w:rsidR="001A5AC8" w:rsidRPr="007E3E67" w:rsidRDefault="001A5AC8" w:rsidP="002635DA">
            <w:pPr>
              <w:pStyle w:val="TableParagraph"/>
              <w:spacing w:before="0"/>
              <w:ind w:right="89"/>
              <w:jc w:val="center"/>
              <w:rPr>
                <w:rFonts w:ascii="Times New Roman" w:hAnsi="Times New Roman" w:cs="Times New Roman"/>
                <w:b/>
                <w:bCs/>
                <w:color w:val="231F20"/>
                <w:spacing w:val="-5"/>
                <w:sz w:val="24"/>
                <w:szCs w:val="24"/>
                <w:lang w:val="ru-RU"/>
              </w:rPr>
            </w:pPr>
            <w:r w:rsidRPr="007E3E67">
              <w:rPr>
                <w:rFonts w:ascii="Times New Roman" w:hAnsi="Times New Roman" w:cs="Times New Roman"/>
                <w:color w:val="231F20"/>
                <w:spacing w:val="-5"/>
                <w:sz w:val="24"/>
                <w:szCs w:val="24"/>
                <w:lang w:val="ru-RU"/>
              </w:rPr>
              <w:t>24</w:t>
            </w:r>
          </w:p>
        </w:tc>
        <w:tc>
          <w:tcPr>
            <w:tcW w:w="1559" w:type="dxa"/>
          </w:tcPr>
          <w:p w14:paraId="3969F16A" w14:textId="77777777" w:rsidR="001A5AC8" w:rsidRPr="007E3E67" w:rsidRDefault="001A5AC8" w:rsidP="002635DA">
            <w:pPr>
              <w:pStyle w:val="TableParagraph"/>
              <w:spacing w:before="0"/>
              <w:ind w:left="8" w:right="3"/>
              <w:jc w:val="center"/>
              <w:rPr>
                <w:rFonts w:ascii="Times New Roman" w:hAnsi="Times New Roman" w:cs="Times New Roman"/>
                <w:sz w:val="24"/>
                <w:szCs w:val="24"/>
                <w:lang w:val="ru-RU"/>
              </w:rPr>
            </w:pPr>
            <w:r w:rsidRPr="007E3E67">
              <w:rPr>
                <w:rFonts w:ascii="Times New Roman" w:hAnsi="Times New Roman" w:cs="Times New Roman"/>
                <w:color w:val="231F20"/>
                <w:spacing w:val="-4"/>
                <w:sz w:val="24"/>
                <w:szCs w:val="24"/>
                <w:lang w:val="ru-RU"/>
              </w:rPr>
              <w:t>22.5</w:t>
            </w:r>
          </w:p>
          <w:p w14:paraId="1630DE0C" w14:textId="305F3E09" w:rsidR="001A5AC8" w:rsidRPr="007E3E67" w:rsidRDefault="001A5AC8" w:rsidP="002635DA">
            <w:pPr>
              <w:pStyle w:val="TableParagraph"/>
              <w:spacing w:before="0"/>
              <w:ind w:left="8" w:right="3"/>
              <w:jc w:val="center"/>
              <w:rPr>
                <w:rFonts w:ascii="Times New Roman" w:hAnsi="Times New Roman" w:cs="Times New Roman"/>
                <w:b/>
                <w:bCs/>
                <w:color w:val="231F20"/>
                <w:spacing w:val="-4"/>
                <w:sz w:val="24"/>
                <w:szCs w:val="24"/>
                <w:lang w:val="ru-RU"/>
              </w:rPr>
            </w:pPr>
            <w:r w:rsidRPr="007E3E67">
              <w:rPr>
                <w:rFonts w:ascii="Times New Roman" w:hAnsi="Times New Roman" w:cs="Times New Roman"/>
                <w:color w:val="231F20"/>
                <w:spacing w:val="-2"/>
                <w:sz w:val="24"/>
                <w:szCs w:val="24"/>
                <w:lang w:val="ru-RU"/>
              </w:rPr>
              <w:t>(20.4–26.4)</w:t>
            </w:r>
          </w:p>
        </w:tc>
        <w:tc>
          <w:tcPr>
            <w:tcW w:w="1701" w:type="dxa"/>
          </w:tcPr>
          <w:p w14:paraId="6BC336B1" w14:textId="50DBA088" w:rsidR="001A5AC8" w:rsidRPr="007E3E67" w:rsidRDefault="001A5AC8" w:rsidP="002635DA">
            <w:pPr>
              <w:pStyle w:val="TableParagraph"/>
              <w:spacing w:before="0"/>
              <w:ind w:left="8" w:right="4"/>
              <w:jc w:val="center"/>
              <w:rPr>
                <w:rFonts w:ascii="Times New Roman" w:hAnsi="Times New Roman" w:cs="Times New Roman"/>
                <w:b/>
                <w:bCs/>
                <w:color w:val="231F20"/>
                <w:spacing w:val="-2"/>
                <w:sz w:val="24"/>
                <w:szCs w:val="24"/>
                <w:lang w:val="ru-RU"/>
              </w:rPr>
            </w:pPr>
            <w:r w:rsidRPr="007E3E67">
              <w:rPr>
                <w:rFonts w:ascii="Times New Roman" w:hAnsi="Times New Roman" w:cs="Times New Roman"/>
                <w:color w:val="231F20"/>
                <w:spacing w:val="-2"/>
                <w:sz w:val="24"/>
                <w:szCs w:val="24"/>
                <w:lang w:val="ru-RU"/>
              </w:rPr>
              <w:t>23.3±3.1</w:t>
            </w:r>
          </w:p>
        </w:tc>
        <w:tc>
          <w:tcPr>
            <w:tcW w:w="3402" w:type="dxa"/>
          </w:tcPr>
          <w:p w14:paraId="3B161751" w14:textId="14AA6344" w:rsidR="001A5AC8" w:rsidRPr="0050274D" w:rsidRDefault="001A5AC8" w:rsidP="002635DA">
            <w:pPr>
              <w:pStyle w:val="TableParagraph"/>
              <w:spacing w:before="0"/>
              <w:ind w:left="76"/>
              <w:jc w:val="center"/>
              <w:rPr>
                <w:rFonts w:ascii="Times New Roman" w:hAnsi="Times New Roman" w:cs="Times New Roman"/>
                <w:b/>
                <w:bCs/>
                <w:color w:val="231F20"/>
                <w:spacing w:val="-2"/>
                <w:sz w:val="24"/>
                <w:szCs w:val="24"/>
                <w:lang w:val="ru-RU"/>
              </w:rPr>
            </w:pPr>
            <w:r w:rsidRPr="00BE6128">
              <w:rPr>
                <w:rFonts w:ascii="Times New Roman" w:hAnsi="Times New Roman" w:cs="Times New Roman"/>
                <w:color w:val="231F20"/>
                <w:spacing w:val="-2"/>
                <w:sz w:val="24"/>
                <w:szCs w:val="24"/>
              </w:rPr>
              <w:t>FET</w:t>
            </w:r>
            <w:r w:rsidRPr="00BE6128">
              <w:rPr>
                <w:rFonts w:ascii="Times New Roman" w:hAnsi="Times New Roman" w:cs="Times New Roman"/>
                <w:color w:val="231F20"/>
                <w:spacing w:val="-2"/>
                <w:sz w:val="24"/>
                <w:szCs w:val="24"/>
                <w:lang w:val="ru-RU"/>
              </w:rPr>
              <w:t>:</w:t>
            </w:r>
            <w:r w:rsidRPr="00BE6128">
              <w:rPr>
                <w:rFonts w:ascii="Times New Roman" w:hAnsi="Times New Roman" w:cs="Times New Roman"/>
                <w:color w:val="231F20"/>
                <w:spacing w:val="-8"/>
                <w:sz w:val="24"/>
                <w:szCs w:val="24"/>
                <w:lang w:val="ru-RU"/>
              </w:rPr>
              <w:t xml:space="preserve"> </w:t>
            </w:r>
            <w:r w:rsidRPr="00BE6128">
              <w:rPr>
                <w:rFonts w:ascii="Times New Roman" w:hAnsi="Times New Roman" w:cs="Times New Roman"/>
                <w:color w:val="231F20"/>
                <w:spacing w:val="-2"/>
                <w:sz w:val="24"/>
                <w:szCs w:val="24"/>
                <w:lang w:val="ru-RU"/>
              </w:rPr>
              <w:t xml:space="preserve">Через три дня после окончательного введения аутологичной </w:t>
            </w:r>
            <w:r w:rsidRPr="00BE6128">
              <w:rPr>
                <w:rFonts w:ascii="Times New Roman" w:hAnsi="Times New Roman" w:cs="Times New Roman"/>
                <w:color w:val="231F20"/>
                <w:spacing w:val="-2"/>
                <w:sz w:val="24"/>
                <w:szCs w:val="24"/>
              </w:rPr>
              <w:t>PRP</w:t>
            </w:r>
          </w:p>
        </w:tc>
        <w:tc>
          <w:tcPr>
            <w:tcW w:w="1559" w:type="dxa"/>
          </w:tcPr>
          <w:p w14:paraId="5989515F" w14:textId="67AEE3B8" w:rsidR="001A5AC8" w:rsidRPr="007E3E67" w:rsidRDefault="001A5AC8" w:rsidP="002635DA">
            <w:pPr>
              <w:pStyle w:val="TableParagraph"/>
              <w:spacing w:before="0"/>
              <w:ind w:right="86"/>
              <w:jc w:val="center"/>
              <w:rPr>
                <w:rFonts w:ascii="Times New Roman" w:hAnsi="Times New Roman" w:cs="Times New Roman"/>
                <w:b/>
                <w:bCs/>
                <w:color w:val="231F20"/>
                <w:spacing w:val="-5"/>
                <w:sz w:val="24"/>
                <w:szCs w:val="24"/>
                <w:lang w:val="ru-RU"/>
              </w:rPr>
            </w:pPr>
            <w:r w:rsidRPr="007E3E67">
              <w:rPr>
                <w:rFonts w:ascii="Times New Roman" w:hAnsi="Times New Roman" w:cs="Times New Roman"/>
                <w:color w:val="231F20"/>
                <w:spacing w:val="-5"/>
                <w:sz w:val="24"/>
                <w:szCs w:val="24"/>
                <w:lang w:val="ru-RU"/>
              </w:rPr>
              <w:t>&lt;7</w:t>
            </w:r>
          </w:p>
        </w:tc>
        <w:tc>
          <w:tcPr>
            <w:tcW w:w="1843" w:type="dxa"/>
          </w:tcPr>
          <w:p w14:paraId="04038647" w14:textId="3B62F6A4" w:rsidR="001A5AC8" w:rsidRPr="007E3E67" w:rsidRDefault="001A5AC8" w:rsidP="002635DA">
            <w:pPr>
              <w:pStyle w:val="TableParagraph"/>
              <w:spacing w:before="0"/>
              <w:jc w:val="center"/>
              <w:rPr>
                <w:rFonts w:ascii="Times New Roman" w:hAnsi="Times New Roman" w:cs="Times New Roman"/>
                <w:b/>
                <w:bCs/>
                <w:color w:val="231F20"/>
                <w:spacing w:val="-2"/>
                <w:sz w:val="24"/>
                <w:szCs w:val="24"/>
                <w:lang w:val="ru-RU"/>
              </w:rPr>
            </w:pPr>
            <w:r w:rsidRPr="007E3E67">
              <w:rPr>
                <w:rFonts w:ascii="Times New Roman" w:hAnsi="Times New Roman" w:cs="Times New Roman"/>
                <w:color w:val="231F20"/>
                <w:spacing w:val="-2"/>
                <w:sz w:val="24"/>
                <w:szCs w:val="24"/>
                <w:lang w:val="ru-RU"/>
              </w:rPr>
              <w:t>20.0%</w:t>
            </w:r>
          </w:p>
        </w:tc>
        <w:tc>
          <w:tcPr>
            <w:tcW w:w="2126" w:type="dxa"/>
          </w:tcPr>
          <w:p w14:paraId="16430054" w14:textId="5E9CC186" w:rsidR="001A5AC8" w:rsidRPr="007E3E67" w:rsidRDefault="001A5AC8" w:rsidP="002635DA">
            <w:pPr>
              <w:pStyle w:val="TableParagraph"/>
              <w:spacing w:before="0"/>
              <w:jc w:val="center"/>
              <w:rPr>
                <w:rFonts w:ascii="Times New Roman" w:hAnsi="Times New Roman" w:cs="Times New Roman"/>
                <w:b/>
                <w:bCs/>
                <w:color w:val="231F20"/>
                <w:spacing w:val="-2"/>
                <w:sz w:val="24"/>
                <w:szCs w:val="24"/>
                <w:lang w:val="ru-RU"/>
              </w:rPr>
            </w:pPr>
            <w:r w:rsidRPr="007E3E67">
              <w:rPr>
                <w:rFonts w:ascii="Times New Roman" w:hAnsi="Times New Roman" w:cs="Times New Roman"/>
                <w:color w:val="231F20"/>
                <w:spacing w:val="-2"/>
                <w:sz w:val="24"/>
                <w:szCs w:val="24"/>
                <w:lang w:val="ru-RU"/>
              </w:rPr>
              <w:t>20.0%</w:t>
            </w:r>
          </w:p>
        </w:tc>
      </w:tr>
      <w:tr w:rsidR="001A5AC8" w:rsidRPr="00F26644" w14:paraId="4CB2EAF3" w14:textId="77777777" w:rsidTr="001A5AC8">
        <w:trPr>
          <w:trHeight w:val="502"/>
        </w:trPr>
        <w:tc>
          <w:tcPr>
            <w:tcW w:w="425" w:type="dxa"/>
            <w:vMerge w:val="restart"/>
          </w:tcPr>
          <w:p w14:paraId="2022EC96" w14:textId="77777777" w:rsidR="001A5AC8" w:rsidRPr="007E3E67" w:rsidRDefault="001A5AC8" w:rsidP="001A5AC8">
            <w:pPr>
              <w:pStyle w:val="TableParagraph"/>
              <w:spacing w:before="0"/>
              <w:ind w:left="79"/>
              <w:jc w:val="center"/>
              <w:rPr>
                <w:rFonts w:ascii="Times New Roman" w:hAnsi="Times New Roman" w:cs="Times New Roman"/>
                <w:sz w:val="24"/>
                <w:szCs w:val="24"/>
                <w:lang w:val="ru-RU"/>
              </w:rPr>
            </w:pPr>
            <w:r w:rsidRPr="007E3E67">
              <w:rPr>
                <w:rFonts w:ascii="Times New Roman" w:hAnsi="Times New Roman" w:cs="Times New Roman"/>
                <w:color w:val="231F20"/>
                <w:spacing w:val="-5"/>
                <w:sz w:val="24"/>
                <w:szCs w:val="24"/>
                <w:lang w:val="ru-RU"/>
              </w:rPr>
              <w:t>11</w:t>
            </w:r>
          </w:p>
        </w:tc>
        <w:tc>
          <w:tcPr>
            <w:tcW w:w="1134" w:type="dxa"/>
            <w:vMerge w:val="restart"/>
          </w:tcPr>
          <w:p w14:paraId="76DAFB59" w14:textId="6421BDB8" w:rsidR="001A5AC8" w:rsidRPr="00BE6128" w:rsidRDefault="001A5AC8" w:rsidP="001A5AC8">
            <w:pPr>
              <w:pStyle w:val="TableParagraph"/>
              <w:spacing w:before="0"/>
              <w:ind w:left="79" w:right="18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Song</w:t>
            </w:r>
            <w:r w:rsidRPr="007E3E67">
              <w:rPr>
                <w:rFonts w:ascii="Times New Roman" w:hAnsi="Times New Roman" w:cs="Times New Roman"/>
                <w:color w:val="231F20"/>
                <w:spacing w:val="-8"/>
                <w:sz w:val="24"/>
                <w:szCs w:val="24"/>
                <w:lang w:val="ru-RU"/>
              </w:rPr>
              <w:t xml:space="preserve"> </w:t>
            </w:r>
            <w:r w:rsidRPr="00BE6128">
              <w:rPr>
                <w:rFonts w:ascii="Times New Roman" w:hAnsi="Times New Roman" w:cs="Times New Roman"/>
                <w:color w:val="231F20"/>
                <w:spacing w:val="-2"/>
                <w:sz w:val="24"/>
                <w:szCs w:val="24"/>
              </w:rPr>
              <w:t>et</w:t>
            </w:r>
            <w:r w:rsidRPr="007E3E67">
              <w:rPr>
                <w:rFonts w:ascii="Times New Roman" w:hAnsi="Times New Roman" w:cs="Times New Roman"/>
                <w:color w:val="231F20"/>
                <w:spacing w:val="-8"/>
                <w:sz w:val="24"/>
                <w:szCs w:val="24"/>
                <w:lang w:val="ru-RU"/>
              </w:rPr>
              <w:t xml:space="preserve"> </w:t>
            </w:r>
            <w:r w:rsidRPr="00BE6128">
              <w:rPr>
                <w:rFonts w:ascii="Times New Roman" w:hAnsi="Times New Roman" w:cs="Times New Roman"/>
                <w:color w:val="231F20"/>
                <w:spacing w:val="-2"/>
                <w:sz w:val="24"/>
                <w:szCs w:val="24"/>
              </w:rPr>
              <w:t>al</w:t>
            </w:r>
            <w:r w:rsidRPr="007E3E67">
              <w:rPr>
                <w:rFonts w:ascii="Times New Roman" w:hAnsi="Times New Roman" w:cs="Times New Roman"/>
                <w:color w:val="231F20"/>
                <w:spacing w:val="-2"/>
                <w:sz w:val="24"/>
                <w:szCs w:val="24"/>
                <w:lang w:val="ru-RU"/>
              </w:rPr>
              <w:t>.,</w:t>
            </w:r>
            <w:r w:rsidRPr="007E3E67">
              <w:rPr>
                <w:rFonts w:ascii="Times New Roman" w:hAnsi="Times New Roman" w:cs="Times New Roman"/>
                <w:color w:val="231F20"/>
                <w:spacing w:val="-8"/>
                <w:sz w:val="24"/>
                <w:szCs w:val="24"/>
                <w:lang w:val="ru-RU"/>
              </w:rPr>
              <w:t xml:space="preserve"> </w:t>
            </w:r>
            <w:r w:rsidRPr="00BE6128">
              <w:rPr>
                <w:rFonts w:ascii="Times New Roman" w:hAnsi="Times New Roman" w:cs="Times New Roman"/>
                <w:color w:val="231F20"/>
                <w:spacing w:val="-2"/>
                <w:sz w:val="24"/>
                <w:szCs w:val="24"/>
              </w:rPr>
              <w:fldChar w:fldCharType="begin" w:fldLock="1"/>
            </w:r>
            <w:r w:rsidR="008C6800">
              <w:rPr>
                <w:rFonts w:ascii="Times New Roman" w:hAnsi="Times New Roman" w:cs="Times New Roman"/>
                <w:color w:val="231F20"/>
                <w:spacing w:val="-2"/>
                <w:sz w:val="24"/>
                <w:szCs w:val="24"/>
              </w:rPr>
              <w:instrText>ADDIN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CSL</w:instrText>
            </w:r>
            <w:r w:rsidR="008C6800" w:rsidRPr="007E3E67">
              <w:rPr>
                <w:rFonts w:ascii="Times New Roman" w:hAnsi="Times New Roman" w:cs="Times New Roman"/>
                <w:color w:val="231F20"/>
                <w:spacing w:val="-2"/>
                <w:sz w:val="24"/>
                <w:szCs w:val="24"/>
                <w:lang w:val="ru-RU"/>
              </w:rPr>
              <w:instrText>_</w:instrText>
            </w:r>
            <w:r w:rsidR="008C6800">
              <w:rPr>
                <w:rFonts w:ascii="Times New Roman" w:hAnsi="Times New Roman" w:cs="Times New Roman"/>
                <w:color w:val="231F20"/>
                <w:spacing w:val="-2"/>
                <w:sz w:val="24"/>
                <w:szCs w:val="24"/>
              </w:rPr>
              <w:instrText>CITATION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citationItems</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id</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ITEM</w:instrText>
            </w:r>
            <w:r w:rsidR="008C6800" w:rsidRPr="007E3E67">
              <w:rPr>
                <w:rFonts w:ascii="Times New Roman" w:hAnsi="Times New Roman" w:cs="Times New Roman"/>
                <w:color w:val="231F20"/>
                <w:spacing w:val="-2"/>
                <w:sz w:val="24"/>
                <w:szCs w:val="24"/>
                <w:lang w:val="ru-RU"/>
              </w:rPr>
              <w:instrText>-1","</w:instrText>
            </w:r>
            <w:r w:rsidR="008C6800">
              <w:rPr>
                <w:rFonts w:ascii="Times New Roman" w:hAnsi="Times New Roman" w:cs="Times New Roman"/>
                <w:color w:val="231F20"/>
                <w:spacing w:val="-2"/>
                <w:sz w:val="24"/>
                <w:szCs w:val="24"/>
              </w:rPr>
              <w:instrText>itemData</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DOI</w:instrText>
            </w:r>
            <w:r w:rsidR="008C6800" w:rsidRPr="007E3E67">
              <w:rPr>
                <w:rFonts w:ascii="Times New Roman" w:hAnsi="Times New Roman" w:cs="Times New Roman"/>
                <w:color w:val="231F20"/>
                <w:spacing w:val="-2"/>
                <w:sz w:val="24"/>
                <w:szCs w:val="24"/>
                <w:lang w:val="ru-RU"/>
              </w:rPr>
              <w:instrText>":"10.1177/1933719118816835","</w:instrText>
            </w:r>
            <w:r w:rsidR="008C6800">
              <w:rPr>
                <w:rFonts w:ascii="Times New Roman" w:hAnsi="Times New Roman" w:cs="Times New Roman"/>
                <w:color w:val="231F20"/>
                <w:spacing w:val="-2"/>
                <w:sz w:val="24"/>
                <w:szCs w:val="24"/>
              </w:rPr>
              <w:instrText>ISSN</w:instrText>
            </w:r>
            <w:r w:rsidR="008C6800" w:rsidRPr="007E3E67">
              <w:rPr>
                <w:rFonts w:ascii="Times New Roman" w:hAnsi="Times New Roman" w:cs="Times New Roman"/>
                <w:color w:val="231F20"/>
                <w:spacing w:val="-2"/>
                <w:sz w:val="24"/>
                <w:szCs w:val="24"/>
                <w:lang w:val="ru-RU"/>
              </w:rPr>
              <w:instrText>":"19337205","</w:instrText>
            </w:r>
            <w:r w:rsidR="008C6800">
              <w:rPr>
                <w:rFonts w:ascii="Times New Roman" w:hAnsi="Times New Roman" w:cs="Times New Roman"/>
                <w:color w:val="231F20"/>
                <w:spacing w:val="-2"/>
                <w:sz w:val="24"/>
                <w:szCs w:val="24"/>
              </w:rPr>
              <w:instrText>PMID</w:instrText>
            </w:r>
            <w:r w:rsidR="008C6800" w:rsidRPr="007E3E67">
              <w:rPr>
                <w:rFonts w:ascii="Times New Roman" w:hAnsi="Times New Roman" w:cs="Times New Roman"/>
                <w:color w:val="231F20"/>
                <w:spacing w:val="-2"/>
                <w:sz w:val="24"/>
                <w:szCs w:val="24"/>
                <w:lang w:val="ru-RU"/>
              </w:rPr>
              <w:instrText>":"30501453","</w:instrText>
            </w:r>
            <w:r w:rsidR="008C6800">
              <w:rPr>
                <w:rFonts w:ascii="Times New Roman" w:hAnsi="Times New Roman" w:cs="Times New Roman"/>
                <w:color w:val="231F20"/>
                <w:spacing w:val="-2"/>
                <w:sz w:val="24"/>
                <w:szCs w:val="24"/>
              </w:rPr>
              <w:instrText>abstract</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The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aim</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of</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this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study</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to</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investigate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effect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of</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ovarian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endometrial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response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live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birth</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rates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LBRs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young</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normal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high</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responders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prolonged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pituitary</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downregulation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endometrial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receptivity</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clinical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outcomes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patients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with</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different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endometrial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thickness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Between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January</w:instrText>
            </w:r>
            <w:r w:rsidR="008C6800" w:rsidRPr="007E3E67">
              <w:rPr>
                <w:rFonts w:ascii="Times New Roman" w:hAnsi="Times New Roman" w:cs="Times New Roman"/>
                <w:color w:val="231F20"/>
                <w:spacing w:val="-2"/>
                <w:sz w:val="24"/>
                <w:szCs w:val="24"/>
                <w:lang w:val="ru-RU"/>
              </w:rPr>
              <w:instrText xml:space="preserve"> 2013 </w:instrText>
            </w:r>
            <w:r w:rsidR="008C6800">
              <w:rPr>
                <w:rFonts w:ascii="Times New Roman" w:hAnsi="Times New Roman" w:cs="Times New Roman"/>
                <w:color w:val="231F20"/>
                <w:spacing w:val="-2"/>
                <w:sz w:val="24"/>
                <w:szCs w:val="24"/>
              </w:rPr>
              <w:instrText>and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December</w:instrText>
            </w:r>
            <w:r w:rsidR="008C6800" w:rsidRPr="007E3E67">
              <w:rPr>
                <w:rFonts w:ascii="Times New Roman" w:hAnsi="Times New Roman" w:cs="Times New Roman"/>
                <w:color w:val="231F20"/>
                <w:spacing w:val="-2"/>
                <w:sz w:val="24"/>
                <w:szCs w:val="24"/>
                <w:lang w:val="ru-RU"/>
              </w:rPr>
              <w:instrText xml:space="preserve"> 2017, 9511 </w:instrText>
            </w:r>
            <w:r w:rsidR="008C6800">
              <w:rPr>
                <w:rFonts w:ascii="Times New Roman" w:hAnsi="Times New Roman" w:cs="Times New Roman"/>
                <w:color w:val="231F20"/>
                <w:spacing w:val="-2"/>
                <w:sz w:val="24"/>
                <w:szCs w:val="24"/>
              </w:rPr>
              <w:instrText>patients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underwent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first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vitro</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fertilization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IVF</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intracytoplasmic</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sperm</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injection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ICSI</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cycles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with</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age</w:instrText>
            </w:r>
            <w:r w:rsidR="008C6800" w:rsidRPr="007E3E67">
              <w:rPr>
                <w:rFonts w:ascii="Times New Roman" w:hAnsi="Times New Roman" w:cs="Times New Roman"/>
                <w:color w:val="231F20"/>
                <w:spacing w:val="-2"/>
                <w:sz w:val="24"/>
                <w:szCs w:val="24"/>
                <w:lang w:val="ru-RU"/>
              </w:rPr>
              <w:instrText xml:space="preserve"> ≤35 </w:instrText>
            </w:r>
            <w:r w:rsidR="008C6800">
              <w:rPr>
                <w:rFonts w:ascii="Times New Roman" w:hAnsi="Times New Roman" w:cs="Times New Roman"/>
                <w:color w:val="231F20"/>
                <w:spacing w:val="-2"/>
                <w:sz w:val="24"/>
                <w:szCs w:val="24"/>
              </w:rPr>
              <w:instrText>years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follicle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stimulating</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hormone</w:instrText>
            </w:r>
            <w:r w:rsidR="008C6800" w:rsidRPr="007E3E67">
              <w:rPr>
                <w:rFonts w:ascii="Times New Roman" w:hAnsi="Times New Roman" w:cs="Times New Roman"/>
                <w:color w:val="231F20"/>
                <w:spacing w:val="-2"/>
                <w:sz w:val="24"/>
                <w:szCs w:val="24"/>
                <w:lang w:val="ru-RU"/>
              </w:rPr>
              <w:instrText xml:space="preserve"> &lt; 10 </w:instrText>
            </w:r>
            <w:r w:rsidR="008C6800">
              <w:rPr>
                <w:rFonts w:ascii="Times New Roman" w:hAnsi="Times New Roman" w:cs="Times New Roman"/>
                <w:color w:val="231F20"/>
                <w:spacing w:val="-2"/>
                <w:sz w:val="24"/>
                <w:szCs w:val="24"/>
              </w:rPr>
              <w:instrText>IU</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and</w:instrText>
            </w:r>
            <w:r w:rsidR="008C6800" w:rsidRPr="007E3E67">
              <w:rPr>
                <w:rFonts w:ascii="Times New Roman" w:hAnsi="Times New Roman" w:cs="Times New Roman"/>
                <w:color w:val="231F20"/>
                <w:spacing w:val="-2"/>
                <w:sz w:val="24"/>
                <w:szCs w:val="24"/>
                <w:lang w:val="ru-RU"/>
              </w:rPr>
              <w:instrText xml:space="preserve"> ≥4 </w:instrText>
            </w:r>
            <w:r w:rsidR="008C6800">
              <w:rPr>
                <w:rFonts w:ascii="Times New Roman" w:hAnsi="Times New Roman" w:cs="Times New Roman"/>
                <w:color w:val="231F20"/>
                <w:spacing w:val="-2"/>
                <w:sz w:val="24"/>
                <w:szCs w:val="24"/>
              </w:rPr>
              <w:instrText>retrieved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oocytes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were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conducted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estradiol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E</w:instrText>
            </w:r>
            <w:r w:rsidR="008C6800" w:rsidRPr="007E3E67">
              <w:rPr>
                <w:rFonts w:ascii="Times New Roman" w:hAnsi="Times New Roman" w:cs="Times New Roman"/>
                <w:color w:val="231F20"/>
                <w:spacing w:val="-2"/>
                <w:sz w:val="24"/>
                <w:szCs w:val="24"/>
                <w:lang w:val="ru-RU"/>
              </w:rPr>
              <w:instrText xml:space="preserve">2) </w:instrText>
            </w:r>
            <w:r w:rsidR="008C6800">
              <w:rPr>
                <w:rFonts w:ascii="Times New Roman" w:hAnsi="Times New Roman" w:cs="Times New Roman"/>
                <w:color w:val="231F20"/>
                <w:spacing w:val="-2"/>
                <w:sz w:val="24"/>
                <w:szCs w:val="24"/>
              </w:rPr>
              <w:instrText>levels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human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chorionic</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gonadotropin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HCG</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day</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were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classified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into</w:instrText>
            </w:r>
            <w:r w:rsidR="008C6800" w:rsidRPr="007E3E67">
              <w:rPr>
                <w:rFonts w:ascii="Times New Roman" w:hAnsi="Times New Roman" w:cs="Times New Roman"/>
                <w:color w:val="231F20"/>
                <w:spacing w:val="-2"/>
                <w:sz w:val="24"/>
                <w:szCs w:val="24"/>
                <w:lang w:val="ru-RU"/>
              </w:rPr>
              <w:instrText xml:space="preserve"> 4 </w:instrText>
            </w:r>
            <w:r w:rsidR="008C6800">
              <w:rPr>
                <w:rFonts w:ascii="Times New Roman" w:hAnsi="Times New Roman" w:cs="Times New Roman"/>
                <w:color w:val="231F20"/>
                <w:spacing w:val="-2"/>
                <w:sz w:val="24"/>
                <w:szCs w:val="24"/>
              </w:rPr>
              <w:instrText>groups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group</w:instrText>
            </w:r>
            <w:r w:rsidR="008C6800" w:rsidRPr="007E3E67">
              <w:rPr>
                <w:rFonts w:ascii="Times New Roman" w:hAnsi="Times New Roman" w:cs="Times New Roman"/>
                <w:color w:val="231F20"/>
                <w:spacing w:val="-2"/>
                <w:sz w:val="24"/>
                <w:szCs w:val="24"/>
                <w:lang w:val="ru-RU"/>
              </w:rPr>
              <w:instrText xml:space="preserve"> 1 (&lt;3000 </w:instrText>
            </w:r>
            <w:r w:rsidR="008C6800">
              <w:rPr>
                <w:rFonts w:ascii="Times New Roman" w:hAnsi="Times New Roman" w:cs="Times New Roman"/>
                <w:color w:val="231F20"/>
                <w:spacing w:val="-2"/>
                <w:sz w:val="24"/>
                <w:szCs w:val="24"/>
              </w:rPr>
              <w:instrText>pg</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mL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group</w:instrText>
            </w:r>
            <w:r w:rsidR="008C6800" w:rsidRPr="007E3E67">
              <w:rPr>
                <w:rFonts w:ascii="Times New Roman" w:hAnsi="Times New Roman" w:cs="Times New Roman"/>
                <w:color w:val="231F20"/>
                <w:spacing w:val="-2"/>
                <w:sz w:val="24"/>
                <w:szCs w:val="24"/>
                <w:lang w:val="ru-RU"/>
              </w:rPr>
              <w:instrText xml:space="preserve"> 2 (3000-5000 </w:instrText>
            </w:r>
            <w:r w:rsidR="008C6800">
              <w:rPr>
                <w:rFonts w:ascii="Times New Roman" w:hAnsi="Times New Roman" w:cs="Times New Roman"/>
                <w:color w:val="231F20"/>
                <w:spacing w:val="-2"/>
                <w:sz w:val="24"/>
                <w:szCs w:val="24"/>
              </w:rPr>
              <w:instrText>pg</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mL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group</w:instrText>
            </w:r>
            <w:r w:rsidR="008C6800" w:rsidRPr="007E3E67">
              <w:rPr>
                <w:rFonts w:ascii="Times New Roman" w:hAnsi="Times New Roman" w:cs="Times New Roman"/>
                <w:color w:val="231F20"/>
                <w:spacing w:val="-2"/>
                <w:sz w:val="24"/>
                <w:szCs w:val="24"/>
                <w:lang w:val="ru-RU"/>
              </w:rPr>
              <w:instrText xml:space="preserve"> 3 (5000-7000 </w:instrText>
            </w:r>
            <w:r w:rsidR="008C6800">
              <w:rPr>
                <w:rFonts w:ascii="Times New Roman" w:hAnsi="Times New Roman" w:cs="Times New Roman"/>
                <w:color w:val="231F20"/>
                <w:spacing w:val="-2"/>
                <w:sz w:val="24"/>
                <w:szCs w:val="24"/>
              </w:rPr>
              <w:instrText>pg</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mL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group</w:instrText>
            </w:r>
            <w:r w:rsidR="008C6800" w:rsidRPr="007E3E67">
              <w:rPr>
                <w:rFonts w:ascii="Times New Roman" w:hAnsi="Times New Roman" w:cs="Times New Roman"/>
                <w:color w:val="231F20"/>
                <w:spacing w:val="-2"/>
                <w:sz w:val="24"/>
                <w:szCs w:val="24"/>
                <w:lang w:val="ru-RU"/>
              </w:rPr>
              <w:instrText xml:space="preserve"> 4 (≥7000 </w:instrText>
            </w:r>
            <w:r w:rsidR="008C6800">
              <w:rPr>
                <w:rFonts w:ascii="Times New Roman" w:hAnsi="Times New Roman" w:cs="Times New Roman"/>
                <w:color w:val="231F20"/>
                <w:spacing w:val="-2"/>
                <w:sz w:val="24"/>
                <w:szCs w:val="24"/>
              </w:rPr>
              <w:instrText>pg</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mL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Logistic</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regression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analysis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was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performed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to</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predict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independent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variables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for</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live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birth</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Clinical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outcomes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between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gonadotropin</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releasing</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hormone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agonist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GnRH</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a</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long</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protocol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GnRH</w:instrText>
            </w:r>
            <w:r w:rsidR="008C6800" w:rsidRPr="007E3E67">
              <w:rPr>
                <w:rFonts w:ascii="Times New Roman" w:hAnsi="Times New Roman" w:cs="Times New Roman"/>
                <w:color w:val="231F20"/>
                <w:spacing w:val="-2"/>
                <w:sz w:val="24"/>
                <w:szCs w:val="24"/>
                <w:lang w:val="ru-RU"/>
              </w:rPr>
              <w:instrText>-</w:instrText>
            </w:r>
            <w:r w:rsidR="008C6800">
              <w:rPr>
                <w:rFonts w:ascii="Times New Roman" w:hAnsi="Times New Roman" w:cs="Times New Roman"/>
                <w:color w:val="231F20"/>
                <w:spacing w:val="-2"/>
                <w:sz w:val="24"/>
                <w:szCs w:val="24"/>
              </w:rPr>
              <w:instrText>a</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prolonged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protocol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patients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with</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different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endometrial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thickness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EMT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were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compared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There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were</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no</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significant</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differences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among</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the</w:instrText>
            </w:r>
            <w:r w:rsidR="008C6800" w:rsidRPr="007E3E67">
              <w:rPr>
                <w:rFonts w:ascii="Times New Roman" w:hAnsi="Times New Roman" w:cs="Times New Roman"/>
                <w:color w:val="231F20"/>
                <w:spacing w:val="-2"/>
                <w:sz w:val="24"/>
                <w:szCs w:val="24"/>
                <w:lang w:val="ru-RU"/>
              </w:rPr>
              <w:instrText xml:space="preserve"> 4 </w:instrText>
            </w:r>
            <w:r w:rsidR="008C6800">
              <w:rPr>
                <w:rFonts w:ascii="Times New Roman" w:hAnsi="Times New Roman" w:cs="Times New Roman"/>
                <w:color w:val="231F20"/>
                <w:spacing w:val="-2"/>
                <w:sz w:val="24"/>
                <w:szCs w:val="24"/>
              </w:rPr>
              <w:instrText>groups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implantation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rates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clinical</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pregnancy</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rates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LBRs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P</w:instrText>
            </w:r>
            <w:r w:rsidR="008C6800" w:rsidRPr="007E3E67">
              <w:rPr>
                <w:rFonts w:ascii="Times New Roman" w:hAnsi="Times New Roman" w:cs="Times New Roman"/>
                <w:color w:val="231F20"/>
                <w:spacing w:val="-2"/>
                <w:sz w:val="24"/>
                <w:szCs w:val="24"/>
                <w:lang w:val="ru-RU"/>
              </w:rPr>
              <w:instrText xml:space="preserve"> &gt;.05). </w:instrText>
            </w:r>
            <w:r w:rsidR="008C6800">
              <w:rPr>
                <w:rFonts w:ascii="Times New Roman" w:hAnsi="Times New Roman" w:cs="Times New Roman"/>
                <w:color w:val="231F20"/>
                <w:spacing w:val="-2"/>
                <w:sz w:val="24"/>
                <w:szCs w:val="24"/>
              </w:rPr>
              <w:instrText>Binary</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logistic</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regression</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analysis</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suggested</w:instrText>
            </w:r>
            <w:r w:rsidR="008C6800" w:rsidRPr="007E3E67">
              <w:rPr>
                <w:rFonts w:ascii="Times New Roman" w:hAnsi="Times New Roman" w:cs="Times New Roman"/>
                <w:color w:val="231F20"/>
                <w:spacing w:val="-2"/>
                <w:sz w:val="24"/>
                <w:szCs w:val="24"/>
                <w:lang w:val="ru-RU"/>
              </w:rPr>
              <w:instrText xml:space="preserve"> </w:instrText>
            </w:r>
            <w:r w:rsidR="008C6800">
              <w:rPr>
                <w:rFonts w:ascii="Times New Roman" w:hAnsi="Times New Roman" w:cs="Times New Roman"/>
                <w:color w:val="231F20"/>
                <w:spacing w:val="-2"/>
                <w:sz w:val="24"/>
                <w:szCs w:val="24"/>
              </w:rPr>
              <w:instrText>that EMT but not E2 levels was one of the independent predictive factors of LBRs (odds ratio 0.889, 95% confidence interval, 0.865-0.914, P &lt;.001). The prolonged protocol had significantly higher implantation rates and clinical pregnancy rates in patients with medium (7 &lt; EMT &lt; 14 mm), especially thin endometrium (≤7 mm) compared to short GnRH-a long protocol. Our study showed that endometrial response but not ovarian response was associated with LBRs in young normal and hyper responders. Prolonged pituitary downregulation was an effective treatment to improve endometrial receptivity in patients with medium, especially thin endometrium.","author":[{"dropping-particle":"","family":"Song","given":"Jianyuan","non-dropping-particle":"","parse-names":false,"suffix":""},{"dropping-particle":"","family":"Sun","given":"Xuejiao","non-dropping-particle":"","parse-names":false,"suffix":""},{"dropping-particle":"","family":"Qian","given":"Kun","non-dropping-particle":"","parse-names":false,"suffix":""}],"container-title":"Reproductive Sciences","id":"ITEM-1","issue":"11","issued":{"date-parts":[["2019"]]},"page":"1409-1416","title":"Endometrial but not Ovarian Response is Associated With Clinical Outcomes and can be Improved by Prolonged Pituitary Downregulation in Patients With Thin and Medium Endometrium","type":"article-journal","volume":"26"},"uris":["http://www.mendeley.com/documents/?uuid=394c3b88-a65a-4a5b-a044-d4f5daa706ca"]}],"mendeley":{"formattedCitation":"[52]","plainTextFormattedCitation":"[52]","previouslyFormattedCitation":"(52)"},"properties":{"noteIndex":0},"schema":"https://github.com/citation-style-language/schema/raw/master/csl-citation.json"}</w:instrText>
            </w:r>
            <w:r w:rsidRPr="00BE6128">
              <w:rPr>
                <w:rFonts w:ascii="Times New Roman" w:hAnsi="Times New Roman" w:cs="Times New Roman"/>
                <w:color w:val="231F20"/>
                <w:spacing w:val="-2"/>
                <w:sz w:val="24"/>
                <w:szCs w:val="24"/>
              </w:rPr>
              <w:fldChar w:fldCharType="separate"/>
            </w:r>
            <w:r w:rsidR="008C6800" w:rsidRPr="008C6800">
              <w:rPr>
                <w:rFonts w:ascii="Times New Roman" w:hAnsi="Times New Roman" w:cs="Times New Roman"/>
                <w:noProof/>
                <w:color w:val="231F20"/>
                <w:spacing w:val="-2"/>
                <w:sz w:val="24"/>
                <w:szCs w:val="24"/>
              </w:rPr>
              <w:t>[52</w:t>
            </w:r>
            <w:r w:rsidR="00404317" w:rsidRPr="00404317">
              <w:rPr>
                <w:rFonts w:ascii="Times New Roman" w:hAnsi="Times New Roman" w:cs="Times New Roman"/>
                <w:noProof/>
                <w:color w:val="231F20"/>
                <w:spacing w:val="-2"/>
                <w:sz w:val="24"/>
                <w:szCs w:val="24"/>
              </w:rPr>
              <w:t xml:space="preserve">, </w:t>
            </w:r>
            <w:r w:rsidR="00404317">
              <w:rPr>
                <w:rFonts w:ascii="Times New Roman" w:hAnsi="Times New Roman" w:cs="Times New Roman"/>
                <w:noProof/>
                <w:color w:val="231F20"/>
                <w:spacing w:val="-2"/>
                <w:sz w:val="24"/>
                <w:szCs w:val="24"/>
                <w:lang w:val="ru-RU"/>
              </w:rPr>
              <w:t>с</w:t>
            </w:r>
            <w:r w:rsidR="00404317" w:rsidRPr="00404317">
              <w:rPr>
                <w:rFonts w:ascii="Times New Roman" w:hAnsi="Times New Roman" w:cs="Times New Roman"/>
                <w:noProof/>
                <w:color w:val="231F20"/>
                <w:spacing w:val="-2"/>
                <w:sz w:val="24"/>
                <w:szCs w:val="24"/>
              </w:rPr>
              <w:t>.1409</w:t>
            </w:r>
            <w:r w:rsidR="008C6800" w:rsidRPr="008C6800">
              <w:rPr>
                <w:rFonts w:ascii="Times New Roman" w:hAnsi="Times New Roman" w:cs="Times New Roman"/>
                <w:noProof/>
                <w:color w:val="231F20"/>
                <w:spacing w:val="-2"/>
                <w:sz w:val="24"/>
                <w:szCs w:val="24"/>
              </w:rPr>
              <w:t>]</w:t>
            </w:r>
            <w:r w:rsidRPr="00BE6128">
              <w:rPr>
                <w:rFonts w:ascii="Times New Roman" w:hAnsi="Times New Roman" w:cs="Times New Roman"/>
                <w:color w:val="231F20"/>
                <w:spacing w:val="-2"/>
                <w:sz w:val="24"/>
                <w:szCs w:val="24"/>
              </w:rPr>
              <w:fldChar w:fldCharType="end"/>
            </w:r>
            <w:r w:rsidRPr="00BE6128">
              <w:rPr>
                <w:rFonts w:ascii="Times New Roman" w:hAnsi="Times New Roman" w:cs="Times New Roman"/>
                <w:color w:val="231F20"/>
                <w:spacing w:val="40"/>
                <w:sz w:val="24"/>
                <w:szCs w:val="24"/>
              </w:rPr>
              <w:t xml:space="preserve"> </w:t>
            </w:r>
            <w:r w:rsidRPr="00BE6128">
              <w:rPr>
                <w:rFonts w:ascii="Times New Roman" w:hAnsi="Times New Roman" w:cs="Times New Roman"/>
                <w:color w:val="231F20"/>
                <w:sz w:val="24"/>
                <w:szCs w:val="24"/>
              </w:rPr>
              <w:t>2019,</w:t>
            </w:r>
            <w:r w:rsidRPr="00BE6128">
              <w:rPr>
                <w:rFonts w:ascii="Times New Roman" w:hAnsi="Times New Roman" w:cs="Times New Roman"/>
                <w:color w:val="231F20"/>
                <w:spacing w:val="-5"/>
                <w:sz w:val="24"/>
                <w:szCs w:val="24"/>
              </w:rPr>
              <w:t xml:space="preserve"> </w:t>
            </w:r>
            <w:r w:rsidRPr="00BE6128">
              <w:rPr>
                <w:rFonts w:ascii="Times New Roman" w:hAnsi="Times New Roman" w:cs="Times New Roman"/>
                <w:color w:val="231F20"/>
                <w:sz w:val="24"/>
                <w:szCs w:val="24"/>
              </w:rPr>
              <w:t>China</w:t>
            </w:r>
          </w:p>
        </w:tc>
        <w:tc>
          <w:tcPr>
            <w:tcW w:w="709" w:type="dxa"/>
            <w:vMerge w:val="restart"/>
          </w:tcPr>
          <w:p w14:paraId="49E982C3" w14:textId="77777777" w:rsidR="001A5AC8" w:rsidRPr="00BE6128" w:rsidRDefault="001A5AC8" w:rsidP="001A5AC8">
            <w:pPr>
              <w:pStyle w:val="TableParagraph"/>
              <w:spacing w:before="0"/>
              <w:ind w:left="16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624</w:t>
            </w:r>
          </w:p>
        </w:tc>
        <w:tc>
          <w:tcPr>
            <w:tcW w:w="1559" w:type="dxa"/>
          </w:tcPr>
          <w:p w14:paraId="1E4A4F61" w14:textId="77777777" w:rsidR="001A5AC8" w:rsidRPr="00BE6128" w:rsidRDefault="001A5AC8" w:rsidP="001A5AC8">
            <w:pPr>
              <w:pStyle w:val="TableParagraph"/>
              <w:spacing w:before="0"/>
              <w:ind w:left="252"/>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28.9</w:t>
            </w:r>
            <w:r w:rsidRPr="00BE6128">
              <w:rPr>
                <w:rFonts w:ascii="Times New Roman" w:hAnsi="Times New Roman" w:cs="Times New Roman"/>
                <w:color w:val="231F20"/>
                <w:spacing w:val="-2"/>
                <w:sz w:val="24"/>
                <w:szCs w:val="24"/>
              </w:rPr>
              <w:t xml:space="preserve"> </w:t>
            </w:r>
            <w:r w:rsidRPr="00BE6128">
              <w:rPr>
                <w:rFonts w:ascii="Times New Roman" w:hAnsi="Times New Roman" w:cs="Times New Roman"/>
                <w:color w:val="231F20"/>
                <w:spacing w:val="-4"/>
                <w:sz w:val="24"/>
                <w:szCs w:val="24"/>
              </w:rPr>
              <w:t>±3.2</w:t>
            </w:r>
          </w:p>
        </w:tc>
        <w:tc>
          <w:tcPr>
            <w:tcW w:w="1701" w:type="dxa"/>
          </w:tcPr>
          <w:p w14:paraId="23D3FC3B" w14:textId="77777777" w:rsidR="001A5AC8" w:rsidRPr="00BE6128" w:rsidRDefault="001A5AC8" w:rsidP="001A5AC8">
            <w:pPr>
              <w:pStyle w:val="TableParagraph"/>
              <w:spacing w:before="0"/>
              <w:ind w:left="228"/>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21.3</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3.5</w:t>
            </w:r>
          </w:p>
        </w:tc>
        <w:tc>
          <w:tcPr>
            <w:tcW w:w="3402" w:type="dxa"/>
          </w:tcPr>
          <w:p w14:paraId="16801B8F" w14:textId="77777777" w:rsidR="001A5AC8" w:rsidRPr="002F588F" w:rsidRDefault="001A5AC8" w:rsidP="001A5AC8">
            <w:pPr>
              <w:pStyle w:val="TableParagraph"/>
              <w:spacing w:before="0"/>
              <w:ind w:left="76"/>
              <w:jc w:val="center"/>
              <w:rPr>
                <w:rFonts w:ascii="Times New Roman" w:hAnsi="Times New Roman" w:cs="Times New Roman"/>
                <w:sz w:val="24"/>
                <w:szCs w:val="24"/>
              </w:rPr>
            </w:pPr>
            <w:r w:rsidRPr="00BE6128">
              <w:rPr>
                <w:rFonts w:ascii="Times New Roman" w:hAnsi="Times New Roman" w:cs="Times New Roman"/>
                <w:color w:val="231F20"/>
                <w:sz w:val="24"/>
                <w:szCs w:val="24"/>
              </w:rPr>
              <w:t>Fresh</w:t>
            </w:r>
            <w:r w:rsidRPr="002F588F">
              <w:rPr>
                <w:rFonts w:ascii="Times New Roman" w:hAnsi="Times New Roman" w:cs="Times New Roman"/>
                <w:color w:val="231F20"/>
                <w:sz w:val="24"/>
                <w:szCs w:val="24"/>
              </w:rPr>
              <w:t xml:space="preserve">: </w:t>
            </w:r>
            <w:r w:rsidRPr="00BE6128">
              <w:rPr>
                <w:rFonts w:ascii="Times New Roman" w:hAnsi="Times New Roman" w:cs="Times New Roman"/>
                <w:color w:val="231F20"/>
                <w:sz w:val="24"/>
                <w:szCs w:val="24"/>
                <w:lang w:val="ru-RU"/>
              </w:rPr>
              <w:t>короткий</w:t>
            </w:r>
            <w:r w:rsidRPr="002F588F">
              <w:rPr>
                <w:rFonts w:ascii="Times New Roman" w:hAnsi="Times New Roman" w:cs="Times New Roman"/>
                <w:color w:val="231F20"/>
                <w:sz w:val="24"/>
                <w:szCs w:val="24"/>
              </w:rPr>
              <w:t xml:space="preserve">  </w:t>
            </w:r>
            <w:r w:rsidRPr="00BE6128">
              <w:rPr>
                <w:rFonts w:ascii="Times New Roman" w:hAnsi="Times New Roman" w:cs="Times New Roman"/>
                <w:color w:val="231F20"/>
                <w:sz w:val="24"/>
                <w:szCs w:val="24"/>
              </w:rPr>
              <w:t>GnRH</w:t>
            </w:r>
            <w:r w:rsidRPr="002F588F">
              <w:rPr>
                <w:rFonts w:ascii="Times New Roman" w:hAnsi="Times New Roman" w:cs="Times New Roman"/>
                <w:color w:val="231F20"/>
                <w:sz w:val="24"/>
                <w:szCs w:val="24"/>
              </w:rPr>
              <w:t>-</w:t>
            </w:r>
            <w:r w:rsidRPr="00BE6128">
              <w:rPr>
                <w:rFonts w:ascii="Times New Roman" w:hAnsi="Times New Roman" w:cs="Times New Roman"/>
                <w:color w:val="231F20"/>
                <w:sz w:val="24"/>
                <w:szCs w:val="24"/>
              </w:rPr>
              <w:t>a</w:t>
            </w:r>
            <w:r w:rsidRPr="002F588F">
              <w:rPr>
                <w:rFonts w:ascii="Times New Roman" w:hAnsi="Times New Roman" w:cs="Times New Roman"/>
                <w:color w:val="231F20"/>
                <w:sz w:val="24"/>
                <w:szCs w:val="24"/>
              </w:rPr>
              <w:t xml:space="preserve"> </w:t>
            </w:r>
            <w:r w:rsidRPr="00BE6128">
              <w:rPr>
                <w:rFonts w:ascii="Times New Roman" w:hAnsi="Times New Roman" w:cs="Times New Roman"/>
                <w:color w:val="231F20"/>
                <w:sz w:val="24"/>
                <w:szCs w:val="24"/>
                <w:lang w:val="ru-RU"/>
              </w:rPr>
              <w:t>группа</w:t>
            </w:r>
            <w:r w:rsidRPr="002F588F">
              <w:rPr>
                <w:rFonts w:ascii="Times New Roman" w:hAnsi="Times New Roman" w:cs="Times New Roman"/>
                <w:color w:val="231F20"/>
                <w:sz w:val="24"/>
                <w:szCs w:val="24"/>
              </w:rPr>
              <w:t xml:space="preserve">: </w:t>
            </w:r>
            <w:r w:rsidRPr="00BE6128">
              <w:rPr>
                <w:rFonts w:ascii="Times New Roman" w:hAnsi="Times New Roman" w:cs="Times New Roman"/>
                <w:color w:val="231F20"/>
                <w:w w:val="105"/>
                <w:sz w:val="24"/>
                <w:szCs w:val="24"/>
                <w:lang w:val="ru-RU"/>
              </w:rPr>
              <w:t>введение</w:t>
            </w:r>
            <w:r w:rsidRPr="002F588F">
              <w:rPr>
                <w:rFonts w:ascii="Times New Roman" w:hAnsi="Times New Roman" w:cs="Times New Roman"/>
                <w:color w:val="231F20"/>
                <w:w w:val="105"/>
                <w:sz w:val="24"/>
                <w:szCs w:val="24"/>
              </w:rPr>
              <w:t xml:space="preserve"> </w:t>
            </w:r>
            <w:r w:rsidRPr="00BE6128">
              <w:rPr>
                <w:rFonts w:ascii="Times New Roman" w:hAnsi="Times New Roman" w:cs="Times New Roman"/>
                <w:color w:val="231F20"/>
                <w:w w:val="105"/>
                <w:sz w:val="24"/>
                <w:szCs w:val="24"/>
                <w:lang w:val="ru-RU"/>
              </w:rPr>
              <w:t>ХГЧ</w:t>
            </w:r>
            <w:r w:rsidRPr="002F588F">
              <w:rPr>
                <w:rFonts w:ascii="Times New Roman" w:hAnsi="Times New Roman" w:cs="Times New Roman"/>
                <w:color w:val="231F20"/>
                <w:spacing w:val="-2"/>
                <w:sz w:val="24"/>
                <w:szCs w:val="24"/>
              </w:rPr>
              <w:t>.</w:t>
            </w:r>
          </w:p>
        </w:tc>
        <w:tc>
          <w:tcPr>
            <w:tcW w:w="1559" w:type="dxa"/>
            <w:vMerge w:val="restart"/>
          </w:tcPr>
          <w:p w14:paraId="4BADF24C" w14:textId="77777777" w:rsidR="001A5AC8" w:rsidRPr="00BE6128" w:rsidRDefault="001A5AC8" w:rsidP="001A5AC8">
            <w:pPr>
              <w:pStyle w:val="TableParagraph"/>
              <w:spacing w:before="0"/>
              <w:ind w:left="175"/>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Pr>
          <w:p w14:paraId="6B353409"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9.1%</w:t>
            </w:r>
          </w:p>
        </w:tc>
        <w:tc>
          <w:tcPr>
            <w:tcW w:w="2126" w:type="dxa"/>
          </w:tcPr>
          <w:p w14:paraId="731A22B8"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9.1%</w:t>
            </w:r>
          </w:p>
        </w:tc>
      </w:tr>
      <w:tr w:rsidR="001A5AC8" w:rsidRPr="00F26644" w14:paraId="5666F910" w14:textId="77777777" w:rsidTr="001A5AC8">
        <w:trPr>
          <w:trHeight w:val="502"/>
        </w:trPr>
        <w:tc>
          <w:tcPr>
            <w:tcW w:w="425" w:type="dxa"/>
            <w:vMerge/>
          </w:tcPr>
          <w:p w14:paraId="06EC3ABB" w14:textId="77777777" w:rsidR="001A5AC8" w:rsidRPr="00BE6128" w:rsidRDefault="001A5AC8" w:rsidP="001A5AC8">
            <w:pPr>
              <w:jc w:val="center"/>
              <w:rPr>
                <w:rFonts w:ascii="Times New Roman" w:hAnsi="Times New Roman" w:cs="Times New Roman"/>
                <w:sz w:val="24"/>
                <w:szCs w:val="24"/>
              </w:rPr>
            </w:pPr>
          </w:p>
        </w:tc>
        <w:tc>
          <w:tcPr>
            <w:tcW w:w="1134" w:type="dxa"/>
            <w:vMerge/>
          </w:tcPr>
          <w:p w14:paraId="2F95D23B" w14:textId="77777777" w:rsidR="001A5AC8" w:rsidRPr="00BE6128" w:rsidRDefault="001A5AC8" w:rsidP="001A5AC8">
            <w:pPr>
              <w:jc w:val="center"/>
              <w:rPr>
                <w:rFonts w:ascii="Times New Roman" w:hAnsi="Times New Roman" w:cs="Times New Roman"/>
                <w:sz w:val="24"/>
                <w:szCs w:val="24"/>
              </w:rPr>
            </w:pPr>
          </w:p>
        </w:tc>
        <w:tc>
          <w:tcPr>
            <w:tcW w:w="709" w:type="dxa"/>
            <w:vMerge/>
          </w:tcPr>
          <w:p w14:paraId="21AEE10D" w14:textId="77777777" w:rsidR="001A5AC8" w:rsidRPr="00BE6128" w:rsidRDefault="001A5AC8" w:rsidP="001A5AC8">
            <w:pPr>
              <w:jc w:val="center"/>
              <w:rPr>
                <w:rFonts w:ascii="Times New Roman" w:hAnsi="Times New Roman" w:cs="Times New Roman"/>
                <w:sz w:val="24"/>
                <w:szCs w:val="24"/>
              </w:rPr>
            </w:pPr>
          </w:p>
        </w:tc>
        <w:tc>
          <w:tcPr>
            <w:tcW w:w="1559" w:type="dxa"/>
          </w:tcPr>
          <w:p w14:paraId="4CFC6B5D" w14:textId="77777777" w:rsidR="001A5AC8" w:rsidRPr="00BE6128" w:rsidRDefault="001A5AC8" w:rsidP="001A5AC8">
            <w:pPr>
              <w:pStyle w:val="TableParagraph"/>
              <w:spacing w:before="0"/>
              <w:ind w:left="229"/>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29.5</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3.2</w:t>
            </w:r>
          </w:p>
        </w:tc>
        <w:tc>
          <w:tcPr>
            <w:tcW w:w="1701" w:type="dxa"/>
          </w:tcPr>
          <w:p w14:paraId="0AAFBF1B" w14:textId="77777777" w:rsidR="001A5AC8" w:rsidRPr="00BE6128" w:rsidRDefault="001A5AC8" w:rsidP="001A5AC8">
            <w:pPr>
              <w:pStyle w:val="TableParagraph"/>
              <w:spacing w:before="0"/>
              <w:ind w:left="251"/>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21.5</w:t>
            </w:r>
            <w:r w:rsidRPr="00BE6128">
              <w:rPr>
                <w:rFonts w:ascii="Times New Roman" w:hAnsi="Times New Roman" w:cs="Times New Roman"/>
                <w:color w:val="231F20"/>
                <w:spacing w:val="-2"/>
                <w:sz w:val="24"/>
                <w:szCs w:val="24"/>
              </w:rPr>
              <w:t xml:space="preserve"> </w:t>
            </w:r>
            <w:r w:rsidRPr="00BE6128">
              <w:rPr>
                <w:rFonts w:ascii="Times New Roman" w:hAnsi="Times New Roman" w:cs="Times New Roman"/>
                <w:color w:val="231F20"/>
                <w:spacing w:val="-4"/>
                <w:sz w:val="24"/>
                <w:szCs w:val="24"/>
              </w:rPr>
              <w:t>±3.7</w:t>
            </w:r>
          </w:p>
        </w:tc>
        <w:tc>
          <w:tcPr>
            <w:tcW w:w="3402" w:type="dxa"/>
          </w:tcPr>
          <w:p w14:paraId="13432D01" w14:textId="77777777" w:rsidR="001A5AC8" w:rsidRPr="002F588F" w:rsidRDefault="001A5AC8" w:rsidP="001A5AC8">
            <w:pPr>
              <w:pStyle w:val="TableParagraph"/>
              <w:spacing w:before="0"/>
              <w:ind w:left="76" w:right="25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Fresh</w:t>
            </w:r>
            <w:r w:rsidRPr="002F588F">
              <w:rPr>
                <w:rFonts w:ascii="Times New Roman" w:hAnsi="Times New Roman" w:cs="Times New Roman"/>
                <w:color w:val="231F20"/>
                <w:spacing w:val="-2"/>
                <w:sz w:val="24"/>
                <w:szCs w:val="24"/>
              </w:rPr>
              <w:t>:</w:t>
            </w:r>
            <w:r w:rsidRPr="002F588F">
              <w:rPr>
                <w:rFonts w:ascii="Times New Roman" w:hAnsi="Times New Roman" w:cs="Times New Roman"/>
                <w:color w:val="231F20"/>
                <w:spacing w:val="-8"/>
                <w:sz w:val="24"/>
                <w:szCs w:val="24"/>
              </w:rPr>
              <w:t xml:space="preserve"> </w:t>
            </w:r>
            <w:r w:rsidRPr="002F588F">
              <w:rPr>
                <w:rFonts w:ascii="Times New Roman" w:hAnsi="Times New Roman" w:cs="Times New Roman"/>
                <w:color w:val="231F20"/>
                <w:spacing w:val="-2"/>
                <w:sz w:val="24"/>
                <w:szCs w:val="24"/>
              </w:rPr>
              <w:t xml:space="preserve"> </w:t>
            </w:r>
            <w:r w:rsidRPr="00BE6128">
              <w:rPr>
                <w:rFonts w:ascii="Times New Roman" w:hAnsi="Times New Roman" w:cs="Times New Roman"/>
                <w:color w:val="231F20"/>
                <w:spacing w:val="-2"/>
                <w:sz w:val="24"/>
                <w:szCs w:val="24"/>
                <w:lang w:val="ru-RU"/>
              </w:rPr>
              <w:t>прлонгированный</w:t>
            </w:r>
            <w:r w:rsidRPr="002F588F">
              <w:rPr>
                <w:rFonts w:ascii="Times New Roman" w:hAnsi="Times New Roman" w:cs="Times New Roman"/>
                <w:color w:val="231F20"/>
                <w:spacing w:val="-2"/>
                <w:sz w:val="24"/>
                <w:szCs w:val="24"/>
              </w:rPr>
              <w:t xml:space="preserve"> </w:t>
            </w:r>
            <w:r w:rsidRPr="00BE6128">
              <w:rPr>
                <w:rFonts w:ascii="Times New Roman" w:hAnsi="Times New Roman" w:cs="Times New Roman"/>
                <w:color w:val="231F20"/>
                <w:spacing w:val="-2"/>
                <w:sz w:val="24"/>
                <w:szCs w:val="24"/>
              </w:rPr>
              <w:t>GnRH</w:t>
            </w:r>
            <w:r w:rsidRPr="002F588F">
              <w:rPr>
                <w:rFonts w:ascii="Times New Roman" w:hAnsi="Times New Roman" w:cs="Times New Roman"/>
                <w:color w:val="231F20"/>
                <w:spacing w:val="-2"/>
                <w:sz w:val="24"/>
                <w:szCs w:val="24"/>
              </w:rPr>
              <w:t>-</w:t>
            </w:r>
            <w:r w:rsidRPr="00BE6128">
              <w:rPr>
                <w:rFonts w:ascii="Times New Roman" w:hAnsi="Times New Roman" w:cs="Times New Roman"/>
                <w:color w:val="231F20"/>
                <w:spacing w:val="-2"/>
                <w:sz w:val="24"/>
                <w:szCs w:val="24"/>
              </w:rPr>
              <w:t>a</w:t>
            </w:r>
            <w:r w:rsidRPr="002F588F">
              <w:rPr>
                <w:rFonts w:ascii="Times New Roman" w:hAnsi="Times New Roman" w:cs="Times New Roman"/>
                <w:color w:val="231F20"/>
                <w:spacing w:val="-8"/>
                <w:sz w:val="24"/>
                <w:szCs w:val="24"/>
              </w:rPr>
              <w:t xml:space="preserve"> </w:t>
            </w:r>
            <w:r w:rsidRPr="00BE6128">
              <w:rPr>
                <w:rFonts w:ascii="Times New Roman" w:hAnsi="Times New Roman" w:cs="Times New Roman"/>
                <w:color w:val="231F20"/>
                <w:spacing w:val="-2"/>
                <w:sz w:val="24"/>
                <w:szCs w:val="24"/>
                <w:lang w:val="ru-RU"/>
              </w:rPr>
              <w:t>группа</w:t>
            </w:r>
            <w:r w:rsidRPr="002F588F">
              <w:rPr>
                <w:rFonts w:ascii="Times New Roman" w:hAnsi="Times New Roman" w:cs="Times New Roman"/>
                <w:color w:val="231F20"/>
                <w:spacing w:val="-2"/>
                <w:sz w:val="24"/>
                <w:szCs w:val="24"/>
              </w:rPr>
              <w:t>:</w:t>
            </w:r>
            <w:r w:rsidRPr="002F588F">
              <w:rPr>
                <w:rFonts w:ascii="Times New Roman" w:hAnsi="Times New Roman" w:cs="Times New Roman"/>
                <w:color w:val="231F20"/>
                <w:spacing w:val="40"/>
                <w:sz w:val="24"/>
                <w:szCs w:val="24"/>
              </w:rPr>
              <w:t xml:space="preserve"> </w:t>
            </w:r>
            <w:r w:rsidRPr="00BE6128">
              <w:rPr>
                <w:rFonts w:ascii="Times New Roman" w:hAnsi="Times New Roman" w:cs="Times New Roman"/>
                <w:color w:val="231F20"/>
                <w:w w:val="105"/>
                <w:sz w:val="24"/>
                <w:szCs w:val="24"/>
                <w:lang w:val="ru-RU"/>
              </w:rPr>
              <w:t>введение</w:t>
            </w:r>
            <w:r w:rsidRPr="002F588F">
              <w:rPr>
                <w:rFonts w:ascii="Times New Roman" w:hAnsi="Times New Roman" w:cs="Times New Roman"/>
                <w:color w:val="231F20"/>
                <w:w w:val="105"/>
                <w:sz w:val="24"/>
                <w:szCs w:val="24"/>
              </w:rPr>
              <w:t xml:space="preserve"> </w:t>
            </w:r>
            <w:r w:rsidRPr="00BE6128">
              <w:rPr>
                <w:rFonts w:ascii="Times New Roman" w:hAnsi="Times New Roman" w:cs="Times New Roman"/>
                <w:color w:val="231F20"/>
                <w:w w:val="105"/>
                <w:sz w:val="24"/>
                <w:szCs w:val="24"/>
                <w:lang w:val="ru-RU"/>
              </w:rPr>
              <w:t>ХГЧ</w:t>
            </w:r>
            <w:r w:rsidRPr="002F588F">
              <w:rPr>
                <w:rFonts w:ascii="Times New Roman" w:hAnsi="Times New Roman" w:cs="Times New Roman"/>
                <w:color w:val="231F20"/>
                <w:spacing w:val="-2"/>
                <w:sz w:val="24"/>
                <w:szCs w:val="24"/>
              </w:rPr>
              <w:t>.</w:t>
            </w:r>
          </w:p>
        </w:tc>
        <w:tc>
          <w:tcPr>
            <w:tcW w:w="1559" w:type="dxa"/>
            <w:vMerge/>
          </w:tcPr>
          <w:p w14:paraId="132229B3" w14:textId="77777777" w:rsidR="001A5AC8" w:rsidRPr="002F588F" w:rsidRDefault="001A5AC8" w:rsidP="001A5AC8">
            <w:pPr>
              <w:jc w:val="center"/>
              <w:rPr>
                <w:rFonts w:ascii="Times New Roman" w:hAnsi="Times New Roman" w:cs="Times New Roman"/>
                <w:sz w:val="24"/>
                <w:szCs w:val="24"/>
              </w:rPr>
            </w:pPr>
          </w:p>
        </w:tc>
        <w:tc>
          <w:tcPr>
            <w:tcW w:w="1843" w:type="dxa"/>
          </w:tcPr>
          <w:p w14:paraId="20A6838F"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36.0%</w:t>
            </w:r>
          </w:p>
        </w:tc>
        <w:tc>
          <w:tcPr>
            <w:tcW w:w="2126" w:type="dxa"/>
          </w:tcPr>
          <w:p w14:paraId="2F11BC06"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28.0%</w:t>
            </w:r>
          </w:p>
        </w:tc>
      </w:tr>
      <w:tr w:rsidR="001A5AC8" w:rsidRPr="00F26644" w14:paraId="03CF6B61" w14:textId="77777777" w:rsidTr="001A5AC8">
        <w:trPr>
          <w:trHeight w:val="502"/>
        </w:trPr>
        <w:tc>
          <w:tcPr>
            <w:tcW w:w="425" w:type="dxa"/>
          </w:tcPr>
          <w:p w14:paraId="476DAE35" w14:textId="77777777" w:rsidR="001A5AC8" w:rsidRPr="00BE6128" w:rsidRDefault="001A5AC8" w:rsidP="001A5AC8">
            <w:pPr>
              <w:pStyle w:val="TableParagraph"/>
              <w:spacing w:before="0"/>
              <w:ind w:left="7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12</w:t>
            </w:r>
          </w:p>
        </w:tc>
        <w:tc>
          <w:tcPr>
            <w:tcW w:w="1134" w:type="dxa"/>
          </w:tcPr>
          <w:p w14:paraId="55C10776" w14:textId="317C2955" w:rsidR="001A5AC8" w:rsidRPr="00BE6128" w:rsidRDefault="001A5AC8" w:rsidP="001A5AC8">
            <w:pPr>
              <w:pStyle w:val="TableParagraph"/>
              <w:spacing w:before="0"/>
              <w:ind w:left="79" w:right="341"/>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Bu</w:t>
            </w:r>
            <w:r w:rsidRPr="00BE6128">
              <w:rPr>
                <w:rFonts w:ascii="Times New Roman" w:hAnsi="Times New Roman" w:cs="Times New Roman"/>
                <w:color w:val="231F20"/>
                <w:spacing w:val="-8"/>
                <w:sz w:val="24"/>
                <w:szCs w:val="24"/>
              </w:rPr>
              <w:t xml:space="preserve"> </w:t>
            </w:r>
            <w:r w:rsidRPr="00BE6128">
              <w:rPr>
                <w:rFonts w:ascii="Times New Roman" w:hAnsi="Times New Roman" w:cs="Times New Roman"/>
                <w:color w:val="231F20"/>
                <w:spacing w:val="-2"/>
                <w:sz w:val="24"/>
                <w:szCs w:val="24"/>
              </w:rPr>
              <w:t>et</w:t>
            </w:r>
            <w:r w:rsidRPr="00BE6128">
              <w:rPr>
                <w:rFonts w:ascii="Times New Roman" w:hAnsi="Times New Roman" w:cs="Times New Roman"/>
                <w:color w:val="231F20"/>
                <w:spacing w:val="-8"/>
                <w:sz w:val="24"/>
                <w:szCs w:val="24"/>
              </w:rPr>
              <w:t xml:space="preserve"> </w:t>
            </w:r>
            <w:r w:rsidRPr="00BE6128">
              <w:rPr>
                <w:rFonts w:ascii="Times New Roman" w:hAnsi="Times New Roman" w:cs="Times New Roman"/>
                <w:color w:val="231F20"/>
                <w:spacing w:val="-2"/>
                <w:sz w:val="24"/>
                <w:szCs w:val="24"/>
              </w:rPr>
              <w:t>al.,</w:t>
            </w:r>
            <w:r w:rsidRPr="00BE6128">
              <w:rPr>
                <w:rFonts w:ascii="Times New Roman" w:hAnsi="Times New Roman" w:cs="Times New Roman"/>
                <w:color w:val="231F20"/>
                <w:spacing w:val="-8"/>
                <w:sz w:val="24"/>
                <w:szCs w:val="24"/>
              </w:rPr>
              <w:t xml:space="preserve"> </w:t>
            </w:r>
            <w:r w:rsidRPr="00BE6128">
              <w:rPr>
                <w:rFonts w:ascii="Times New Roman" w:hAnsi="Times New Roman" w:cs="Times New Roman"/>
                <w:color w:val="231F20"/>
                <w:spacing w:val="-2"/>
                <w:sz w:val="24"/>
                <w:szCs w:val="24"/>
              </w:rPr>
              <w:fldChar w:fldCharType="begin" w:fldLock="1"/>
            </w:r>
            <w:r w:rsidR="008C6800">
              <w:rPr>
                <w:rFonts w:ascii="Times New Roman" w:hAnsi="Times New Roman" w:cs="Times New Roman"/>
                <w:color w:val="231F20"/>
                <w:spacing w:val="-2"/>
                <w:sz w:val="24"/>
                <w:szCs w:val="24"/>
              </w:rPr>
              <w:instrText>ADDIN CSL_CITATION {"citationItems":[{"id":"ITEM-1","itemData":{"ISSN":"1664-2392","author":[{"dropping-particle":"","family":"Bu","given":"Zhiqin","non-dropping-particle":"","parse-names":false,"suffix":""},{"dropping-particle":"","family":"Hu","given":"Linli","non-dropping-particle":"","parse-names":false,"suffix":""},{"dropping-particle":"","family":"Yang","given":"Xinhong","non-dropping-particle":"","parse-names":false,"suffix":""},{"dropping-particle":"","family":"Sun","given":"Yingpu","non-dropping-particle":"","parse-names":false,"suffix":""}],"container-title":"Frontiers in Endocrinology","id":"ITEM-1","issued":{"date-parts":[["2020"]]},"page":"469","publisher":"Frontiers Media SA","title":"Cumulative live birth rate in patients with thin endometrium: a real-world single-center experience","type":"article-journal","volume":"11"},"uris":["http://www.mendeley.com/documents/?uuid=4eaec52a-6fbc-4265-947f-1c9ec643d4b6"]}],"mendeley":{"formattedCitation":"[117]","plainTextFormattedCitation":"[117]","previouslyFormattedCitation":"(117)"},"properties":{"noteIndex":0},"schema":"https://github.com/citation-style-language/schema/raw/master/csl-citation.json"}</w:instrText>
            </w:r>
            <w:r w:rsidRPr="00BE6128">
              <w:rPr>
                <w:rFonts w:ascii="Times New Roman" w:hAnsi="Times New Roman" w:cs="Times New Roman"/>
                <w:color w:val="231F20"/>
                <w:spacing w:val="-2"/>
                <w:sz w:val="24"/>
                <w:szCs w:val="24"/>
              </w:rPr>
              <w:fldChar w:fldCharType="separate"/>
            </w:r>
            <w:r w:rsidR="008C6800" w:rsidRPr="008C6800">
              <w:rPr>
                <w:rFonts w:ascii="Times New Roman" w:hAnsi="Times New Roman" w:cs="Times New Roman"/>
                <w:noProof/>
                <w:color w:val="231F20"/>
                <w:spacing w:val="-2"/>
                <w:sz w:val="24"/>
                <w:szCs w:val="24"/>
              </w:rPr>
              <w:t>[117]</w:t>
            </w:r>
            <w:r w:rsidRPr="00BE6128">
              <w:rPr>
                <w:rFonts w:ascii="Times New Roman" w:hAnsi="Times New Roman" w:cs="Times New Roman"/>
                <w:color w:val="231F20"/>
                <w:spacing w:val="-2"/>
                <w:sz w:val="24"/>
                <w:szCs w:val="24"/>
              </w:rPr>
              <w:fldChar w:fldCharType="end"/>
            </w:r>
            <w:r w:rsidRPr="00BE6128">
              <w:rPr>
                <w:rFonts w:ascii="Times New Roman" w:hAnsi="Times New Roman" w:cs="Times New Roman"/>
                <w:color w:val="231F20"/>
                <w:sz w:val="24"/>
                <w:szCs w:val="24"/>
              </w:rPr>
              <w:t>2020,</w:t>
            </w:r>
            <w:r w:rsidRPr="00BE6128">
              <w:rPr>
                <w:rFonts w:ascii="Times New Roman" w:hAnsi="Times New Roman" w:cs="Times New Roman"/>
                <w:color w:val="231F20"/>
                <w:spacing w:val="-5"/>
                <w:sz w:val="24"/>
                <w:szCs w:val="24"/>
              </w:rPr>
              <w:t xml:space="preserve"> </w:t>
            </w:r>
            <w:r w:rsidRPr="00BE6128">
              <w:rPr>
                <w:rFonts w:ascii="Times New Roman" w:hAnsi="Times New Roman" w:cs="Times New Roman"/>
                <w:color w:val="231F20"/>
                <w:sz w:val="24"/>
                <w:szCs w:val="24"/>
              </w:rPr>
              <w:t>China</w:t>
            </w:r>
          </w:p>
        </w:tc>
        <w:tc>
          <w:tcPr>
            <w:tcW w:w="709" w:type="dxa"/>
          </w:tcPr>
          <w:p w14:paraId="69481C65" w14:textId="77777777" w:rsidR="001A5AC8" w:rsidRPr="00BE6128" w:rsidRDefault="001A5AC8" w:rsidP="001A5AC8">
            <w:pPr>
              <w:pStyle w:val="TableParagraph"/>
              <w:spacing w:before="0"/>
              <w:ind w:right="8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309</w:t>
            </w:r>
          </w:p>
        </w:tc>
        <w:tc>
          <w:tcPr>
            <w:tcW w:w="1559" w:type="dxa"/>
          </w:tcPr>
          <w:p w14:paraId="0E76496D" w14:textId="77777777" w:rsidR="001A5AC8" w:rsidRPr="00BE6128" w:rsidRDefault="001A5AC8" w:rsidP="001A5AC8">
            <w:pPr>
              <w:pStyle w:val="TableParagraph"/>
              <w:spacing w:before="0"/>
              <w:ind w:left="252"/>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36.8</w:t>
            </w:r>
            <w:r w:rsidRPr="00BE6128">
              <w:rPr>
                <w:rFonts w:ascii="Times New Roman" w:hAnsi="Times New Roman" w:cs="Times New Roman"/>
                <w:color w:val="231F20"/>
                <w:spacing w:val="-2"/>
                <w:sz w:val="24"/>
                <w:szCs w:val="24"/>
              </w:rPr>
              <w:t xml:space="preserve"> </w:t>
            </w:r>
            <w:r w:rsidRPr="00BE6128">
              <w:rPr>
                <w:rFonts w:ascii="Times New Roman" w:hAnsi="Times New Roman" w:cs="Times New Roman"/>
                <w:color w:val="231F20"/>
                <w:spacing w:val="-4"/>
                <w:sz w:val="24"/>
                <w:szCs w:val="24"/>
              </w:rPr>
              <w:t>±3.8</w:t>
            </w:r>
          </w:p>
        </w:tc>
        <w:tc>
          <w:tcPr>
            <w:tcW w:w="1701" w:type="dxa"/>
          </w:tcPr>
          <w:p w14:paraId="6AEBA24D" w14:textId="77777777" w:rsidR="001A5AC8" w:rsidRPr="00BE6128" w:rsidRDefault="001A5AC8" w:rsidP="001A5AC8">
            <w:pPr>
              <w:pStyle w:val="TableParagraph"/>
              <w:spacing w:before="0"/>
              <w:jc w:val="center"/>
              <w:rPr>
                <w:rFonts w:ascii="Times New Roman" w:hAnsi="Times New Roman" w:cs="Times New Roman"/>
                <w:sz w:val="24"/>
                <w:szCs w:val="24"/>
              </w:rPr>
            </w:pPr>
          </w:p>
        </w:tc>
        <w:tc>
          <w:tcPr>
            <w:tcW w:w="3402" w:type="dxa"/>
          </w:tcPr>
          <w:p w14:paraId="6CBE5DA7" w14:textId="77777777" w:rsidR="001A5AC8" w:rsidRPr="00BE6128" w:rsidRDefault="001A5AC8" w:rsidP="001A5AC8">
            <w:pPr>
              <w:pStyle w:val="TableParagraph"/>
              <w:spacing w:before="0"/>
              <w:ind w:left="76"/>
              <w:jc w:val="center"/>
              <w:rPr>
                <w:rFonts w:ascii="Times New Roman" w:hAnsi="Times New Roman" w:cs="Times New Roman"/>
                <w:sz w:val="24"/>
                <w:szCs w:val="24"/>
              </w:rPr>
            </w:pPr>
            <w:r w:rsidRPr="00BE6128">
              <w:rPr>
                <w:rFonts w:ascii="Times New Roman" w:hAnsi="Times New Roman" w:cs="Times New Roman"/>
                <w:color w:val="231F20"/>
                <w:w w:val="105"/>
                <w:sz w:val="24"/>
                <w:szCs w:val="24"/>
              </w:rPr>
              <w:t>FET:</w:t>
            </w:r>
            <w:r w:rsidRPr="00BE6128">
              <w:rPr>
                <w:rFonts w:ascii="Times New Roman" w:hAnsi="Times New Roman" w:cs="Times New Roman"/>
                <w:color w:val="231F20"/>
                <w:spacing w:val="20"/>
                <w:w w:val="105"/>
                <w:sz w:val="24"/>
                <w:szCs w:val="24"/>
              </w:rPr>
              <w:t xml:space="preserve"> </w:t>
            </w:r>
            <w:r w:rsidRPr="00BE6128">
              <w:rPr>
                <w:rFonts w:ascii="Times New Roman" w:hAnsi="Times New Roman" w:cs="Times New Roman"/>
                <w:color w:val="231F20"/>
                <w:w w:val="105"/>
                <w:sz w:val="24"/>
                <w:szCs w:val="24"/>
                <w:lang w:val="ru-RU"/>
              </w:rPr>
              <w:t>введение</w:t>
            </w:r>
            <w:r w:rsidRPr="00BE6128">
              <w:rPr>
                <w:rFonts w:ascii="Times New Roman" w:hAnsi="Times New Roman" w:cs="Times New Roman"/>
                <w:color w:val="231F20"/>
                <w:w w:val="105"/>
                <w:sz w:val="24"/>
                <w:szCs w:val="24"/>
              </w:rPr>
              <w:t xml:space="preserve"> </w:t>
            </w:r>
            <w:r w:rsidRPr="00BE6128">
              <w:rPr>
                <w:rFonts w:ascii="Times New Roman" w:hAnsi="Times New Roman" w:cs="Times New Roman"/>
                <w:color w:val="231F20"/>
                <w:w w:val="105"/>
                <w:sz w:val="24"/>
                <w:szCs w:val="24"/>
                <w:lang w:val="ru-RU"/>
              </w:rPr>
              <w:t>ХГЧ</w:t>
            </w:r>
            <w:r w:rsidRPr="00BE6128">
              <w:rPr>
                <w:rFonts w:ascii="Times New Roman" w:hAnsi="Times New Roman" w:cs="Times New Roman"/>
                <w:color w:val="231F20"/>
                <w:spacing w:val="-2"/>
                <w:sz w:val="24"/>
                <w:szCs w:val="24"/>
              </w:rPr>
              <w:t>.</w:t>
            </w:r>
          </w:p>
        </w:tc>
        <w:tc>
          <w:tcPr>
            <w:tcW w:w="1559" w:type="dxa"/>
          </w:tcPr>
          <w:p w14:paraId="5E1BCF45" w14:textId="77777777" w:rsidR="001A5AC8" w:rsidRPr="00BE6128" w:rsidRDefault="001A5AC8" w:rsidP="001A5AC8">
            <w:pPr>
              <w:pStyle w:val="TableParagraph"/>
              <w:spacing w:before="0"/>
              <w:ind w:right="86"/>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Pr>
          <w:p w14:paraId="6BEB70CA"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5"/>
                <w:w w:val="95"/>
                <w:sz w:val="24"/>
                <w:szCs w:val="24"/>
              </w:rPr>
              <w:t>n/a</w:t>
            </w:r>
          </w:p>
        </w:tc>
        <w:tc>
          <w:tcPr>
            <w:tcW w:w="2126" w:type="dxa"/>
          </w:tcPr>
          <w:p w14:paraId="4252F6B6"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35.5%</w:t>
            </w:r>
          </w:p>
        </w:tc>
      </w:tr>
      <w:tr w:rsidR="001A5AC8" w:rsidRPr="00BE6128" w14:paraId="649548BE" w14:textId="77777777" w:rsidTr="001A5AC8">
        <w:trPr>
          <w:trHeight w:val="282"/>
        </w:trPr>
        <w:tc>
          <w:tcPr>
            <w:tcW w:w="425" w:type="dxa"/>
            <w:vMerge w:val="restart"/>
          </w:tcPr>
          <w:p w14:paraId="475711C0" w14:textId="77777777" w:rsidR="001A5AC8" w:rsidRPr="00BE6128" w:rsidRDefault="001A5AC8" w:rsidP="001A5AC8">
            <w:pPr>
              <w:pStyle w:val="TableParagraph"/>
              <w:spacing w:before="0"/>
              <w:ind w:left="7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13</w:t>
            </w:r>
          </w:p>
        </w:tc>
        <w:tc>
          <w:tcPr>
            <w:tcW w:w="1134" w:type="dxa"/>
            <w:vMerge w:val="restart"/>
          </w:tcPr>
          <w:p w14:paraId="7250BE5A" w14:textId="251D6FD2" w:rsidR="001A5AC8" w:rsidRPr="00BE6128" w:rsidRDefault="001A5AC8" w:rsidP="001A5AC8">
            <w:pPr>
              <w:pStyle w:val="TableParagraph"/>
              <w:spacing w:before="0"/>
              <w:ind w:left="79" w:right="228"/>
              <w:jc w:val="center"/>
              <w:rPr>
                <w:rFonts w:ascii="Times New Roman" w:hAnsi="Times New Roman" w:cs="Times New Roman"/>
                <w:sz w:val="24"/>
                <w:szCs w:val="24"/>
              </w:rPr>
            </w:pPr>
            <w:r w:rsidRPr="00BE6128">
              <w:rPr>
                <w:rFonts w:ascii="Times New Roman" w:hAnsi="Times New Roman" w:cs="Times New Roman"/>
                <w:color w:val="231F20"/>
                <w:sz w:val="24"/>
                <w:szCs w:val="24"/>
              </w:rPr>
              <w:t>Guo</w:t>
            </w:r>
            <w:r w:rsidRPr="00BE6128">
              <w:rPr>
                <w:rFonts w:ascii="Times New Roman" w:hAnsi="Times New Roman" w:cs="Times New Roman"/>
                <w:color w:val="231F20"/>
                <w:spacing w:val="-10"/>
                <w:sz w:val="24"/>
                <w:szCs w:val="24"/>
              </w:rPr>
              <w:t xml:space="preserve"> </w:t>
            </w:r>
            <w:r w:rsidRPr="00BE6128">
              <w:rPr>
                <w:rFonts w:ascii="Times New Roman" w:hAnsi="Times New Roman" w:cs="Times New Roman"/>
                <w:color w:val="231F20"/>
                <w:sz w:val="24"/>
                <w:szCs w:val="24"/>
              </w:rPr>
              <w:t>et</w:t>
            </w:r>
            <w:r w:rsidRPr="00BE6128">
              <w:rPr>
                <w:rFonts w:ascii="Times New Roman" w:hAnsi="Times New Roman" w:cs="Times New Roman"/>
                <w:color w:val="231F20"/>
                <w:spacing w:val="-10"/>
                <w:sz w:val="24"/>
                <w:szCs w:val="24"/>
              </w:rPr>
              <w:t xml:space="preserve"> </w:t>
            </w:r>
            <w:r w:rsidRPr="00BE6128">
              <w:rPr>
                <w:rFonts w:ascii="Times New Roman" w:hAnsi="Times New Roman" w:cs="Times New Roman"/>
                <w:color w:val="231F20"/>
                <w:sz w:val="24"/>
                <w:szCs w:val="24"/>
              </w:rPr>
              <w:t>al.,</w:t>
            </w:r>
            <w:r w:rsidRPr="00BE6128">
              <w:rPr>
                <w:rFonts w:ascii="Times New Roman" w:hAnsi="Times New Roman" w:cs="Times New Roman"/>
                <w:color w:val="231F20"/>
                <w:spacing w:val="-10"/>
                <w:sz w:val="24"/>
                <w:szCs w:val="24"/>
              </w:rPr>
              <w:t xml:space="preserve"> </w:t>
            </w:r>
            <w:r w:rsidRPr="00BE6128">
              <w:rPr>
                <w:rFonts w:ascii="Times New Roman" w:hAnsi="Times New Roman" w:cs="Times New Roman"/>
                <w:color w:val="231F20"/>
                <w:sz w:val="24"/>
                <w:szCs w:val="24"/>
              </w:rPr>
              <w:fldChar w:fldCharType="begin" w:fldLock="1"/>
            </w:r>
            <w:r w:rsidR="008C6800">
              <w:rPr>
                <w:rFonts w:ascii="Times New Roman" w:hAnsi="Times New Roman" w:cs="Times New Roman"/>
                <w:color w:val="231F20"/>
                <w:sz w:val="24"/>
                <w:szCs w:val="24"/>
              </w:rPr>
              <w:instrText>ADDIN CSL_CITATION {"citationItems":[{"id":"ITEM-1","itemData":{"author":[{"dropping-particle":"","family":"Guo","given":"Zizhen","non-dropping-particle":"","parse-names":false,"suffix":""},{"dropping-particle":"","family":"Chu","given":"Ran","non-dropping-particle":"","parse-names":false,"suffix":""},{"dropping-particle":"","family":"Zhang","given":"Liping","non-dropping-particle":"","parse-names":false,"suffix":""},{"dropping-particle":"","family":"Yu","given":"Qian","non-dropping-particle":"","parse-names":false,"suffix":""},{"dropping-particle":"","family":"Yan","given":"Lei","non-dropping-particle":"","parse-names":false,"suffix":""},{"dropping-particle":"","family":"Ma","given":"Jinlong","non-dropping-particle":"","parse-names":false,"suffix":""}],"container-title":"Annals of Translational Medicine","id":"ITEM-1","issue":"21","issued":{"date-parts":[["2020"]]},"publisher":"AME Publications","title":"Fresh versus frozen embryo transfer in women with thin endometrium: a retrospective cohort study","type":"article-journal","volume":"8"},"uris":["http://www.mendeley.com/documents/?uuid=1120c8e7-bfea-4520-9960-53b0df81ade4"]}],"mendeley":{"formattedCitation":"[118]","plainTextFormattedCitation":"[118]","previouslyFormattedCitation":"(118)"},"properties":{"noteIndex":0},"schema":"https://github.com/citation-style-language/schema/raw/master/csl-citation.json"}</w:instrText>
            </w:r>
            <w:r w:rsidRPr="00BE6128">
              <w:rPr>
                <w:rFonts w:ascii="Times New Roman" w:hAnsi="Times New Roman" w:cs="Times New Roman"/>
                <w:color w:val="231F20"/>
                <w:sz w:val="24"/>
                <w:szCs w:val="24"/>
              </w:rPr>
              <w:fldChar w:fldCharType="separate"/>
            </w:r>
            <w:r w:rsidR="008C6800" w:rsidRPr="008C6800">
              <w:rPr>
                <w:rFonts w:ascii="Times New Roman" w:hAnsi="Times New Roman" w:cs="Times New Roman"/>
                <w:noProof/>
                <w:color w:val="231F20"/>
                <w:sz w:val="24"/>
                <w:szCs w:val="24"/>
              </w:rPr>
              <w:t>[118]</w:t>
            </w:r>
            <w:r w:rsidRPr="00BE6128">
              <w:rPr>
                <w:rFonts w:ascii="Times New Roman" w:hAnsi="Times New Roman" w:cs="Times New Roman"/>
                <w:color w:val="231F20"/>
                <w:sz w:val="24"/>
                <w:szCs w:val="24"/>
              </w:rPr>
              <w:fldChar w:fldCharType="end"/>
            </w:r>
            <w:r w:rsidRPr="00BE6128">
              <w:rPr>
                <w:rFonts w:ascii="Times New Roman" w:hAnsi="Times New Roman" w:cs="Times New Roman"/>
                <w:color w:val="231F20"/>
                <w:spacing w:val="40"/>
                <w:sz w:val="24"/>
                <w:szCs w:val="24"/>
              </w:rPr>
              <w:t xml:space="preserve"> </w:t>
            </w:r>
            <w:r w:rsidRPr="00BE6128">
              <w:rPr>
                <w:rFonts w:ascii="Times New Roman" w:hAnsi="Times New Roman" w:cs="Times New Roman"/>
                <w:color w:val="231F20"/>
                <w:sz w:val="24"/>
                <w:szCs w:val="24"/>
              </w:rPr>
              <w:t>2020,</w:t>
            </w:r>
            <w:r w:rsidRPr="00BE6128">
              <w:rPr>
                <w:rFonts w:ascii="Times New Roman" w:hAnsi="Times New Roman" w:cs="Times New Roman"/>
                <w:color w:val="231F20"/>
                <w:spacing w:val="-5"/>
                <w:sz w:val="24"/>
                <w:szCs w:val="24"/>
              </w:rPr>
              <w:t xml:space="preserve"> </w:t>
            </w:r>
            <w:r w:rsidRPr="00BE6128">
              <w:rPr>
                <w:rFonts w:ascii="Times New Roman" w:hAnsi="Times New Roman" w:cs="Times New Roman"/>
                <w:color w:val="231F20"/>
                <w:sz w:val="24"/>
                <w:szCs w:val="24"/>
              </w:rPr>
              <w:t>China</w:t>
            </w:r>
          </w:p>
        </w:tc>
        <w:tc>
          <w:tcPr>
            <w:tcW w:w="709" w:type="dxa"/>
            <w:vMerge w:val="restart"/>
          </w:tcPr>
          <w:p w14:paraId="1EA3671A" w14:textId="77777777" w:rsidR="001A5AC8" w:rsidRPr="00BE6128" w:rsidRDefault="001A5AC8" w:rsidP="001A5AC8">
            <w:pPr>
              <w:pStyle w:val="TableParagraph"/>
              <w:spacing w:before="0"/>
              <w:ind w:left="79"/>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1110</w:t>
            </w:r>
          </w:p>
        </w:tc>
        <w:tc>
          <w:tcPr>
            <w:tcW w:w="1559" w:type="dxa"/>
          </w:tcPr>
          <w:p w14:paraId="7DB71334" w14:textId="77777777" w:rsidR="001A5AC8" w:rsidRPr="00BE6128" w:rsidRDefault="001A5AC8" w:rsidP="001A5AC8">
            <w:pPr>
              <w:pStyle w:val="TableParagraph"/>
              <w:spacing w:before="0"/>
              <w:ind w:left="8" w:right="3"/>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34.8±5.5</w:t>
            </w:r>
          </w:p>
        </w:tc>
        <w:tc>
          <w:tcPr>
            <w:tcW w:w="1701" w:type="dxa"/>
          </w:tcPr>
          <w:p w14:paraId="7368AC05" w14:textId="77777777" w:rsidR="001A5AC8" w:rsidRPr="00BE6128" w:rsidRDefault="001A5AC8" w:rsidP="001A5AC8">
            <w:pPr>
              <w:pStyle w:val="TableParagraph"/>
              <w:spacing w:before="0"/>
              <w:ind w:left="8" w:right="4"/>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23.8±3.6</w:t>
            </w:r>
          </w:p>
        </w:tc>
        <w:tc>
          <w:tcPr>
            <w:tcW w:w="3402" w:type="dxa"/>
          </w:tcPr>
          <w:p w14:paraId="119C3F05" w14:textId="77777777" w:rsidR="001A5AC8" w:rsidRPr="00BE6128" w:rsidRDefault="001A5AC8" w:rsidP="001A5AC8">
            <w:pPr>
              <w:pStyle w:val="TableParagraph"/>
              <w:spacing w:before="0"/>
              <w:ind w:left="76"/>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Fresh:</w:t>
            </w:r>
            <w:r w:rsidRPr="00BE6128">
              <w:rPr>
                <w:rFonts w:ascii="Times New Roman" w:hAnsi="Times New Roman" w:cs="Times New Roman"/>
                <w:color w:val="231F20"/>
                <w:spacing w:val="2"/>
                <w:sz w:val="24"/>
                <w:szCs w:val="24"/>
              </w:rPr>
              <w:t xml:space="preserve"> </w:t>
            </w:r>
            <w:r w:rsidRPr="00BE6128">
              <w:rPr>
                <w:rFonts w:ascii="Times New Roman" w:hAnsi="Times New Roman" w:cs="Times New Roman"/>
                <w:color w:val="231F20"/>
                <w:w w:val="105"/>
                <w:sz w:val="24"/>
                <w:szCs w:val="24"/>
                <w:lang w:val="ru-RU"/>
              </w:rPr>
              <w:t>введение ХГЧ</w:t>
            </w:r>
            <w:r w:rsidRPr="00BE6128">
              <w:rPr>
                <w:rFonts w:ascii="Times New Roman" w:hAnsi="Times New Roman" w:cs="Times New Roman"/>
                <w:color w:val="231F20"/>
                <w:spacing w:val="-2"/>
                <w:sz w:val="24"/>
                <w:szCs w:val="24"/>
                <w:lang w:val="ru-RU"/>
              </w:rPr>
              <w:t>.</w:t>
            </w:r>
          </w:p>
        </w:tc>
        <w:tc>
          <w:tcPr>
            <w:tcW w:w="1559" w:type="dxa"/>
            <w:vMerge w:val="restart"/>
          </w:tcPr>
          <w:p w14:paraId="322A5864" w14:textId="77777777" w:rsidR="001A5AC8" w:rsidRPr="00BE6128" w:rsidRDefault="001A5AC8" w:rsidP="001A5AC8">
            <w:pPr>
              <w:pStyle w:val="TableParagraph"/>
              <w:spacing w:before="0"/>
              <w:ind w:left="175"/>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Pr>
          <w:p w14:paraId="1D8DC94D"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26.4%</w:t>
            </w:r>
          </w:p>
        </w:tc>
        <w:tc>
          <w:tcPr>
            <w:tcW w:w="2126" w:type="dxa"/>
          </w:tcPr>
          <w:p w14:paraId="637041B3"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18.4%</w:t>
            </w:r>
          </w:p>
        </w:tc>
      </w:tr>
      <w:tr w:rsidR="001A5AC8" w:rsidRPr="00BE6128" w14:paraId="1F2F8D28" w14:textId="77777777" w:rsidTr="001A5AC8">
        <w:trPr>
          <w:trHeight w:val="282"/>
        </w:trPr>
        <w:tc>
          <w:tcPr>
            <w:tcW w:w="425" w:type="dxa"/>
            <w:vMerge/>
          </w:tcPr>
          <w:p w14:paraId="4E147D42" w14:textId="77777777" w:rsidR="001A5AC8" w:rsidRPr="00BE6128" w:rsidRDefault="001A5AC8" w:rsidP="001A5AC8">
            <w:pPr>
              <w:jc w:val="center"/>
              <w:rPr>
                <w:rFonts w:ascii="Times New Roman" w:hAnsi="Times New Roman" w:cs="Times New Roman"/>
                <w:sz w:val="24"/>
                <w:szCs w:val="24"/>
              </w:rPr>
            </w:pPr>
          </w:p>
        </w:tc>
        <w:tc>
          <w:tcPr>
            <w:tcW w:w="1134" w:type="dxa"/>
            <w:vMerge/>
          </w:tcPr>
          <w:p w14:paraId="03163DD3" w14:textId="77777777" w:rsidR="001A5AC8" w:rsidRPr="00BE6128" w:rsidRDefault="001A5AC8" w:rsidP="001A5AC8">
            <w:pPr>
              <w:jc w:val="center"/>
              <w:rPr>
                <w:rFonts w:ascii="Times New Roman" w:hAnsi="Times New Roman" w:cs="Times New Roman"/>
                <w:sz w:val="24"/>
                <w:szCs w:val="24"/>
              </w:rPr>
            </w:pPr>
          </w:p>
        </w:tc>
        <w:tc>
          <w:tcPr>
            <w:tcW w:w="709" w:type="dxa"/>
            <w:vMerge/>
          </w:tcPr>
          <w:p w14:paraId="074E69E6" w14:textId="77777777" w:rsidR="001A5AC8" w:rsidRPr="00BE6128" w:rsidRDefault="001A5AC8" w:rsidP="001A5AC8">
            <w:pPr>
              <w:jc w:val="center"/>
              <w:rPr>
                <w:rFonts w:ascii="Times New Roman" w:hAnsi="Times New Roman" w:cs="Times New Roman"/>
                <w:sz w:val="24"/>
                <w:szCs w:val="24"/>
              </w:rPr>
            </w:pPr>
          </w:p>
        </w:tc>
        <w:tc>
          <w:tcPr>
            <w:tcW w:w="1559" w:type="dxa"/>
          </w:tcPr>
          <w:p w14:paraId="66415068" w14:textId="77777777" w:rsidR="001A5AC8" w:rsidRPr="00BE6128" w:rsidRDefault="001A5AC8" w:rsidP="001A5AC8">
            <w:pPr>
              <w:pStyle w:val="TableParagraph"/>
              <w:spacing w:before="0"/>
              <w:ind w:left="8" w:right="3"/>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33.6±5.4</w:t>
            </w:r>
          </w:p>
        </w:tc>
        <w:tc>
          <w:tcPr>
            <w:tcW w:w="1701" w:type="dxa"/>
          </w:tcPr>
          <w:p w14:paraId="72B68AEC" w14:textId="77777777" w:rsidR="001A5AC8" w:rsidRPr="00BE6128" w:rsidRDefault="001A5AC8" w:rsidP="001A5AC8">
            <w:pPr>
              <w:pStyle w:val="TableParagraph"/>
              <w:spacing w:before="0"/>
              <w:ind w:left="8" w:right="4"/>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23.3±3.5</w:t>
            </w:r>
          </w:p>
        </w:tc>
        <w:tc>
          <w:tcPr>
            <w:tcW w:w="3402" w:type="dxa"/>
          </w:tcPr>
          <w:p w14:paraId="5FFC78E4" w14:textId="77777777" w:rsidR="001A5AC8" w:rsidRPr="00BE6128" w:rsidRDefault="001A5AC8" w:rsidP="001A5AC8">
            <w:pPr>
              <w:pStyle w:val="TableParagraph"/>
              <w:spacing w:before="0"/>
              <w:ind w:left="76"/>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FET:</w:t>
            </w:r>
            <w:r w:rsidRPr="00BE6128">
              <w:rPr>
                <w:rFonts w:ascii="Times New Roman" w:hAnsi="Times New Roman" w:cs="Times New Roman"/>
                <w:color w:val="231F20"/>
                <w:sz w:val="24"/>
                <w:szCs w:val="24"/>
              </w:rPr>
              <w:t xml:space="preserve"> </w:t>
            </w:r>
            <w:r w:rsidRPr="00BE6128">
              <w:rPr>
                <w:rFonts w:ascii="Times New Roman" w:hAnsi="Times New Roman" w:cs="Times New Roman"/>
                <w:color w:val="231F20"/>
                <w:spacing w:val="-4"/>
                <w:sz w:val="24"/>
                <w:szCs w:val="24"/>
              </w:rPr>
              <w:t>прием прогестерона</w:t>
            </w:r>
          </w:p>
        </w:tc>
        <w:tc>
          <w:tcPr>
            <w:tcW w:w="1559" w:type="dxa"/>
            <w:vMerge/>
          </w:tcPr>
          <w:p w14:paraId="73B6B817" w14:textId="77777777" w:rsidR="001A5AC8" w:rsidRPr="00BE6128" w:rsidRDefault="001A5AC8" w:rsidP="001A5AC8">
            <w:pPr>
              <w:jc w:val="center"/>
              <w:rPr>
                <w:rFonts w:ascii="Times New Roman" w:hAnsi="Times New Roman" w:cs="Times New Roman"/>
                <w:sz w:val="24"/>
                <w:szCs w:val="24"/>
              </w:rPr>
            </w:pPr>
          </w:p>
        </w:tc>
        <w:tc>
          <w:tcPr>
            <w:tcW w:w="1843" w:type="dxa"/>
          </w:tcPr>
          <w:p w14:paraId="43C12E76"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40.0%</w:t>
            </w:r>
          </w:p>
        </w:tc>
        <w:tc>
          <w:tcPr>
            <w:tcW w:w="2126" w:type="dxa"/>
          </w:tcPr>
          <w:p w14:paraId="6520321E"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31.0%</w:t>
            </w:r>
          </w:p>
        </w:tc>
      </w:tr>
      <w:tr w:rsidR="001A5AC8" w:rsidRPr="00BE6128" w14:paraId="5F5B2464" w14:textId="77777777" w:rsidTr="001A5AC8">
        <w:trPr>
          <w:trHeight w:val="502"/>
        </w:trPr>
        <w:tc>
          <w:tcPr>
            <w:tcW w:w="425" w:type="dxa"/>
            <w:vMerge w:val="restart"/>
          </w:tcPr>
          <w:p w14:paraId="7E46EC5A" w14:textId="77777777" w:rsidR="001A5AC8" w:rsidRPr="00BE6128" w:rsidRDefault="001A5AC8" w:rsidP="001A5AC8">
            <w:pPr>
              <w:pStyle w:val="TableParagraph"/>
              <w:spacing w:before="0"/>
              <w:ind w:left="7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14</w:t>
            </w:r>
          </w:p>
        </w:tc>
        <w:tc>
          <w:tcPr>
            <w:tcW w:w="1134" w:type="dxa"/>
            <w:vMerge w:val="restart"/>
          </w:tcPr>
          <w:p w14:paraId="01E63B13" w14:textId="7603E1DF" w:rsidR="001A5AC8" w:rsidRPr="00BE6128" w:rsidRDefault="001A5AC8" w:rsidP="001A5AC8">
            <w:pPr>
              <w:pStyle w:val="TableParagraph"/>
              <w:spacing w:before="0"/>
              <w:ind w:left="79"/>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Mao</w:t>
            </w:r>
            <w:r w:rsidRPr="00BE6128">
              <w:rPr>
                <w:rFonts w:ascii="Times New Roman" w:hAnsi="Times New Roman" w:cs="Times New Roman"/>
                <w:color w:val="231F20"/>
                <w:spacing w:val="-8"/>
                <w:sz w:val="24"/>
                <w:szCs w:val="24"/>
              </w:rPr>
              <w:t xml:space="preserve"> </w:t>
            </w:r>
            <w:r w:rsidRPr="00BE6128">
              <w:rPr>
                <w:rFonts w:ascii="Times New Roman" w:hAnsi="Times New Roman" w:cs="Times New Roman"/>
                <w:color w:val="231F20"/>
                <w:spacing w:val="-2"/>
                <w:sz w:val="24"/>
                <w:szCs w:val="24"/>
              </w:rPr>
              <w:t>et</w:t>
            </w:r>
            <w:r w:rsidRPr="00BE6128">
              <w:rPr>
                <w:rFonts w:ascii="Times New Roman" w:hAnsi="Times New Roman" w:cs="Times New Roman"/>
                <w:color w:val="231F20"/>
                <w:spacing w:val="-8"/>
                <w:sz w:val="24"/>
                <w:szCs w:val="24"/>
              </w:rPr>
              <w:t xml:space="preserve"> </w:t>
            </w:r>
            <w:r w:rsidRPr="00BE6128">
              <w:rPr>
                <w:rFonts w:ascii="Times New Roman" w:hAnsi="Times New Roman" w:cs="Times New Roman"/>
                <w:color w:val="231F20"/>
                <w:spacing w:val="-2"/>
                <w:sz w:val="24"/>
                <w:szCs w:val="24"/>
              </w:rPr>
              <w:t>al.,</w:t>
            </w:r>
            <w:r w:rsidRPr="00BE6128">
              <w:rPr>
                <w:rFonts w:ascii="Times New Roman" w:hAnsi="Times New Roman" w:cs="Times New Roman"/>
                <w:color w:val="231F20"/>
                <w:spacing w:val="-8"/>
                <w:sz w:val="24"/>
                <w:szCs w:val="24"/>
              </w:rPr>
              <w:t xml:space="preserve"> </w:t>
            </w:r>
            <w:r w:rsidRPr="00BE6128">
              <w:rPr>
                <w:rFonts w:ascii="Times New Roman" w:hAnsi="Times New Roman" w:cs="Times New Roman"/>
                <w:color w:val="231F20"/>
                <w:spacing w:val="-2"/>
                <w:sz w:val="24"/>
                <w:szCs w:val="24"/>
              </w:rPr>
              <w:fldChar w:fldCharType="begin" w:fldLock="1"/>
            </w:r>
            <w:r w:rsidR="008C6800">
              <w:rPr>
                <w:rFonts w:ascii="Times New Roman" w:hAnsi="Times New Roman" w:cs="Times New Roman"/>
                <w:color w:val="231F20"/>
                <w:spacing w:val="-2"/>
                <w:sz w:val="24"/>
                <w:szCs w:val="24"/>
              </w:rPr>
              <w:instrText>ADDIN CSL_CITATION {"citationItems":[{"id":"ITEM-1","itemData":{"ISSN":"0020-7292","author":[{"dropping-particle":"","family":"Mao","given":"Xiaoyan","non-dropping-particle":"","parse-names":false,"suffix":""},{"dropping-particle":"","family":"Zhang","given":"Jie","non-dropping-particle":"","parse-names":false,"suffix":""},{"dropping-particle":"","family":"Cai","given":"Renfei","non-dropping-particle":"","parse-names":false,"suffix":""},{"dropping-particle":"","family":"Tao","given":"Yu","non-dropping-particle":"","parse-names":false,"suffix":""},{"dropping-particle":"","family":"Gao","given":"Hongyuan","non-dropping-particle":"","parse-names":false,"suffix":""},{"dropping-particle":"","family":"Kuang","given":"Yanping","non-dropping-particle":"","parse-names":false,"suffix":""},{"dropping-particle":"","family":"Zhang","given":"Shaozhen","non-dropping-particle":"","parse-names":false,"suffix":""}],"container-title":"International Journal of Gynecology &amp; Obstetrics","id":"ITEM-1","issue":"2","issued":{"date-parts":[["2020"]]},"page":"194-199","publisher":"Wiley Online Library","title":"Therapeutic role of granulocyte macrophage colony‐stimulating factor (GM‐CSF) in patients with persistent thin endometrium: A prospective and randomized study","type":"article-journal","volume":"150"},"uris":["http://www.mendeley.com/documents/?uuid=f43847f8-8d2d-470f-8eb3-fe5ae5dd5cca"]}],"mendeley":{"formattedCitation":"[119]","plainTextFormattedCitation":"[119]","previouslyFormattedCitation":"(119)"},"properties":{"noteIndex":0},"schema":"https://github.com/citation-style-language/schema/raw/master/csl-citation.json"}</w:instrText>
            </w:r>
            <w:r w:rsidRPr="00BE6128">
              <w:rPr>
                <w:rFonts w:ascii="Times New Roman" w:hAnsi="Times New Roman" w:cs="Times New Roman"/>
                <w:color w:val="231F20"/>
                <w:spacing w:val="-2"/>
                <w:sz w:val="24"/>
                <w:szCs w:val="24"/>
              </w:rPr>
              <w:fldChar w:fldCharType="separate"/>
            </w:r>
            <w:r w:rsidR="008C6800" w:rsidRPr="008C6800">
              <w:rPr>
                <w:rFonts w:ascii="Times New Roman" w:hAnsi="Times New Roman" w:cs="Times New Roman"/>
                <w:noProof/>
                <w:color w:val="231F20"/>
                <w:spacing w:val="-2"/>
                <w:sz w:val="24"/>
                <w:szCs w:val="24"/>
              </w:rPr>
              <w:t>[119]</w:t>
            </w:r>
            <w:r w:rsidRPr="00BE6128">
              <w:rPr>
                <w:rFonts w:ascii="Times New Roman" w:hAnsi="Times New Roman" w:cs="Times New Roman"/>
                <w:color w:val="231F20"/>
                <w:spacing w:val="-2"/>
                <w:sz w:val="24"/>
                <w:szCs w:val="24"/>
              </w:rPr>
              <w:fldChar w:fldCharType="end"/>
            </w:r>
            <w:r w:rsidRPr="00BE6128">
              <w:rPr>
                <w:rFonts w:ascii="Times New Roman" w:hAnsi="Times New Roman" w:cs="Times New Roman"/>
                <w:color w:val="231F20"/>
                <w:spacing w:val="40"/>
                <w:sz w:val="24"/>
                <w:szCs w:val="24"/>
              </w:rPr>
              <w:t xml:space="preserve"> </w:t>
            </w:r>
            <w:r w:rsidRPr="00BE6128">
              <w:rPr>
                <w:rFonts w:ascii="Times New Roman" w:hAnsi="Times New Roman" w:cs="Times New Roman"/>
                <w:color w:val="231F20"/>
                <w:sz w:val="24"/>
                <w:szCs w:val="24"/>
              </w:rPr>
              <w:t>2020,</w:t>
            </w:r>
            <w:r w:rsidRPr="00BE6128">
              <w:rPr>
                <w:rFonts w:ascii="Times New Roman" w:hAnsi="Times New Roman" w:cs="Times New Roman"/>
                <w:color w:val="231F20"/>
                <w:spacing w:val="-5"/>
                <w:sz w:val="24"/>
                <w:szCs w:val="24"/>
              </w:rPr>
              <w:t xml:space="preserve"> </w:t>
            </w:r>
            <w:r w:rsidRPr="00BE6128">
              <w:rPr>
                <w:rFonts w:ascii="Times New Roman" w:hAnsi="Times New Roman" w:cs="Times New Roman"/>
                <w:color w:val="231F20"/>
                <w:sz w:val="24"/>
                <w:szCs w:val="24"/>
              </w:rPr>
              <w:t>China</w:t>
            </w:r>
          </w:p>
        </w:tc>
        <w:tc>
          <w:tcPr>
            <w:tcW w:w="709" w:type="dxa"/>
            <w:vMerge w:val="restart"/>
          </w:tcPr>
          <w:p w14:paraId="7874FD79" w14:textId="77777777" w:rsidR="001A5AC8" w:rsidRPr="00BE6128" w:rsidRDefault="001A5AC8" w:rsidP="001A5AC8">
            <w:pPr>
              <w:pStyle w:val="TableParagraph"/>
              <w:spacing w:before="0"/>
              <w:ind w:left="169"/>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302</w:t>
            </w:r>
          </w:p>
        </w:tc>
        <w:tc>
          <w:tcPr>
            <w:tcW w:w="1559" w:type="dxa"/>
          </w:tcPr>
          <w:p w14:paraId="3B2D064B" w14:textId="77777777" w:rsidR="001A5AC8" w:rsidRPr="00BE6128" w:rsidRDefault="001A5AC8" w:rsidP="001A5AC8">
            <w:pPr>
              <w:pStyle w:val="TableParagraph"/>
              <w:spacing w:before="0"/>
              <w:ind w:left="229"/>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37.8</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5.4</w:t>
            </w:r>
          </w:p>
        </w:tc>
        <w:tc>
          <w:tcPr>
            <w:tcW w:w="1701" w:type="dxa"/>
          </w:tcPr>
          <w:p w14:paraId="4957350D" w14:textId="77777777" w:rsidR="001A5AC8" w:rsidRPr="00BE6128" w:rsidRDefault="001A5AC8" w:rsidP="001A5AC8">
            <w:pPr>
              <w:pStyle w:val="TableParagraph"/>
              <w:spacing w:before="0"/>
              <w:ind w:left="8" w:right="4"/>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22.0±2.8</w:t>
            </w:r>
          </w:p>
        </w:tc>
        <w:tc>
          <w:tcPr>
            <w:tcW w:w="3402" w:type="dxa"/>
          </w:tcPr>
          <w:p w14:paraId="319B0A57" w14:textId="77777777" w:rsidR="001A5AC8" w:rsidRPr="00BE6128" w:rsidRDefault="001A5AC8" w:rsidP="001A5AC8">
            <w:pPr>
              <w:pStyle w:val="TableParagraph"/>
              <w:spacing w:before="0"/>
              <w:ind w:left="76" w:right="92"/>
              <w:jc w:val="center"/>
              <w:rPr>
                <w:rFonts w:ascii="Times New Roman" w:hAnsi="Times New Roman" w:cs="Times New Roman"/>
                <w:sz w:val="24"/>
                <w:szCs w:val="24"/>
                <w:lang w:val="ru-RU"/>
              </w:rPr>
            </w:pPr>
            <w:r w:rsidRPr="00BE6128">
              <w:rPr>
                <w:rFonts w:ascii="Times New Roman" w:hAnsi="Times New Roman" w:cs="Times New Roman"/>
                <w:color w:val="231F20"/>
                <w:sz w:val="24"/>
                <w:szCs w:val="24"/>
              </w:rPr>
              <w:t>FET</w:t>
            </w:r>
            <w:r w:rsidRPr="00BE6128">
              <w:rPr>
                <w:rFonts w:ascii="Times New Roman" w:hAnsi="Times New Roman" w:cs="Times New Roman"/>
                <w:color w:val="231F20"/>
                <w:sz w:val="24"/>
                <w:szCs w:val="24"/>
                <w:lang w:val="ru-RU"/>
              </w:rPr>
              <w:t>:</w:t>
            </w:r>
            <w:r w:rsidRPr="00BE6128">
              <w:rPr>
                <w:rFonts w:ascii="Times New Roman" w:hAnsi="Times New Roman" w:cs="Times New Roman"/>
                <w:color w:val="231F20"/>
                <w:spacing w:val="-4"/>
                <w:sz w:val="24"/>
                <w:szCs w:val="24"/>
                <w:lang w:val="ru-RU"/>
              </w:rPr>
              <w:t xml:space="preserve"> </w:t>
            </w:r>
            <w:r w:rsidRPr="00BE6128">
              <w:rPr>
                <w:rFonts w:ascii="Times New Roman" w:hAnsi="Times New Roman" w:cs="Times New Roman"/>
                <w:color w:val="231F20"/>
                <w:sz w:val="24"/>
                <w:szCs w:val="24"/>
              </w:rPr>
              <w:t>GM</w:t>
            </w:r>
            <w:r w:rsidRPr="00BE6128">
              <w:rPr>
                <w:rFonts w:ascii="Times New Roman" w:hAnsi="Times New Roman" w:cs="Times New Roman"/>
                <w:color w:val="231F20"/>
                <w:sz w:val="24"/>
                <w:szCs w:val="24"/>
                <w:lang w:val="ru-RU"/>
              </w:rPr>
              <w:t>-</w:t>
            </w:r>
            <w:r w:rsidRPr="00BE6128">
              <w:rPr>
                <w:rFonts w:ascii="Times New Roman" w:hAnsi="Times New Roman" w:cs="Times New Roman"/>
                <w:color w:val="231F20"/>
                <w:sz w:val="24"/>
                <w:szCs w:val="24"/>
              </w:rPr>
              <w:t>CSF</w:t>
            </w:r>
            <w:r w:rsidRPr="00BE6128">
              <w:rPr>
                <w:rFonts w:ascii="Times New Roman" w:hAnsi="Times New Roman" w:cs="Times New Roman"/>
                <w:color w:val="231F20"/>
                <w:sz w:val="24"/>
                <w:szCs w:val="24"/>
                <w:lang w:val="ru-RU"/>
              </w:rPr>
              <w:t xml:space="preserve"> группа:</w:t>
            </w:r>
            <w:r w:rsidRPr="00BE6128">
              <w:rPr>
                <w:rFonts w:ascii="Times New Roman" w:hAnsi="Times New Roman" w:cs="Times New Roman"/>
                <w:color w:val="231F20"/>
                <w:spacing w:val="-4"/>
                <w:sz w:val="24"/>
                <w:szCs w:val="24"/>
                <w:lang w:val="ru-RU"/>
              </w:rPr>
              <w:t xml:space="preserve"> </w:t>
            </w:r>
            <w:r w:rsidRPr="00BE6128">
              <w:rPr>
                <w:rFonts w:ascii="Times New Roman" w:hAnsi="Times New Roman" w:cs="Times New Roman"/>
                <w:color w:val="231F20"/>
                <w:sz w:val="24"/>
                <w:szCs w:val="24"/>
                <w:lang w:val="ru-RU"/>
              </w:rPr>
              <w:t>прием прогестерона</w:t>
            </w:r>
          </w:p>
        </w:tc>
        <w:tc>
          <w:tcPr>
            <w:tcW w:w="1559" w:type="dxa"/>
            <w:vMerge w:val="restart"/>
          </w:tcPr>
          <w:p w14:paraId="23E8848C" w14:textId="77777777" w:rsidR="001A5AC8" w:rsidRPr="00BE6128" w:rsidRDefault="001A5AC8" w:rsidP="001A5AC8">
            <w:pPr>
              <w:pStyle w:val="TableParagraph"/>
              <w:spacing w:before="0"/>
              <w:ind w:left="175"/>
              <w:jc w:val="center"/>
              <w:rPr>
                <w:rFonts w:ascii="Times New Roman" w:hAnsi="Times New Roman" w:cs="Times New Roman"/>
                <w:sz w:val="24"/>
                <w:szCs w:val="24"/>
              </w:rPr>
            </w:pPr>
            <w:r w:rsidRPr="00BE6128">
              <w:rPr>
                <w:rFonts w:ascii="Times New Roman" w:hAnsi="Times New Roman" w:cs="Times New Roman"/>
                <w:color w:val="231F20"/>
                <w:spacing w:val="-5"/>
                <w:sz w:val="24"/>
                <w:szCs w:val="24"/>
              </w:rPr>
              <w:t>&lt;7</w:t>
            </w:r>
          </w:p>
        </w:tc>
        <w:tc>
          <w:tcPr>
            <w:tcW w:w="1843" w:type="dxa"/>
          </w:tcPr>
          <w:p w14:paraId="2A31B9A4"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28.6%</w:t>
            </w:r>
          </w:p>
        </w:tc>
        <w:tc>
          <w:tcPr>
            <w:tcW w:w="2126" w:type="dxa"/>
          </w:tcPr>
          <w:p w14:paraId="50AB86B1"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19.5%</w:t>
            </w:r>
          </w:p>
        </w:tc>
      </w:tr>
      <w:tr w:rsidR="001A5AC8" w:rsidRPr="00BE6128" w14:paraId="5569752B" w14:textId="77777777" w:rsidTr="001A5AC8">
        <w:trPr>
          <w:trHeight w:val="502"/>
        </w:trPr>
        <w:tc>
          <w:tcPr>
            <w:tcW w:w="425" w:type="dxa"/>
            <w:vMerge/>
            <w:tcBorders>
              <w:bottom w:val="single" w:sz="4" w:space="0" w:color="auto"/>
            </w:tcBorders>
          </w:tcPr>
          <w:p w14:paraId="46900657" w14:textId="77777777" w:rsidR="001A5AC8" w:rsidRPr="00BE6128" w:rsidRDefault="001A5AC8" w:rsidP="001A5AC8">
            <w:pPr>
              <w:jc w:val="center"/>
              <w:rPr>
                <w:rFonts w:ascii="Times New Roman" w:hAnsi="Times New Roman" w:cs="Times New Roman"/>
                <w:sz w:val="24"/>
                <w:szCs w:val="24"/>
              </w:rPr>
            </w:pPr>
          </w:p>
        </w:tc>
        <w:tc>
          <w:tcPr>
            <w:tcW w:w="1134" w:type="dxa"/>
            <w:vMerge/>
            <w:tcBorders>
              <w:bottom w:val="single" w:sz="4" w:space="0" w:color="auto"/>
            </w:tcBorders>
          </w:tcPr>
          <w:p w14:paraId="1E5014AB" w14:textId="77777777" w:rsidR="001A5AC8" w:rsidRPr="00BE6128" w:rsidRDefault="001A5AC8" w:rsidP="001A5AC8">
            <w:pPr>
              <w:jc w:val="center"/>
              <w:rPr>
                <w:rFonts w:ascii="Times New Roman" w:hAnsi="Times New Roman" w:cs="Times New Roman"/>
                <w:sz w:val="24"/>
                <w:szCs w:val="24"/>
              </w:rPr>
            </w:pPr>
          </w:p>
        </w:tc>
        <w:tc>
          <w:tcPr>
            <w:tcW w:w="709" w:type="dxa"/>
            <w:vMerge/>
            <w:tcBorders>
              <w:bottom w:val="single" w:sz="4" w:space="0" w:color="auto"/>
            </w:tcBorders>
          </w:tcPr>
          <w:p w14:paraId="0135AE87" w14:textId="77777777" w:rsidR="001A5AC8" w:rsidRPr="00BE6128" w:rsidRDefault="001A5AC8" w:rsidP="001A5AC8">
            <w:pPr>
              <w:jc w:val="center"/>
              <w:rPr>
                <w:rFonts w:ascii="Times New Roman" w:hAnsi="Times New Roman" w:cs="Times New Roman"/>
                <w:sz w:val="24"/>
                <w:szCs w:val="24"/>
              </w:rPr>
            </w:pPr>
          </w:p>
        </w:tc>
        <w:tc>
          <w:tcPr>
            <w:tcW w:w="1559" w:type="dxa"/>
            <w:tcBorders>
              <w:bottom w:val="single" w:sz="4" w:space="0" w:color="auto"/>
            </w:tcBorders>
          </w:tcPr>
          <w:p w14:paraId="037532AF" w14:textId="77777777" w:rsidR="001A5AC8" w:rsidRPr="00BE6128" w:rsidRDefault="001A5AC8" w:rsidP="001A5AC8">
            <w:pPr>
              <w:pStyle w:val="TableParagraph"/>
              <w:spacing w:before="0"/>
              <w:ind w:left="229"/>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37.0</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4.9</w:t>
            </w:r>
          </w:p>
        </w:tc>
        <w:tc>
          <w:tcPr>
            <w:tcW w:w="1701" w:type="dxa"/>
            <w:tcBorders>
              <w:bottom w:val="single" w:sz="4" w:space="0" w:color="auto"/>
            </w:tcBorders>
          </w:tcPr>
          <w:p w14:paraId="42261B8C" w14:textId="77777777" w:rsidR="001A5AC8" w:rsidRPr="00BE6128" w:rsidRDefault="001A5AC8" w:rsidP="001A5AC8">
            <w:pPr>
              <w:pStyle w:val="TableParagraph"/>
              <w:spacing w:before="0"/>
              <w:ind w:left="228"/>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21.7</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2"/>
                <w:sz w:val="24"/>
                <w:szCs w:val="24"/>
              </w:rPr>
              <w:t>±</w:t>
            </w:r>
            <w:r w:rsidRPr="00BE6128">
              <w:rPr>
                <w:rFonts w:ascii="Times New Roman" w:hAnsi="Times New Roman" w:cs="Times New Roman"/>
                <w:color w:val="231F20"/>
                <w:spacing w:val="-6"/>
                <w:sz w:val="24"/>
                <w:szCs w:val="24"/>
              </w:rPr>
              <w:t xml:space="preserve"> </w:t>
            </w:r>
            <w:r w:rsidRPr="00BE6128">
              <w:rPr>
                <w:rFonts w:ascii="Times New Roman" w:hAnsi="Times New Roman" w:cs="Times New Roman"/>
                <w:color w:val="231F20"/>
                <w:spacing w:val="-5"/>
                <w:sz w:val="24"/>
                <w:szCs w:val="24"/>
              </w:rPr>
              <w:t>2.8</w:t>
            </w:r>
          </w:p>
        </w:tc>
        <w:tc>
          <w:tcPr>
            <w:tcW w:w="3402" w:type="dxa"/>
            <w:tcBorders>
              <w:bottom w:val="single" w:sz="4" w:space="0" w:color="auto"/>
            </w:tcBorders>
          </w:tcPr>
          <w:p w14:paraId="4AFBA322" w14:textId="77777777" w:rsidR="001A5AC8" w:rsidRPr="00BE6128" w:rsidRDefault="001A5AC8" w:rsidP="001A5AC8">
            <w:pPr>
              <w:pStyle w:val="TableParagraph"/>
              <w:spacing w:before="0"/>
              <w:ind w:left="76"/>
              <w:jc w:val="center"/>
              <w:rPr>
                <w:rFonts w:ascii="Times New Roman" w:hAnsi="Times New Roman" w:cs="Times New Roman"/>
                <w:sz w:val="24"/>
                <w:szCs w:val="24"/>
                <w:lang w:val="ru-RU"/>
              </w:rPr>
            </w:pPr>
            <w:r w:rsidRPr="00BE6128">
              <w:rPr>
                <w:rFonts w:ascii="Times New Roman" w:hAnsi="Times New Roman" w:cs="Times New Roman"/>
                <w:color w:val="231F20"/>
                <w:sz w:val="24"/>
                <w:szCs w:val="24"/>
              </w:rPr>
              <w:t>FET</w:t>
            </w:r>
            <w:r w:rsidRPr="00BE6128">
              <w:rPr>
                <w:rFonts w:ascii="Times New Roman" w:hAnsi="Times New Roman" w:cs="Times New Roman"/>
                <w:color w:val="231F20"/>
                <w:sz w:val="24"/>
                <w:szCs w:val="24"/>
                <w:lang w:val="ru-RU"/>
              </w:rPr>
              <w:t>: Группа без лечения: прием прогестерона</w:t>
            </w:r>
          </w:p>
        </w:tc>
        <w:tc>
          <w:tcPr>
            <w:tcW w:w="1559" w:type="dxa"/>
            <w:vMerge/>
            <w:tcBorders>
              <w:bottom w:val="single" w:sz="4" w:space="0" w:color="auto"/>
            </w:tcBorders>
          </w:tcPr>
          <w:p w14:paraId="32AE1EB4" w14:textId="77777777" w:rsidR="001A5AC8" w:rsidRPr="00BE6128" w:rsidRDefault="001A5AC8" w:rsidP="001A5AC8">
            <w:pPr>
              <w:jc w:val="center"/>
              <w:rPr>
                <w:rFonts w:ascii="Times New Roman" w:hAnsi="Times New Roman" w:cs="Times New Roman"/>
                <w:sz w:val="24"/>
                <w:szCs w:val="24"/>
                <w:lang w:val="ru-RU"/>
              </w:rPr>
            </w:pPr>
          </w:p>
        </w:tc>
        <w:tc>
          <w:tcPr>
            <w:tcW w:w="1843" w:type="dxa"/>
            <w:tcBorders>
              <w:bottom w:val="single" w:sz="4" w:space="0" w:color="auto"/>
            </w:tcBorders>
          </w:tcPr>
          <w:p w14:paraId="5CDCA094"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2"/>
                <w:sz w:val="24"/>
                <w:szCs w:val="24"/>
              </w:rPr>
              <w:t>13.3%</w:t>
            </w:r>
          </w:p>
        </w:tc>
        <w:tc>
          <w:tcPr>
            <w:tcW w:w="2126" w:type="dxa"/>
            <w:tcBorders>
              <w:bottom w:val="single" w:sz="4" w:space="0" w:color="auto"/>
            </w:tcBorders>
          </w:tcPr>
          <w:p w14:paraId="170928A8" w14:textId="77777777" w:rsidR="001A5AC8" w:rsidRPr="00BE6128" w:rsidRDefault="001A5AC8" w:rsidP="001A5AC8">
            <w:pPr>
              <w:pStyle w:val="TableParagraph"/>
              <w:spacing w:before="0"/>
              <w:jc w:val="center"/>
              <w:rPr>
                <w:rFonts w:ascii="Times New Roman" w:hAnsi="Times New Roman" w:cs="Times New Roman"/>
                <w:sz w:val="24"/>
                <w:szCs w:val="24"/>
              </w:rPr>
            </w:pPr>
            <w:r w:rsidRPr="00BE6128">
              <w:rPr>
                <w:rFonts w:ascii="Times New Roman" w:hAnsi="Times New Roman" w:cs="Times New Roman"/>
                <w:color w:val="231F20"/>
                <w:spacing w:val="-4"/>
                <w:sz w:val="24"/>
                <w:szCs w:val="24"/>
              </w:rPr>
              <w:t>9.5%</w:t>
            </w:r>
          </w:p>
        </w:tc>
      </w:tr>
      <w:tr w:rsidR="001A5AC8" w:rsidRPr="00916B3A" w14:paraId="24C0614B" w14:textId="77777777" w:rsidTr="001A5AC8">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724"/>
        </w:trPr>
        <w:tc>
          <w:tcPr>
            <w:tcW w:w="425" w:type="dxa"/>
            <w:tcBorders>
              <w:top w:val="single" w:sz="4" w:space="0" w:color="auto"/>
              <w:bottom w:val="nil"/>
            </w:tcBorders>
          </w:tcPr>
          <w:p w14:paraId="4368C868" w14:textId="3B6E6496" w:rsidR="001A5AC8" w:rsidRPr="00916B3A" w:rsidRDefault="001A5AC8" w:rsidP="001A5AC8">
            <w:pPr>
              <w:pStyle w:val="TableParagraph"/>
              <w:spacing w:before="0"/>
              <w:ind w:right="106"/>
              <w:jc w:val="center"/>
              <w:rPr>
                <w:rFonts w:ascii="Times New Roman" w:hAnsi="Times New Roman" w:cs="Times New Roman"/>
                <w:bCs/>
                <w:i/>
                <w:iCs/>
                <w:sz w:val="24"/>
                <w:szCs w:val="24"/>
              </w:rPr>
            </w:pPr>
            <w:r w:rsidRPr="00916B3A">
              <w:rPr>
                <w:rFonts w:ascii="Times New Roman" w:hAnsi="Times New Roman" w:cs="Times New Roman"/>
                <w:color w:val="231F20"/>
                <w:spacing w:val="-5"/>
                <w:sz w:val="24"/>
                <w:szCs w:val="24"/>
              </w:rPr>
              <w:t>15</w:t>
            </w:r>
          </w:p>
        </w:tc>
        <w:tc>
          <w:tcPr>
            <w:tcW w:w="1134" w:type="dxa"/>
            <w:tcBorders>
              <w:top w:val="single" w:sz="4" w:space="0" w:color="auto"/>
              <w:bottom w:val="nil"/>
            </w:tcBorders>
          </w:tcPr>
          <w:p w14:paraId="15158F3C" w14:textId="77777777" w:rsidR="001A5AC8" w:rsidRPr="00916B3A" w:rsidRDefault="001A5AC8" w:rsidP="001A5AC8">
            <w:pPr>
              <w:pStyle w:val="TableParagraph"/>
              <w:spacing w:before="0"/>
              <w:ind w:left="79"/>
              <w:rPr>
                <w:rFonts w:ascii="Times New Roman" w:hAnsi="Times New Roman" w:cs="Times New Roman"/>
                <w:sz w:val="24"/>
                <w:szCs w:val="24"/>
              </w:rPr>
            </w:pPr>
            <w:r w:rsidRPr="00916B3A">
              <w:rPr>
                <w:rFonts w:ascii="Times New Roman" w:hAnsi="Times New Roman" w:cs="Times New Roman"/>
                <w:color w:val="231F20"/>
                <w:spacing w:val="-4"/>
                <w:sz w:val="24"/>
                <w:szCs w:val="24"/>
              </w:rPr>
              <w:t>Simeonov et al.,</w:t>
            </w:r>
          </w:p>
          <w:p w14:paraId="25DD1C31" w14:textId="600184CF" w:rsidR="001A5AC8" w:rsidRPr="00916B3A" w:rsidRDefault="001A5AC8" w:rsidP="001A5AC8">
            <w:pPr>
              <w:pStyle w:val="TableParagraph"/>
              <w:spacing w:before="0"/>
              <w:ind w:left="79" w:right="362"/>
              <w:rPr>
                <w:rFonts w:ascii="Times New Roman" w:hAnsi="Times New Roman" w:cs="Times New Roman"/>
                <w:bCs/>
                <w:i/>
                <w:iCs/>
                <w:sz w:val="24"/>
                <w:szCs w:val="24"/>
              </w:rPr>
            </w:pPr>
            <w:r w:rsidRPr="00916B3A">
              <w:rPr>
                <w:rFonts w:ascii="Times New Roman" w:hAnsi="Times New Roman" w:cs="Times New Roman"/>
                <w:color w:val="231F20"/>
                <w:w w:val="90"/>
                <w:sz w:val="24"/>
                <w:szCs w:val="24"/>
              </w:rPr>
              <w:fldChar w:fldCharType="begin" w:fldLock="1"/>
            </w:r>
            <w:r w:rsidR="008C6800">
              <w:rPr>
                <w:rFonts w:ascii="Times New Roman" w:hAnsi="Times New Roman" w:cs="Times New Roman"/>
                <w:color w:val="231F20"/>
                <w:w w:val="90"/>
                <w:sz w:val="24"/>
                <w:szCs w:val="24"/>
              </w:rPr>
              <w:instrText>ADDIN CSL_CITATION {"citationItems":[{"id":"ITEM-1","itemData":{"DOI":"10.1016/j.rbmo.2020.04.008","ISSN":"14726491","PMID":"32532669","abstract":"Research question: What is the association of the entire range of trigger-day endometrial thickness (EMT) with live birth rate (LBR) after IVF and fresh embryo transfer? Although EMT is amenable to convenient non-invasive routine measurement, studies of the association between pre-trigger EMT and assisted reproductive technology outcome have yielded equivocal results. Design: A cohort of IVF fresh day-3 embryo transfers in patients aged 42 years and younger in a single centre between 2009 and 2017. The LBR was calculated for all trigger-day EMT values, stratified into five groups overall and within subgroups of patient age and ovarian response. Univariate analysis and multivariate logistic regression models were used to compare the LBRs at different EMT measurements adjusting for various independent variables. Results: A total of 5133 cycles were included. The LBRs were as follows: 11.22% (35/312) in cycles with EMT 6 mm or less, 17.98% (380/2114) in cycles with EMT 7–9 mm, 23.44% (476/2031) in cycles with EMT 10–12 mm, 25.62% (144/562) in cycles with EMT 13–15 mm and 34.21% (39/114) in cycles with EMT 16 mm or more (P &lt; 0.001). Similar findings were observed by patient age and ovarian response. The observation was confirmed by multivariate logistic regression analysis in which the EMT was found to be a significant independent predictor of LBR even after controlling for various confounders (OR 0.935, 95% CI 0.908 to 0.962; P &lt; 0.001). Conclusions: Pre-trigger EMT is in significant independent correlation with LBR, even after adjusting for age and ovarian response. Maximal endometrial proliferation is beneficial, and fresh embryo transfer can be carried out at high EMT values without endangering the outcome of the cycle.","author":[{"dropping-particle":"","family":"Simeonov","given":"Monica","non-dropping-particle":"","parse-names":false,"suffix":""},{"dropping-particle":"","family":"Sapir","given":"Onit","non-dropping-particle":"","parse-names":false,"suffix":""},{"dropping-particle":"","family":"Lande","given":"Yechezkel","non-dropping-particle":"","parse-names":false,"suffix":""},{"dropping-particle":"","family":"Ben-Haroush","given":"Avi","non-dropping-particle":"","parse-names":false,"suffix":""},{"dropping-particle":"","family":"Oron","given":"Galia","non-dropping-particle":"","parse-names":false,"suffix":""},{"dropping-particle":"","family":"Shlush","given":"Ekaterina","non-dropping-particle":"","parse-names":false,"suffix":""},{"dropping-particle":"","family":"Altman","given":"Eran","non-dropping-particle":"","parse-names":false,"suffix":""},{"dropping-particle":"","family":"Wertheimer","given":"Avital","non-dropping-particle":"","parse-names":false,"suffix":""},{"dropping-particle":"","family":"Shochat","given":"Tzippy","non-dropping-particle":"","parse-names":false,"suffix":""},{"dropping-particle":"","family":"Shufaro","given":"Yoel","non-dropping-particle":"","parse-names":false,"suffix":""}],"container-title":"Reproductive BioMedicine Online","id":"ITEM-1","issue":"2","issued":{"date-parts":[["2020"]]},"page":"239-247","publisher":"Elsevier Ltd","title":"The entire range of trigger-day endometrial thickness in fresh IVF cycles is independently correlated with live birth rate","type":"article-journal","volume":"41"},"uris":["http://www.mendeley.com/documents/?uuid=45429d82-84cf-4fd2-81ff-b50e944df656"]}],"mendeley":{"formattedCitation":"[120]","plainTextFormattedCitation":"[120]","previouslyFormattedCitation":"(120)"},"properties":{"noteIndex":0},"schema":"https://github.com/citation-style-language/schema/raw/master/csl-citation.json"}</w:instrText>
            </w:r>
            <w:r w:rsidRPr="00916B3A">
              <w:rPr>
                <w:rFonts w:ascii="Times New Roman" w:hAnsi="Times New Roman" w:cs="Times New Roman"/>
                <w:color w:val="231F20"/>
                <w:w w:val="90"/>
                <w:sz w:val="24"/>
                <w:szCs w:val="24"/>
              </w:rPr>
              <w:fldChar w:fldCharType="separate"/>
            </w:r>
            <w:r w:rsidR="008C6800" w:rsidRPr="008C6800">
              <w:rPr>
                <w:rFonts w:ascii="Times New Roman" w:hAnsi="Times New Roman" w:cs="Times New Roman"/>
                <w:noProof/>
                <w:color w:val="231F20"/>
                <w:w w:val="90"/>
                <w:sz w:val="24"/>
                <w:szCs w:val="24"/>
              </w:rPr>
              <w:t>[120]</w:t>
            </w:r>
            <w:r w:rsidRPr="00916B3A">
              <w:rPr>
                <w:rFonts w:ascii="Times New Roman" w:hAnsi="Times New Roman" w:cs="Times New Roman"/>
                <w:color w:val="231F20"/>
                <w:w w:val="90"/>
                <w:sz w:val="24"/>
                <w:szCs w:val="24"/>
              </w:rPr>
              <w:fldChar w:fldCharType="end"/>
            </w:r>
          </w:p>
        </w:tc>
        <w:tc>
          <w:tcPr>
            <w:tcW w:w="709" w:type="dxa"/>
            <w:tcBorders>
              <w:top w:val="single" w:sz="4" w:space="0" w:color="auto"/>
              <w:bottom w:val="nil"/>
            </w:tcBorders>
          </w:tcPr>
          <w:p w14:paraId="4C44B70B" w14:textId="5362E73D" w:rsidR="001A5AC8" w:rsidRPr="00916B3A" w:rsidRDefault="001A5AC8" w:rsidP="001A5AC8">
            <w:pPr>
              <w:pStyle w:val="TableParagraph"/>
              <w:spacing w:before="0"/>
              <w:ind w:left="7"/>
              <w:jc w:val="center"/>
              <w:rPr>
                <w:rFonts w:ascii="Times New Roman" w:hAnsi="Times New Roman" w:cs="Times New Roman"/>
                <w:bCs/>
                <w:i/>
                <w:iCs/>
                <w:sz w:val="24"/>
                <w:szCs w:val="24"/>
              </w:rPr>
            </w:pPr>
            <w:r w:rsidRPr="00916B3A">
              <w:rPr>
                <w:rFonts w:ascii="Times New Roman" w:hAnsi="Times New Roman" w:cs="Times New Roman"/>
                <w:color w:val="231F20"/>
                <w:spacing w:val="-4"/>
                <w:sz w:val="24"/>
                <w:szCs w:val="24"/>
              </w:rPr>
              <w:t>2114</w:t>
            </w:r>
          </w:p>
        </w:tc>
        <w:tc>
          <w:tcPr>
            <w:tcW w:w="1559" w:type="dxa"/>
            <w:tcBorders>
              <w:top w:val="single" w:sz="4" w:space="0" w:color="auto"/>
              <w:bottom w:val="nil"/>
            </w:tcBorders>
          </w:tcPr>
          <w:p w14:paraId="032F0614" w14:textId="144DF97D" w:rsidR="001A5AC8" w:rsidRPr="00916B3A" w:rsidRDefault="001A5AC8" w:rsidP="001A5AC8">
            <w:pPr>
              <w:pStyle w:val="TableParagraph"/>
              <w:spacing w:before="0"/>
              <w:ind w:left="8"/>
              <w:jc w:val="center"/>
              <w:rPr>
                <w:rFonts w:ascii="Times New Roman" w:hAnsi="Times New Roman" w:cs="Times New Roman"/>
                <w:bCs/>
                <w:i/>
                <w:iCs/>
                <w:sz w:val="24"/>
                <w:szCs w:val="24"/>
                <w:lang w:val="ru-RU"/>
              </w:rPr>
            </w:pPr>
            <w:r w:rsidRPr="00916B3A">
              <w:rPr>
                <w:rFonts w:ascii="Times New Roman" w:hAnsi="Times New Roman" w:cs="Times New Roman"/>
                <w:color w:val="231F20"/>
                <w:spacing w:val="-2"/>
                <w:sz w:val="24"/>
                <w:szCs w:val="24"/>
              </w:rPr>
              <w:t>37.1</w:t>
            </w:r>
            <w:r w:rsidRPr="00916B3A">
              <w:rPr>
                <w:rFonts w:ascii="Times New Roman" w:hAnsi="Times New Roman" w:cs="Times New Roman"/>
                <w:color w:val="231F20"/>
                <w:spacing w:val="-6"/>
                <w:sz w:val="24"/>
                <w:szCs w:val="24"/>
              </w:rPr>
              <w:t xml:space="preserve"> </w:t>
            </w:r>
            <w:r w:rsidRPr="00916B3A">
              <w:rPr>
                <w:rFonts w:ascii="Times New Roman" w:hAnsi="Times New Roman" w:cs="Times New Roman"/>
                <w:color w:val="231F20"/>
                <w:spacing w:val="-2"/>
                <w:sz w:val="24"/>
                <w:szCs w:val="24"/>
              </w:rPr>
              <w:t>±</w:t>
            </w:r>
            <w:r w:rsidRPr="00916B3A">
              <w:rPr>
                <w:rFonts w:ascii="Times New Roman" w:hAnsi="Times New Roman" w:cs="Times New Roman"/>
                <w:color w:val="231F20"/>
                <w:spacing w:val="-6"/>
                <w:sz w:val="24"/>
                <w:szCs w:val="24"/>
              </w:rPr>
              <w:t xml:space="preserve"> </w:t>
            </w:r>
            <w:r w:rsidRPr="00916B3A">
              <w:rPr>
                <w:rFonts w:ascii="Times New Roman" w:hAnsi="Times New Roman" w:cs="Times New Roman"/>
                <w:color w:val="231F20"/>
                <w:spacing w:val="-5"/>
                <w:sz w:val="24"/>
                <w:szCs w:val="24"/>
              </w:rPr>
              <w:t>4.5</w:t>
            </w:r>
          </w:p>
        </w:tc>
        <w:tc>
          <w:tcPr>
            <w:tcW w:w="1701" w:type="dxa"/>
            <w:tcBorders>
              <w:top w:val="single" w:sz="4" w:space="0" w:color="auto"/>
              <w:bottom w:val="nil"/>
            </w:tcBorders>
          </w:tcPr>
          <w:p w14:paraId="3E08E204" w14:textId="5E91DE6B" w:rsidR="001A5AC8" w:rsidRPr="00916B3A" w:rsidRDefault="001A5AC8" w:rsidP="001A5AC8">
            <w:pPr>
              <w:pStyle w:val="TableParagraph"/>
              <w:spacing w:before="0"/>
              <w:ind w:left="8" w:right="2"/>
              <w:jc w:val="center"/>
              <w:rPr>
                <w:rFonts w:ascii="Times New Roman" w:hAnsi="Times New Roman" w:cs="Times New Roman"/>
                <w:bCs/>
                <w:i/>
                <w:iCs/>
                <w:sz w:val="24"/>
                <w:szCs w:val="24"/>
              </w:rPr>
            </w:pPr>
          </w:p>
        </w:tc>
        <w:tc>
          <w:tcPr>
            <w:tcW w:w="3402" w:type="dxa"/>
            <w:tcBorders>
              <w:top w:val="single" w:sz="4" w:space="0" w:color="auto"/>
              <w:bottom w:val="nil"/>
            </w:tcBorders>
          </w:tcPr>
          <w:p w14:paraId="4F286732" w14:textId="0E68DA39" w:rsidR="001A5AC8" w:rsidRPr="00916B3A" w:rsidRDefault="001A5AC8" w:rsidP="001A5AC8">
            <w:pPr>
              <w:pStyle w:val="TableParagraph"/>
              <w:spacing w:before="0"/>
              <w:ind w:left="76"/>
              <w:jc w:val="center"/>
              <w:rPr>
                <w:rFonts w:ascii="Times New Roman" w:hAnsi="Times New Roman" w:cs="Times New Roman"/>
                <w:bCs/>
                <w:i/>
                <w:iCs/>
                <w:sz w:val="24"/>
                <w:szCs w:val="24"/>
                <w:lang w:val="ru-RU"/>
              </w:rPr>
            </w:pPr>
            <w:r w:rsidRPr="00916B3A">
              <w:rPr>
                <w:rFonts w:ascii="Times New Roman" w:hAnsi="Times New Roman" w:cs="Times New Roman"/>
                <w:color w:val="231F20"/>
                <w:sz w:val="24"/>
                <w:szCs w:val="24"/>
              </w:rPr>
              <w:t>Fresh:</w:t>
            </w:r>
            <w:r w:rsidRPr="00916B3A">
              <w:rPr>
                <w:rFonts w:ascii="Times New Roman" w:hAnsi="Times New Roman" w:cs="Times New Roman"/>
                <w:color w:val="231F20"/>
                <w:spacing w:val="6"/>
                <w:sz w:val="24"/>
                <w:szCs w:val="24"/>
              </w:rPr>
              <w:t xml:space="preserve"> </w:t>
            </w:r>
            <w:r w:rsidRPr="00916B3A">
              <w:rPr>
                <w:rFonts w:ascii="Times New Roman" w:hAnsi="Times New Roman" w:cs="Times New Roman"/>
                <w:color w:val="231F20"/>
                <w:sz w:val="24"/>
                <w:szCs w:val="24"/>
              </w:rPr>
              <w:t>введение ХГЧ</w:t>
            </w:r>
          </w:p>
        </w:tc>
        <w:tc>
          <w:tcPr>
            <w:tcW w:w="1559" w:type="dxa"/>
            <w:tcBorders>
              <w:top w:val="single" w:sz="4" w:space="0" w:color="auto"/>
              <w:bottom w:val="nil"/>
            </w:tcBorders>
          </w:tcPr>
          <w:p w14:paraId="4DE26564" w14:textId="67887DD1" w:rsidR="001A5AC8" w:rsidRPr="00916B3A" w:rsidRDefault="001A5AC8" w:rsidP="001A5AC8">
            <w:pPr>
              <w:pStyle w:val="TableParagraph"/>
              <w:spacing w:before="0"/>
              <w:ind w:right="89"/>
              <w:jc w:val="center"/>
              <w:rPr>
                <w:rFonts w:ascii="Times New Roman" w:hAnsi="Times New Roman" w:cs="Times New Roman"/>
                <w:bCs/>
                <w:i/>
                <w:iCs/>
                <w:sz w:val="24"/>
                <w:szCs w:val="24"/>
              </w:rPr>
            </w:pPr>
            <w:r w:rsidRPr="00916B3A">
              <w:rPr>
                <w:rFonts w:ascii="Times New Roman" w:hAnsi="Times New Roman" w:cs="Times New Roman"/>
                <w:color w:val="231F20"/>
                <w:spacing w:val="-5"/>
                <w:sz w:val="24"/>
                <w:szCs w:val="24"/>
              </w:rPr>
              <w:t>&lt;6</w:t>
            </w:r>
          </w:p>
        </w:tc>
        <w:tc>
          <w:tcPr>
            <w:tcW w:w="1843" w:type="dxa"/>
            <w:tcBorders>
              <w:top w:val="single" w:sz="4" w:space="0" w:color="auto"/>
              <w:bottom w:val="nil"/>
            </w:tcBorders>
          </w:tcPr>
          <w:p w14:paraId="3E90B3E9" w14:textId="7A4FB535" w:rsidR="001A5AC8" w:rsidRPr="00916B3A" w:rsidRDefault="001A5AC8" w:rsidP="001A5AC8">
            <w:pPr>
              <w:pStyle w:val="TableParagraph"/>
              <w:spacing w:before="0"/>
              <w:jc w:val="center"/>
              <w:rPr>
                <w:rFonts w:ascii="Times New Roman" w:hAnsi="Times New Roman" w:cs="Times New Roman"/>
                <w:bCs/>
                <w:i/>
                <w:iCs/>
                <w:sz w:val="24"/>
                <w:szCs w:val="24"/>
              </w:rPr>
            </w:pPr>
            <w:r w:rsidRPr="00916B3A">
              <w:rPr>
                <w:rFonts w:ascii="Times New Roman" w:hAnsi="Times New Roman" w:cs="Times New Roman"/>
                <w:color w:val="231F20"/>
                <w:spacing w:val="-2"/>
                <w:sz w:val="24"/>
                <w:szCs w:val="24"/>
              </w:rPr>
              <w:t>19.9%</w:t>
            </w:r>
          </w:p>
        </w:tc>
        <w:tc>
          <w:tcPr>
            <w:tcW w:w="2126" w:type="dxa"/>
            <w:tcBorders>
              <w:top w:val="single" w:sz="4" w:space="0" w:color="auto"/>
              <w:bottom w:val="nil"/>
            </w:tcBorders>
          </w:tcPr>
          <w:p w14:paraId="13C26C45" w14:textId="5EE79CE0" w:rsidR="001A5AC8" w:rsidRPr="00916B3A" w:rsidRDefault="001A5AC8" w:rsidP="001A5AC8">
            <w:pPr>
              <w:pStyle w:val="TableParagraph"/>
              <w:spacing w:before="0"/>
              <w:jc w:val="center"/>
              <w:rPr>
                <w:rFonts w:ascii="Times New Roman" w:hAnsi="Times New Roman" w:cs="Times New Roman"/>
                <w:bCs/>
                <w:i/>
                <w:iCs/>
                <w:sz w:val="24"/>
                <w:szCs w:val="24"/>
              </w:rPr>
            </w:pPr>
            <w:r w:rsidRPr="00916B3A">
              <w:rPr>
                <w:rFonts w:ascii="Times New Roman" w:hAnsi="Times New Roman" w:cs="Times New Roman"/>
                <w:color w:val="231F20"/>
                <w:spacing w:val="-2"/>
                <w:sz w:val="24"/>
                <w:szCs w:val="24"/>
              </w:rPr>
              <w:t>11.2%</w:t>
            </w:r>
          </w:p>
        </w:tc>
      </w:tr>
    </w:tbl>
    <w:p w14:paraId="16676B7A" w14:textId="1892E1C5" w:rsidR="001A5AC8" w:rsidRDefault="001A5AC8"/>
    <w:p w14:paraId="55EC00C2" w14:textId="6D8BD532" w:rsidR="001A5AC8" w:rsidRDefault="001A5AC8" w:rsidP="002635D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A5AC8">
        <w:rPr>
          <w:rFonts w:ascii="Times New Roman" w:hAnsi="Times New Roman" w:cs="Times New Roman"/>
          <w:sz w:val="28"/>
          <w:szCs w:val="28"/>
        </w:rPr>
        <w:t>Продолжение таблицы 4</w:t>
      </w:r>
    </w:p>
    <w:p w14:paraId="287ECB4A" w14:textId="77777777" w:rsidR="002635DA" w:rsidRDefault="002635DA" w:rsidP="002635DA">
      <w:pPr>
        <w:spacing w:after="0"/>
        <w:rPr>
          <w:rFonts w:ascii="Times New Roman" w:hAnsi="Times New Roman" w:cs="Times New Roman"/>
          <w:sz w:val="28"/>
          <w:szCs w:val="28"/>
        </w:rPr>
      </w:pPr>
    </w:p>
    <w:p w14:paraId="5D420D5E" w14:textId="77777777" w:rsidR="001A5AC8" w:rsidRPr="001A5AC8" w:rsidRDefault="001A5AC8" w:rsidP="002635DA">
      <w:pPr>
        <w:spacing w:after="0"/>
        <w:rPr>
          <w:sz w:val="2"/>
          <w:szCs w:val="2"/>
        </w:rPr>
      </w:pPr>
    </w:p>
    <w:tbl>
      <w:tblPr>
        <w:tblStyle w:val="TableNormal"/>
        <w:tblW w:w="14458" w:type="dxa"/>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5"/>
        <w:gridCol w:w="1276"/>
        <w:gridCol w:w="567"/>
        <w:gridCol w:w="1559"/>
        <w:gridCol w:w="1701"/>
        <w:gridCol w:w="3402"/>
        <w:gridCol w:w="1559"/>
        <w:gridCol w:w="1843"/>
        <w:gridCol w:w="2126"/>
      </w:tblGrid>
      <w:tr w:rsidR="001A5AC8" w:rsidRPr="00916B3A" w14:paraId="7FBA4CB4" w14:textId="77777777" w:rsidTr="00F26644">
        <w:trPr>
          <w:trHeight w:val="280"/>
        </w:trPr>
        <w:tc>
          <w:tcPr>
            <w:tcW w:w="425" w:type="dxa"/>
          </w:tcPr>
          <w:p w14:paraId="03614601" w14:textId="591D0722" w:rsidR="001A5AC8" w:rsidRPr="001A5AC8" w:rsidRDefault="001A5AC8" w:rsidP="002635DA">
            <w:pPr>
              <w:pStyle w:val="TableParagraph"/>
              <w:spacing w:before="0"/>
              <w:ind w:right="16"/>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76" w:type="dxa"/>
          </w:tcPr>
          <w:p w14:paraId="07080CB5" w14:textId="49A787FB" w:rsidR="001A5AC8" w:rsidRPr="001A5AC8" w:rsidRDefault="001A5AC8" w:rsidP="002635DA">
            <w:pPr>
              <w:pStyle w:val="TableParagraph"/>
              <w:spacing w:before="0"/>
              <w:ind w:left="79"/>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67" w:type="dxa"/>
          </w:tcPr>
          <w:p w14:paraId="5ADC29E9" w14:textId="769112C1" w:rsidR="001A5AC8" w:rsidRPr="001A5AC8" w:rsidRDefault="001A5AC8" w:rsidP="002635DA">
            <w:pPr>
              <w:pStyle w:val="TableParagraph"/>
              <w:spacing w:before="0"/>
              <w:ind w:right="89"/>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59" w:type="dxa"/>
          </w:tcPr>
          <w:p w14:paraId="4B40A54A" w14:textId="36895FD7" w:rsidR="001A5AC8" w:rsidRPr="001A5AC8" w:rsidRDefault="001A5AC8" w:rsidP="002635DA">
            <w:pPr>
              <w:pStyle w:val="TableParagraph"/>
              <w:spacing w:before="0"/>
              <w:ind w:left="229"/>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Pr>
          <w:p w14:paraId="0A11D2F7" w14:textId="4F2E79F8" w:rsidR="001A5AC8" w:rsidRPr="001A5AC8" w:rsidRDefault="001A5AC8" w:rsidP="002635DA">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402" w:type="dxa"/>
          </w:tcPr>
          <w:p w14:paraId="68D7015B" w14:textId="450A0825" w:rsidR="001A5AC8" w:rsidRPr="001A5AC8" w:rsidRDefault="001A5AC8" w:rsidP="002635DA">
            <w:pPr>
              <w:pStyle w:val="TableParagraph"/>
              <w:spacing w:before="0"/>
              <w:ind w:left="76"/>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559" w:type="dxa"/>
          </w:tcPr>
          <w:p w14:paraId="1B5BDFAB" w14:textId="2CE7403F" w:rsidR="001A5AC8" w:rsidRPr="001A5AC8" w:rsidRDefault="001A5AC8" w:rsidP="002635DA">
            <w:pPr>
              <w:pStyle w:val="TableParagraph"/>
              <w:spacing w:before="0"/>
              <w:ind w:right="86"/>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843" w:type="dxa"/>
          </w:tcPr>
          <w:p w14:paraId="2EA07445" w14:textId="3E986B55" w:rsidR="001A5AC8" w:rsidRPr="001A5AC8" w:rsidRDefault="001A5AC8" w:rsidP="002635DA">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126" w:type="dxa"/>
          </w:tcPr>
          <w:p w14:paraId="5C994A0A" w14:textId="785A696D" w:rsidR="001A5AC8" w:rsidRPr="001A5AC8" w:rsidRDefault="001A5AC8" w:rsidP="002635DA">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2635DA" w:rsidRPr="00916B3A" w14:paraId="4FCE945A" w14:textId="77777777" w:rsidTr="00F26644">
        <w:trPr>
          <w:trHeight w:val="280"/>
        </w:trPr>
        <w:tc>
          <w:tcPr>
            <w:tcW w:w="425" w:type="dxa"/>
          </w:tcPr>
          <w:p w14:paraId="372EC3A0" w14:textId="77777777" w:rsidR="002635DA" w:rsidRDefault="002635DA" w:rsidP="002635DA">
            <w:pPr>
              <w:pStyle w:val="TableParagraph"/>
              <w:spacing w:before="0"/>
              <w:ind w:right="16"/>
              <w:jc w:val="center"/>
              <w:rPr>
                <w:rFonts w:ascii="Times New Roman" w:hAnsi="Times New Roman" w:cs="Times New Roman"/>
                <w:sz w:val="24"/>
                <w:szCs w:val="24"/>
                <w:lang w:val="ru-RU"/>
              </w:rPr>
            </w:pPr>
          </w:p>
        </w:tc>
        <w:tc>
          <w:tcPr>
            <w:tcW w:w="1276" w:type="dxa"/>
          </w:tcPr>
          <w:p w14:paraId="18139264" w14:textId="68889C2F" w:rsidR="002635DA" w:rsidRPr="00635EAA" w:rsidRDefault="002635DA" w:rsidP="002635DA">
            <w:pPr>
              <w:pStyle w:val="TableParagraph"/>
              <w:spacing w:before="0"/>
              <w:ind w:left="79"/>
              <w:jc w:val="center"/>
              <w:rPr>
                <w:rFonts w:ascii="Times New Roman" w:hAnsi="Times New Roman" w:cs="Times New Roman"/>
                <w:lang w:val="ru-RU"/>
              </w:rPr>
            </w:pPr>
            <w:r w:rsidRPr="00635EAA">
              <w:rPr>
                <w:rFonts w:ascii="Times New Roman" w:hAnsi="Times New Roman" w:cs="Times New Roman"/>
                <w:color w:val="231F20"/>
                <w:w w:val="90"/>
              </w:rPr>
              <w:t>2020,</w:t>
            </w:r>
            <w:r w:rsidRPr="00635EAA">
              <w:rPr>
                <w:rFonts w:ascii="Times New Roman" w:hAnsi="Times New Roman" w:cs="Times New Roman"/>
                <w:color w:val="231F20"/>
                <w:spacing w:val="1"/>
              </w:rPr>
              <w:t xml:space="preserve"> </w:t>
            </w:r>
            <w:r w:rsidRPr="00635EAA">
              <w:rPr>
                <w:rFonts w:ascii="Times New Roman" w:hAnsi="Times New Roman" w:cs="Times New Roman"/>
                <w:color w:val="231F20"/>
                <w:spacing w:val="-2"/>
                <w:w w:val="90"/>
              </w:rPr>
              <w:t>Israel</w:t>
            </w:r>
          </w:p>
        </w:tc>
        <w:tc>
          <w:tcPr>
            <w:tcW w:w="567" w:type="dxa"/>
          </w:tcPr>
          <w:p w14:paraId="41E3C1D2" w14:textId="5BDCAAD6" w:rsidR="002635DA" w:rsidRDefault="002635DA" w:rsidP="002635DA">
            <w:pPr>
              <w:pStyle w:val="TableParagraph"/>
              <w:spacing w:before="0"/>
              <w:ind w:right="89"/>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59" w:type="dxa"/>
          </w:tcPr>
          <w:p w14:paraId="598F77AB" w14:textId="3B92C5EF" w:rsidR="002635DA" w:rsidRDefault="002635DA" w:rsidP="002635DA">
            <w:pPr>
              <w:pStyle w:val="TableParagraph"/>
              <w:spacing w:before="0"/>
              <w:ind w:left="229"/>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701" w:type="dxa"/>
          </w:tcPr>
          <w:p w14:paraId="6FEEC7EA" w14:textId="08C034C6" w:rsidR="002635DA" w:rsidRDefault="002635DA" w:rsidP="002635DA">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402" w:type="dxa"/>
          </w:tcPr>
          <w:p w14:paraId="36785252" w14:textId="50B54654" w:rsidR="002635DA" w:rsidRDefault="002635DA" w:rsidP="002635DA">
            <w:pPr>
              <w:pStyle w:val="TableParagraph"/>
              <w:spacing w:before="0"/>
              <w:ind w:left="76"/>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59" w:type="dxa"/>
          </w:tcPr>
          <w:p w14:paraId="40FAE66F" w14:textId="5557D969" w:rsidR="002635DA" w:rsidRDefault="002635DA" w:rsidP="002635DA">
            <w:pPr>
              <w:pStyle w:val="TableParagraph"/>
              <w:spacing w:before="0"/>
              <w:ind w:right="86"/>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843" w:type="dxa"/>
          </w:tcPr>
          <w:p w14:paraId="74671793" w14:textId="263C6345" w:rsidR="002635DA" w:rsidRDefault="002635DA" w:rsidP="002635DA">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126" w:type="dxa"/>
          </w:tcPr>
          <w:p w14:paraId="320047C8" w14:textId="75B90489" w:rsidR="002635DA" w:rsidRDefault="002635DA" w:rsidP="002635DA">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1A5AC8" w:rsidRPr="00F26644" w14:paraId="4C034518" w14:textId="77777777" w:rsidTr="00F26644">
        <w:trPr>
          <w:trHeight w:val="502"/>
        </w:trPr>
        <w:tc>
          <w:tcPr>
            <w:tcW w:w="425" w:type="dxa"/>
            <w:vMerge w:val="restart"/>
          </w:tcPr>
          <w:p w14:paraId="291D84E3" w14:textId="77777777" w:rsidR="001A5AC8" w:rsidRPr="00916B3A" w:rsidRDefault="001A5AC8" w:rsidP="002635DA">
            <w:pPr>
              <w:pStyle w:val="TableParagraph"/>
              <w:spacing w:before="0"/>
              <w:ind w:left="79"/>
              <w:rPr>
                <w:rFonts w:ascii="Times New Roman" w:hAnsi="Times New Roman" w:cs="Times New Roman"/>
                <w:sz w:val="24"/>
                <w:szCs w:val="24"/>
              </w:rPr>
            </w:pPr>
            <w:r w:rsidRPr="00916B3A">
              <w:rPr>
                <w:rFonts w:ascii="Times New Roman" w:hAnsi="Times New Roman" w:cs="Times New Roman"/>
                <w:color w:val="231F20"/>
                <w:spacing w:val="-5"/>
                <w:sz w:val="24"/>
                <w:szCs w:val="24"/>
              </w:rPr>
              <w:t>16</w:t>
            </w:r>
          </w:p>
        </w:tc>
        <w:tc>
          <w:tcPr>
            <w:tcW w:w="1276" w:type="dxa"/>
            <w:vMerge w:val="restart"/>
          </w:tcPr>
          <w:p w14:paraId="6C7FB6BA" w14:textId="609B22C6" w:rsidR="001A5AC8" w:rsidRPr="00635EAA" w:rsidRDefault="001A5AC8" w:rsidP="002635DA">
            <w:pPr>
              <w:pStyle w:val="TableParagraph"/>
              <w:spacing w:before="0"/>
              <w:ind w:left="79" w:right="180"/>
              <w:rPr>
                <w:rFonts w:ascii="Times New Roman" w:hAnsi="Times New Roman" w:cs="Times New Roman"/>
              </w:rPr>
            </w:pPr>
            <w:r w:rsidRPr="00635EAA">
              <w:rPr>
                <w:rFonts w:ascii="Times New Roman" w:hAnsi="Times New Roman" w:cs="Times New Roman"/>
                <w:color w:val="231F20"/>
                <w:spacing w:val="-2"/>
              </w:rPr>
              <w:t>Song</w:t>
            </w:r>
            <w:r w:rsidRPr="00635EAA">
              <w:rPr>
                <w:rFonts w:ascii="Times New Roman" w:hAnsi="Times New Roman" w:cs="Times New Roman"/>
                <w:color w:val="231F20"/>
                <w:spacing w:val="-8"/>
              </w:rPr>
              <w:t xml:space="preserve"> </w:t>
            </w:r>
            <w:r w:rsidRPr="00635EAA">
              <w:rPr>
                <w:rFonts w:ascii="Times New Roman" w:hAnsi="Times New Roman" w:cs="Times New Roman"/>
                <w:color w:val="231F20"/>
                <w:spacing w:val="-2"/>
              </w:rPr>
              <w:t>et</w:t>
            </w:r>
            <w:r w:rsidRPr="00635EAA">
              <w:rPr>
                <w:rFonts w:ascii="Times New Roman" w:hAnsi="Times New Roman" w:cs="Times New Roman"/>
                <w:color w:val="231F20"/>
                <w:spacing w:val="-8"/>
              </w:rPr>
              <w:t xml:space="preserve"> </w:t>
            </w:r>
            <w:r w:rsidRPr="00635EAA">
              <w:rPr>
                <w:rFonts w:ascii="Times New Roman" w:hAnsi="Times New Roman" w:cs="Times New Roman"/>
                <w:color w:val="231F20"/>
                <w:spacing w:val="-2"/>
              </w:rPr>
              <w:t>al.,</w:t>
            </w:r>
            <w:r w:rsidRPr="00635EAA">
              <w:rPr>
                <w:rFonts w:ascii="Times New Roman" w:hAnsi="Times New Roman" w:cs="Times New Roman"/>
                <w:color w:val="231F20"/>
                <w:spacing w:val="-8"/>
              </w:rPr>
              <w:t xml:space="preserve"> </w:t>
            </w:r>
            <w:r w:rsidRPr="00635EAA">
              <w:rPr>
                <w:rFonts w:ascii="Times New Roman" w:hAnsi="Times New Roman" w:cs="Times New Roman"/>
                <w:color w:val="231F20"/>
                <w:spacing w:val="-2"/>
              </w:rPr>
              <w:fldChar w:fldCharType="begin" w:fldLock="1"/>
            </w:r>
            <w:r w:rsidR="008C6800" w:rsidRPr="00635EAA">
              <w:rPr>
                <w:rFonts w:ascii="Times New Roman" w:hAnsi="Times New Roman" w:cs="Times New Roman"/>
                <w:color w:val="231F20"/>
                <w:spacing w:val="-2"/>
              </w:rPr>
              <w:instrText>ADDIN CSL_CITATION {"citationItems":[{"id":"ITEM-1","itemData":{"DOI":"10.2147/DDDT.S270519","ISSN":"11778881","PMID":"32982174","abstract":"Purpose: Gonadotrophin releasing hormone agonist (GnRH-a) is widely used for pituitary down-regulation and recruiting more follicles in assisted reproduction. However, no informa-tion is available on its value for patients with thin endometrial thickness. Patients and Methods: This was a retrospective cohort study of 302 patients with endometrium &lt;8 mm undergoing fresh embryo transfer at a fertility center of a university hospital from January 2016 and December 2018. In 148 cycles of the GnRH-a prolonged protocol, one depot of 3.75 mg GnRH-a was injected on day 2 of the menstrual cycle, while in 154 cycles of the short GnRH-a long protocol, 0.1 mg of GnRH-a was injected daily from the mid-luteal phase. The live birth rate and clinical pregnancy rate were compared between the two groups. Other outcome measures included the implantation rate, miscarriage rate, and characteristics of stimulation procedures. Results: Live birth rates and clinical pregnancy rates were significantly higher in the GnRH-a prolonged protocol group than in the other group (36.5% vs 20.8%, P=0.002; 43.9% vs 28.2%, P=0.006, respectively). The live birth rate was significantly increased in the prolonged protocol group (crude OR: 2.190, 95% CI: 1.311, 3.660; adjusted OR: 2.458, 95% CI: 1.430, 4.224) compared with that in the reference group. The implantation rate of the former group was also significantly higher than that of the latter group (35.4% vs 15.9%, P=0.000). There was no significant difference in miscarriage rates between the two protocols. In terms of stimulation procedures, the GnRH-a prolonged protocol group required significantly higher Gn time (10.9 vs 9.5 days, P=0.000) and Gn consumption (2625.0 vs 2047.5 IU, P=0.000) than the short GnRH-a long protocol group. Conclusion: The GnRH-a prolonged protocol in fresh embryo transfer cycles yielded better clinical outcomes of patients with thin endometrium than the short GnRH-a long protocol.","author":[{"dropping-particle":"","family":"Song","given":"Jianyuan","non-dropping-particle":"","parse-names":false,"suffix":""},{"dropping-particle":"","family":"Duan","given":"Cuicui","non-dropping-particle":"","parse-names":false,"suffix":""},{"dropping-particle":"","family":"Cai","given":"Wangyu","non-dropping-particle":"","parse-names":false,"suffix":""},{"dropping-particle":"","family":"Wu","given":"Wei","non-dropping-particle":"","parse-names":false,"suffix":""},{"dropping-particle":"","family":"Lv","given":"Houyi","non-dropping-particle":"","parse-names":false,"suffix":""},{"dropping-particle":"","family":"Xu","given":"Jian","non-dropping-particle":"","parse-names":false,"suffix":""}],"container-title":"Drug Design, Development and Therapy","id":"ITEM-1","issued":{"date-parts":[["2020"]]},"page":"3673-3682","title":"Comparison of gnrh-a prolonged protocol and short gnrh-a long protocol in patients with thin endometrium for assisted reproduction: A retrospective cohort study","type":"article-journal","volume":"14"},"uris":["http://www.mendeley.com/documents/?uuid=4188f3c1-71f5-499b-9299-5db7b6b15129"]}],"mendeley":{"formattedCitation":"[121]","plainTextFormattedCitation":"[121]","previouslyFormattedCitation":"(121)"},"properties":{"noteIndex":0},"schema":"https://github.com/citation-style-language/schema/raw/master/csl-citation.json"}</w:instrText>
            </w:r>
            <w:r w:rsidRPr="00635EAA">
              <w:rPr>
                <w:rFonts w:ascii="Times New Roman" w:hAnsi="Times New Roman" w:cs="Times New Roman"/>
                <w:color w:val="231F20"/>
                <w:spacing w:val="-2"/>
              </w:rPr>
              <w:fldChar w:fldCharType="separate"/>
            </w:r>
            <w:r w:rsidR="008C6800" w:rsidRPr="00635EAA">
              <w:rPr>
                <w:rFonts w:ascii="Times New Roman" w:hAnsi="Times New Roman" w:cs="Times New Roman"/>
                <w:noProof/>
                <w:color w:val="231F20"/>
                <w:spacing w:val="-2"/>
              </w:rPr>
              <w:t>[121]</w:t>
            </w:r>
            <w:r w:rsidRPr="00635EAA">
              <w:rPr>
                <w:rFonts w:ascii="Times New Roman" w:hAnsi="Times New Roman" w:cs="Times New Roman"/>
                <w:color w:val="231F20"/>
                <w:spacing w:val="-2"/>
              </w:rPr>
              <w:fldChar w:fldCharType="end"/>
            </w:r>
            <w:r w:rsidRPr="00635EAA">
              <w:rPr>
                <w:rFonts w:ascii="Times New Roman" w:hAnsi="Times New Roman" w:cs="Times New Roman"/>
                <w:color w:val="231F20"/>
                <w:spacing w:val="40"/>
              </w:rPr>
              <w:t xml:space="preserve"> </w:t>
            </w:r>
            <w:r w:rsidRPr="00635EAA">
              <w:rPr>
                <w:rFonts w:ascii="Times New Roman" w:hAnsi="Times New Roman" w:cs="Times New Roman"/>
                <w:color w:val="231F20"/>
              </w:rPr>
              <w:t>2020,</w:t>
            </w:r>
            <w:r w:rsidRPr="00635EAA">
              <w:rPr>
                <w:rFonts w:ascii="Times New Roman" w:hAnsi="Times New Roman" w:cs="Times New Roman"/>
                <w:color w:val="231F20"/>
                <w:spacing w:val="-5"/>
              </w:rPr>
              <w:t xml:space="preserve"> </w:t>
            </w:r>
            <w:r w:rsidRPr="00635EAA">
              <w:rPr>
                <w:rFonts w:ascii="Times New Roman" w:hAnsi="Times New Roman" w:cs="Times New Roman"/>
                <w:color w:val="231F20"/>
              </w:rPr>
              <w:t>China</w:t>
            </w:r>
          </w:p>
        </w:tc>
        <w:tc>
          <w:tcPr>
            <w:tcW w:w="567" w:type="dxa"/>
            <w:vMerge w:val="restart"/>
          </w:tcPr>
          <w:p w14:paraId="7A91FB99" w14:textId="77777777" w:rsidR="001A5AC8" w:rsidRPr="00916B3A" w:rsidRDefault="001A5AC8" w:rsidP="002635DA">
            <w:pPr>
              <w:pStyle w:val="TableParagraph"/>
              <w:spacing w:before="0"/>
              <w:ind w:left="169"/>
              <w:rPr>
                <w:rFonts w:ascii="Times New Roman" w:hAnsi="Times New Roman" w:cs="Times New Roman"/>
                <w:sz w:val="24"/>
                <w:szCs w:val="24"/>
              </w:rPr>
            </w:pPr>
            <w:r w:rsidRPr="00916B3A">
              <w:rPr>
                <w:rFonts w:ascii="Times New Roman" w:hAnsi="Times New Roman" w:cs="Times New Roman"/>
                <w:color w:val="231F20"/>
                <w:spacing w:val="-5"/>
                <w:sz w:val="24"/>
                <w:szCs w:val="24"/>
              </w:rPr>
              <w:t>302</w:t>
            </w:r>
          </w:p>
        </w:tc>
        <w:tc>
          <w:tcPr>
            <w:tcW w:w="1559" w:type="dxa"/>
          </w:tcPr>
          <w:p w14:paraId="4D6E0A80" w14:textId="77777777" w:rsidR="001A5AC8" w:rsidRPr="00916B3A" w:rsidRDefault="001A5AC8" w:rsidP="002635DA">
            <w:pPr>
              <w:pStyle w:val="TableParagraph"/>
              <w:spacing w:before="0"/>
              <w:ind w:left="8" w:right="3"/>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31.3±4.0</w:t>
            </w:r>
          </w:p>
        </w:tc>
        <w:tc>
          <w:tcPr>
            <w:tcW w:w="1701" w:type="dxa"/>
          </w:tcPr>
          <w:p w14:paraId="1195BC53" w14:textId="77777777" w:rsidR="001A5AC8" w:rsidRPr="00916B3A" w:rsidRDefault="001A5AC8" w:rsidP="002635DA">
            <w:pPr>
              <w:pStyle w:val="TableParagraph"/>
              <w:spacing w:before="0"/>
              <w:ind w:left="8" w:right="4"/>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22.0±3.0</w:t>
            </w:r>
          </w:p>
        </w:tc>
        <w:tc>
          <w:tcPr>
            <w:tcW w:w="3402" w:type="dxa"/>
          </w:tcPr>
          <w:p w14:paraId="38667E3D" w14:textId="77777777" w:rsidR="001A5AC8" w:rsidRPr="002F588F" w:rsidRDefault="001A5AC8" w:rsidP="002635DA">
            <w:pPr>
              <w:pStyle w:val="TableParagraph"/>
              <w:spacing w:before="0"/>
              <w:ind w:left="76" w:right="250"/>
              <w:rPr>
                <w:rFonts w:ascii="Times New Roman" w:hAnsi="Times New Roman" w:cs="Times New Roman"/>
                <w:sz w:val="24"/>
                <w:szCs w:val="24"/>
              </w:rPr>
            </w:pPr>
            <w:r w:rsidRPr="00916B3A">
              <w:rPr>
                <w:rFonts w:ascii="Times New Roman" w:hAnsi="Times New Roman" w:cs="Times New Roman"/>
                <w:color w:val="231F20"/>
                <w:spacing w:val="-2"/>
                <w:sz w:val="24"/>
                <w:szCs w:val="24"/>
              </w:rPr>
              <w:t>Fresh</w:t>
            </w:r>
            <w:r w:rsidRPr="002F588F">
              <w:rPr>
                <w:rFonts w:ascii="Times New Roman" w:hAnsi="Times New Roman" w:cs="Times New Roman"/>
                <w:color w:val="231F20"/>
                <w:spacing w:val="-2"/>
                <w:sz w:val="24"/>
                <w:szCs w:val="24"/>
              </w:rPr>
              <w:t>:</w:t>
            </w:r>
            <w:r w:rsidRPr="002F588F">
              <w:rPr>
                <w:rFonts w:ascii="Times New Roman" w:hAnsi="Times New Roman" w:cs="Times New Roman"/>
                <w:color w:val="231F20"/>
                <w:spacing w:val="-8"/>
                <w:sz w:val="24"/>
                <w:szCs w:val="24"/>
              </w:rPr>
              <w:t xml:space="preserve"> </w:t>
            </w:r>
            <w:r w:rsidRPr="002F588F">
              <w:rPr>
                <w:rFonts w:ascii="Times New Roman" w:hAnsi="Times New Roman" w:cs="Times New Roman"/>
                <w:color w:val="231F20"/>
                <w:spacing w:val="-2"/>
                <w:sz w:val="24"/>
                <w:szCs w:val="24"/>
              </w:rPr>
              <w:t xml:space="preserve"> </w:t>
            </w:r>
            <w:r w:rsidRPr="00916B3A">
              <w:rPr>
                <w:rFonts w:ascii="Times New Roman" w:hAnsi="Times New Roman" w:cs="Times New Roman"/>
                <w:color w:val="231F20"/>
                <w:spacing w:val="-2"/>
                <w:sz w:val="24"/>
                <w:szCs w:val="24"/>
                <w:lang w:val="ru-RU"/>
              </w:rPr>
              <w:t>прлонгированный</w:t>
            </w:r>
            <w:r w:rsidRPr="002F588F">
              <w:rPr>
                <w:rFonts w:ascii="Times New Roman" w:hAnsi="Times New Roman" w:cs="Times New Roman"/>
                <w:color w:val="231F20"/>
                <w:spacing w:val="-2"/>
                <w:sz w:val="24"/>
                <w:szCs w:val="24"/>
              </w:rPr>
              <w:t xml:space="preserve"> </w:t>
            </w:r>
            <w:r w:rsidRPr="00916B3A">
              <w:rPr>
                <w:rFonts w:ascii="Times New Roman" w:hAnsi="Times New Roman" w:cs="Times New Roman"/>
                <w:color w:val="231F20"/>
                <w:spacing w:val="-2"/>
                <w:sz w:val="24"/>
                <w:szCs w:val="24"/>
              </w:rPr>
              <w:t>GnRH</w:t>
            </w:r>
            <w:r w:rsidRPr="002F588F">
              <w:rPr>
                <w:rFonts w:ascii="Times New Roman" w:hAnsi="Times New Roman" w:cs="Times New Roman"/>
                <w:color w:val="231F20"/>
                <w:spacing w:val="-2"/>
                <w:sz w:val="24"/>
                <w:szCs w:val="24"/>
              </w:rPr>
              <w:t>-</w:t>
            </w:r>
            <w:r w:rsidRPr="00916B3A">
              <w:rPr>
                <w:rFonts w:ascii="Times New Roman" w:hAnsi="Times New Roman" w:cs="Times New Roman"/>
                <w:color w:val="231F20"/>
                <w:spacing w:val="-2"/>
                <w:sz w:val="24"/>
                <w:szCs w:val="24"/>
              </w:rPr>
              <w:t>a</w:t>
            </w:r>
            <w:r w:rsidRPr="002F588F">
              <w:rPr>
                <w:rFonts w:ascii="Times New Roman" w:hAnsi="Times New Roman" w:cs="Times New Roman"/>
                <w:color w:val="231F20"/>
                <w:spacing w:val="-8"/>
                <w:sz w:val="24"/>
                <w:szCs w:val="24"/>
              </w:rPr>
              <w:t xml:space="preserve"> </w:t>
            </w:r>
            <w:r w:rsidRPr="00916B3A">
              <w:rPr>
                <w:rFonts w:ascii="Times New Roman" w:hAnsi="Times New Roman" w:cs="Times New Roman"/>
                <w:color w:val="231F20"/>
                <w:spacing w:val="-2"/>
                <w:sz w:val="24"/>
                <w:szCs w:val="24"/>
                <w:lang w:val="ru-RU"/>
              </w:rPr>
              <w:t>группа</w:t>
            </w:r>
            <w:r w:rsidRPr="002F588F">
              <w:rPr>
                <w:rFonts w:ascii="Times New Roman" w:hAnsi="Times New Roman" w:cs="Times New Roman"/>
                <w:color w:val="231F20"/>
                <w:spacing w:val="-2"/>
                <w:sz w:val="24"/>
                <w:szCs w:val="24"/>
              </w:rPr>
              <w:t>:</w:t>
            </w:r>
            <w:r w:rsidRPr="002F588F">
              <w:rPr>
                <w:rFonts w:ascii="Times New Roman" w:hAnsi="Times New Roman" w:cs="Times New Roman"/>
                <w:color w:val="231F20"/>
                <w:spacing w:val="40"/>
                <w:sz w:val="24"/>
                <w:szCs w:val="24"/>
              </w:rPr>
              <w:t xml:space="preserve"> </w:t>
            </w:r>
            <w:r w:rsidRPr="00916B3A">
              <w:rPr>
                <w:rFonts w:ascii="Times New Roman" w:hAnsi="Times New Roman" w:cs="Times New Roman"/>
                <w:color w:val="231F20"/>
                <w:w w:val="105"/>
                <w:sz w:val="24"/>
                <w:szCs w:val="24"/>
                <w:lang w:val="ru-RU"/>
              </w:rPr>
              <w:t>введение</w:t>
            </w:r>
            <w:r w:rsidRPr="002F588F">
              <w:rPr>
                <w:rFonts w:ascii="Times New Roman" w:hAnsi="Times New Roman" w:cs="Times New Roman"/>
                <w:color w:val="231F20"/>
                <w:w w:val="105"/>
                <w:sz w:val="24"/>
                <w:szCs w:val="24"/>
              </w:rPr>
              <w:t xml:space="preserve"> </w:t>
            </w:r>
            <w:r w:rsidRPr="00916B3A">
              <w:rPr>
                <w:rFonts w:ascii="Times New Roman" w:hAnsi="Times New Roman" w:cs="Times New Roman"/>
                <w:color w:val="231F20"/>
                <w:w w:val="105"/>
                <w:sz w:val="24"/>
                <w:szCs w:val="24"/>
                <w:lang w:val="ru-RU"/>
              </w:rPr>
              <w:t>ХГЧ</w:t>
            </w:r>
            <w:r w:rsidRPr="002F588F">
              <w:rPr>
                <w:rFonts w:ascii="Times New Roman" w:hAnsi="Times New Roman" w:cs="Times New Roman"/>
                <w:color w:val="231F20"/>
                <w:spacing w:val="-2"/>
                <w:sz w:val="24"/>
                <w:szCs w:val="24"/>
              </w:rPr>
              <w:t>.</w:t>
            </w:r>
          </w:p>
        </w:tc>
        <w:tc>
          <w:tcPr>
            <w:tcW w:w="1559" w:type="dxa"/>
            <w:vMerge w:val="restart"/>
          </w:tcPr>
          <w:p w14:paraId="4F05CBF1" w14:textId="77777777" w:rsidR="001A5AC8" w:rsidRPr="00916B3A" w:rsidRDefault="001A5AC8" w:rsidP="002635DA">
            <w:pPr>
              <w:pStyle w:val="TableParagraph"/>
              <w:spacing w:before="0"/>
              <w:ind w:left="175"/>
              <w:rPr>
                <w:rFonts w:ascii="Times New Roman" w:hAnsi="Times New Roman" w:cs="Times New Roman"/>
                <w:sz w:val="24"/>
                <w:szCs w:val="24"/>
              </w:rPr>
            </w:pPr>
            <w:r w:rsidRPr="00916B3A">
              <w:rPr>
                <w:rFonts w:ascii="Times New Roman" w:hAnsi="Times New Roman" w:cs="Times New Roman"/>
                <w:color w:val="231F20"/>
                <w:spacing w:val="-5"/>
                <w:sz w:val="24"/>
                <w:szCs w:val="24"/>
              </w:rPr>
              <w:t>&lt;8</w:t>
            </w:r>
          </w:p>
        </w:tc>
        <w:tc>
          <w:tcPr>
            <w:tcW w:w="1843" w:type="dxa"/>
          </w:tcPr>
          <w:p w14:paraId="2C6DB7F7" w14:textId="77777777" w:rsidR="001A5AC8" w:rsidRPr="00916B3A" w:rsidRDefault="001A5AC8" w:rsidP="002635DA">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43.9%</w:t>
            </w:r>
          </w:p>
        </w:tc>
        <w:tc>
          <w:tcPr>
            <w:tcW w:w="2126" w:type="dxa"/>
          </w:tcPr>
          <w:p w14:paraId="0837494A" w14:textId="77777777" w:rsidR="001A5AC8" w:rsidRPr="00916B3A" w:rsidRDefault="001A5AC8" w:rsidP="002635DA">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36.5%</w:t>
            </w:r>
          </w:p>
        </w:tc>
      </w:tr>
      <w:tr w:rsidR="001A5AC8" w:rsidRPr="00F26644" w14:paraId="118D49E3" w14:textId="77777777" w:rsidTr="00F26644">
        <w:trPr>
          <w:trHeight w:val="502"/>
        </w:trPr>
        <w:tc>
          <w:tcPr>
            <w:tcW w:w="425" w:type="dxa"/>
            <w:vMerge/>
            <w:tcBorders>
              <w:top w:val="nil"/>
            </w:tcBorders>
          </w:tcPr>
          <w:p w14:paraId="347E7FD0" w14:textId="77777777" w:rsidR="001A5AC8" w:rsidRPr="00916B3A" w:rsidRDefault="001A5AC8" w:rsidP="001A5AC8">
            <w:pPr>
              <w:rPr>
                <w:rFonts w:ascii="Times New Roman" w:hAnsi="Times New Roman" w:cs="Times New Roman"/>
                <w:sz w:val="24"/>
                <w:szCs w:val="24"/>
              </w:rPr>
            </w:pPr>
          </w:p>
        </w:tc>
        <w:tc>
          <w:tcPr>
            <w:tcW w:w="1276" w:type="dxa"/>
            <w:vMerge/>
            <w:tcBorders>
              <w:top w:val="nil"/>
            </w:tcBorders>
          </w:tcPr>
          <w:p w14:paraId="73FA1D16" w14:textId="77777777" w:rsidR="001A5AC8" w:rsidRPr="00635EAA" w:rsidRDefault="001A5AC8" w:rsidP="001A5AC8">
            <w:pPr>
              <w:rPr>
                <w:rFonts w:ascii="Times New Roman" w:hAnsi="Times New Roman" w:cs="Times New Roman"/>
              </w:rPr>
            </w:pPr>
          </w:p>
        </w:tc>
        <w:tc>
          <w:tcPr>
            <w:tcW w:w="567" w:type="dxa"/>
            <w:vMerge/>
            <w:tcBorders>
              <w:top w:val="nil"/>
            </w:tcBorders>
          </w:tcPr>
          <w:p w14:paraId="5D3ABC9E" w14:textId="77777777" w:rsidR="001A5AC8" w:rsidRPr="00916B3A" w:rsidRDefault="001A5AC8" w:rsidP="001A5AC8">
            <w:pPr>
              <w:rPr>
                <w:rFonts w:ascii="Times New Roman" w:hAnsi="Times New Roman" w:cs="Times New Roman"/>
                <w:sz w:val="24"/>
                <w:szCs w:val="24"/>
              </w:rPr>
            </w:pPr>
          </w:p>
        </w:tc>
        <w:tc>
          <w:tcPr>
            <w:tcW w:w="1559" w:type="dxa"/>
          </w:tcPr>
          <w:p w14:paraId="3162DB55" w14:textId="77777777" w:rsidR="001A5AC8" w:rsidRPr="00916B3A" w:rsidRDefault="001A5AC8" w:rsidP="001A5AC8">
            <w:pPr>
              <w:pStyle w:val="TableParagraph"/>
              <w:spacing w:before="0"/>
              <w:ind w:left="8" w:right="3"/>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31.1±4.8</w:t>
            </w:r>
          </w:p>
        </w:tc>
        <w:tc>
          <w:tcPr>
            <w:tcW w:w="1701" w:type="dxa"/>
          </w:tcPr>
          <w:p w14:paraId="38850EDE" w14:textId="77777777" w:rsidR="001A5AC8" w:rsidRPr="00916B3A" w:rsidRDefault="001A5AC8" w:rsidP="001A5AC8">
            <w:pPr>
              <w:pStyle w:val="TableParagraph"/>
              <w:spacing w:before="0"/>
              <w:ind w:left="8" w:right="4"/>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22.2±2.9</w:t>
            </w:r>
          </w:p>
        </w:tc>
        <w:tc>
          <w:tcPr>
            <w:tcW w:w="3402" w:type="dxa"/>
          </w:tcPr>
          <w:p w14:paraId="63981CF5" w14:textId="77777777" w:rsidR="001A5AC8" w:rsidRPr="002F588F" w:rsidRDefault="001A5AC8" w:rsidP="001A5AC8">
            <w:pPr>
              <w:pStyle w:val="TableParagraph"/>
              <w:spacing w:before="0"/>
              <w:ind w:left="76"/>
              <w:rPr>
                <w:rFonts w:ascii="Times New Roman" w:hAnsi="Times New Roman" w:cs="Times New Roman"/>
                <w:sz w:val="24"/>
                <w:szCs w:val="24"/>
              </w:rPr>
            </w:pPr>
            <w:r w:rsidRPr="00916B3A">
              <w:rPr>
                <w:rFonts w:ascii="Times New Roman" w:hAnsi="Times New Roman" w:cs="Times New Roman"/>
                <w:color w:val="231F20"/>
                <w:sz w:val="24"/>
                <w:szCs w:val="24"/>
              </w:rPr>
              <w:t>Fresh</w:t>
            </w:r>
            <w:r w:rsidRPr="002F588F">
              <w:rPr>
                <w:rFonts w:ascii="Times New Roman" w:hAnsi="Times New Roman" w:cs="Times New Roman"/>
                <w:color w:val="231F20"/>
                <w:sz w:val="24"/>
                <w:szCs w:val="24"/>
              </w:rPr>
              <w:t xml:space="preserve">: </w:t>
            </w:r>
            <w:r w:rsidRPr="00916B3A">
              <w:rPr>
                <w:rFonts w:ascii="Times New Roman" w:hAnsi="Times New Roman" w:cs="Times New Roman"/>
                <w:color w:val="231F20"/>
                <w:sz w:val="24"/>
                <w:szCs w:val="24"/>
                <w:lang w:val="ru-RU"/>
              </w:rPr>
              <w:t>короткий</w:t>
            </w:r>
            <w:r w:rsidRPr="002F588F">
              <w:rPr>
                <w:rFonts w:ascii="Times New Roman" w:hAnsi="Times New Roman" w:cs="Times New Roman"/>
                <w:color w:val="231F20"/>
                <w:sz w:val="24"/>
                <w:szCs w:val="24"/>
              </w:rPr>
              <w:t xml:space="preserve">  </w:t>
            </w:r>
            <w:r w:rsidRPr="00916B3A">
              <w:rPr>
                <w:rFonts w:ascii="Times New Roman" w:hAnsi="Times New Roman" w:cs="Times New Roman"/>
                <w:color w:val="231F20"/>
                <w:sz w:val="24"/>
                <w:szCs w:val="24"/>
              </w:rPr>
              <w:t>GnRH</w:t>
            </w:r>
            <w:r w:rsidRPr="002F588F">
              <w:rPr>
                <w:rFonts w:ascii="Times New Roman" w:hAnsi="Times New Roman" w:cs="Times New Roman"/>
                <w:color w:val="231F20"/>
                <w:sz w:val="24"/>
                <w:szCs w:val="24"/>
              </w:rPr>
              <w:t>-</w:t>
            </w:r>
            <w:r w:rsidRPr="00916B3A">
              <w:rPr>
                <w:rFonts w:ascii="Times New Roman" w:hAnsi="Times New Roman" w:cs="Times New Roman"/>
                <w:color w:val="231F20"/>
                <w:sz w:val="24"/>
                <w:szCs w:val="24"/>
              </w:rPr>
              <w:t>a</w:t>
            </w:r>
            <w:r w:rsidRPr="002F588F">
              <w:rPr>
                <w:rFonts w:ascii="Times New Roman" w:hAnsi="Times New Roman" w:cs="Times New Roman"/>
                <w:color w:val="231F20"/>
                <w:sz w:val="24"/>
                <w:szCs w:val="24"/>
              </w:rPr>
              <w:t xml:space="preserve"> </w:t>
            </w:r>
            <w:r w:rsidRPr="00916B3A">
              <w:rPr>
                <w:rFonts w:ascii="Times New Roman" w:hAnsi="Times New Roman" w:cs="Times New Roman"/>
                <w:color w:val="231F20"/>
                <w:sz w:val="24"/>
                <w:szCs w:val="24"/>
                <w:lang w:val="ru-RU"/>
              </w:rPr>
              <w:t>группа</w:t>
            </w:r>
            <w:r w:rsidRPr="002F588F">
              <w:rPr>
                <w:rFonts w:ascii="Times New Roman" w:hAnsi="Times New Roman" w:cs="Times New Roman"/>
                <w:color w:val="231F20"/>
                <w:sz w:val="24"/>
                <w:szCs w:val="24"/>
              </w:rPr>
              <w:t xml:space="preserve">: </w:t>
            </w:r>
            <w:r w:rsidRPr="00916B3A">
              <w:rPr>
                <w:rFonts w:ascii="Times New Roman" w:hAnsi="Times New Roman" w:cs="Times New Roman"/>
                <w:color w:val="231F20"/>
                <w:w w:val="105"/>
                <w:sz w:val="24"/>
                <w:szCs w:val="24"/>
                <w:lang w:val="ru-RU"/>
              </w:rPr>
              <w:t>введение</w:t>
            </w:r>
            <w:r w:rsidRPr="002F588F">
              <w:rPr>
                <w:rFonts w:ascii="Times New Roman" w:hAnsi="Times New Roman" w:cs="Times New Roman"/>
                <w:color w:val="231F20"/>
                <w:w w:val="105"/>
                <w:sz w:val="24"/>
                <w:szCs w:val="24"/>
              </w:rPr>
              <w:t xml:space="preserve"> </w:t>
            </w:r>
            <w:r w:rsidRPr="00916B3A">
              <w:rPr>
                <w:rFonts w:ascii="Times New Roman" w:hAnsi="Times New Roman" w:cs="Times New Roman"/>
                <w:color w:val="231F20"/>
                <w:w w:val="105"/>
                <w:sz w:val="24"/>
                <w:szCs w:val="24"/>
                <w:lang w:val="ru-RU"/>
              </w:rPr>
              <w:t>ХГЧ</w:t>
            </w:r>
            <w:r w:rsidRPr="002F588F">
              <w:rPr>
                <w:rFonts w:ascii="Times New Roman" w:hAnsi="Times New Roman" w:cs="Times New Roman"/>
                <w:color w:val="231F20"/>
                <w:spacing w:val="-2"/>
                <w:sz w:val="24"/>
                <w:szCs w:val="24"/>
              </w:rPr>
              <w:t>.</w:t>
            </w:r>
          </w:p>
        </w:tc>
        <w:tc>
          <w:tcPr>
            <w:tcW w:w="1559" w:type="dxa"/>
            <w:vMerge/>
            <w:tcBorders>
              <w:top w:val="nil"/>
            </w:tcBorders>
          </w:tcPr>
          <w:p w14:paraId="5D9BD9B0" w14:textId="77777777" w:rsidR="001A5AC8" w:rsidRPr="002F588F" w:rsidRDefault="001A5AC8" w:rsidP="001A5AC8">
            <w:pPr>
              <w:rPr>
                <w:rFonts w:ascii="Times New Roman" w:hAnsi="Times New Roman" w:cs="Times New Roman"/>
                <w:sz w:val="24"/>
                <w:szCs w:val="24"/>
              </w:rPr>
            </w:pPr>
          </w:p>
        </w:tc>
        <w:tc>
          <w:tcPr>
            <w:tcW w:w="1843" w:type="dxa"/>
          </w:tcPr>
          <w:p w14:paraId="3EFB2A5A"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28.6%</w:t>
            </w:r>
          </w:p>
        </w:tc>
        <w:tc>
          <w:tcPr>
            <w:tcW w:w="2126" w:type="dxa"/>
          </w:tcPr>
          <w:p w14:paraId="44948A5F"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20.8%</w:t>
            </w:r>
          </w:p>
        </w:tc>
      </w:tr>
      <w:tr w:rsidR="001A5AC8" w:rsidRPr="00916B3A" w14:paraId="11E0F323" w14:textId="77777777" w:rsidTr="00F26644">
        <w:trPr>
          <w:trHeight w:val="722"/>
        </w:trPr>
        <w:tc>
          <w:tcPr>
            <w:tcW w:w="425" w:type="dxa"/>
          </w:tcPr>
          <w:p w14:paraId="7458481A" w14:textId="77777777" w:rsidR="001A5AC8" w:rsidRPr="00916B3A" w:rsidRDefault="001A5AC8" w:rsidP="001A5AC8">
            <w:pPr>
              <w:pStyle w:val="TableParagraph"/>
              <w:spacing w:before="0"/>
              <w:ind w:right="16"/>
              <w:jc w:val="center"/>
              <w:rPr>
                <w:rFonts w:ascii="Times New Roman" w:hAnsi="Times New Roman" w:cs="Times New Roman"/>
                <w:sz w:val="24"/>
                <w:szCs w:val="24"/>
              </w:rPr>
            </w:pPr>
            <w:r w:rsidRPr="00916B3A">
              <w:rPr>
                <w:rFonts w:ascii="Times New Roman" w:hAnsi="Times New Roman" w:cs="Times New Roman"/>
                <w:color w:val="231F20"/>
                <w:spacing w:val="-5"/>
                <w:sz w:val="24"/>
                <w:szCs w:val="24"/>
              </w:rPr>
              <w:t>17</w:t>
            </w:r>
          </w:p>
        </w:tc>
        <w:tc>
          <w:tcPr>
            <w:tcW w:w="1276" w:type="dxa"/>
          </w:tcPr>
          <w:p w14:paraId="79D307F3" w14:textId="7E52DFC8" w:rsidR="001A5AC8" w:rsidRPr="00635EAA" w:rsidRDefault="001A5AC8" w:rsidP="001A5AC8">
            <w:pPr>
              <w:pStyle w:val="TableParagraph"/>
              <w:spacing w:before="0"/>
              <w:ind w:left="79" w:right="257"/>
              <w:rPr>
                <w:rFonts w:ascii="Times New Roman" w:hAnsi="Times New Roman" w:cs="Times New Roman"/>
              </w:rPr>
            </w:pPr>
            <w:r w:rsidRPr="00635EAA">
              <w:rPr>
                <w:rFonts w:ascii="Times New Roman" w:hAnsi="Times New Roman" w:cs="Times New Roman"/>
                <w:color w:val="231F20"/>
              </w:rPr>
              <w:t>Tersoglio et</w:t>
            </w:r>
            <w:r w:rsidRPr="00635EAA">
              <w:rPr>
                <w:rFonts w:ascii="Times New Roman" w:hAnsi="Times New Roman" w:cs="Times New Roman"/>
                <w:color w:val="231F20"/>
                <w:spacing w:val="40"/>
              </w:rPr>
              <w:t xml:space="preserve"> </w:t>
            </w:r>
            <w:r w:rsidRPr="00635EAA">
              <w:rPr>
                <w:rFonts w:ascii="Times New Roman" w:hAnsi="Times New Roman" w:cs="Times New Roman"/>
                <w:color w:val="231F20"/>
                <w:spacing w:val="-6"/>
              </w:rPr>
              <w:t>al.,</w:t>
            </w:r>
            <w:r w:rsidRPr="00635EAA">
              <w:rPr>
                <w:rFonts w:ascii="Times New Roman" w:hAnsi="Times New Roman" w:cs="Times New Roman"/>
                <w:color w:val="231F20"/>
                <w:spacing w:val="-4"/>
              </w:rPr>
              <w:t xml:space="preserve"> </w:t>
            </w:r>
            <w:r w:rsidRPr="00635EAA">
              <w:rPr>
                <w:rFonts w:ascii="Times New Roman" w:hAnsi="Times New Roman" w:cs="Times New Roman"/>
                <w:color w:val="231F20"/>
                <w:spacing w:val="-6"/>
              </w:rPr>
              <w:fldChar w:fldCharType="begin" w:fldLock="1"/>
            </w:r>
            <w:r w:rsidR="008C6800" w:rsidRPr="00635EAA">
              <w:rPr>
                <w:rFonts w:ascii="Times New Roman" w:hAnsi="Times New Roman" w:cs="Times New Roman"/>
                <w:color w:val="231F20"/>
                <w:spacing w:val="-6"/>
              </w:rPr>
              <w:instrText>ADDIN CSL_CITATION {"citationItems":[{"id":"ITEM-1","itemData":{"author":[{"dropping-particle":"","family":"Tersoglio","given":"Alberto E","non-dropping-particle":"","parse-names":false,"suffix":""},{"dropping-particle":"","family":"Tersoglio","given":"Sebastian","non-dropping-particle":"","parse-names":false,"suffix":""},{"dropping-particle":"","family":"Salatino","given":"Dante R","non-dropping-particle":"","parse-names":false,"suffix":""},{"dropping-particle":"","family":"Castro","given":"Matías","non-dropping-particle":"","parse-names":false,"suffix":""},{"dropping-particle":"","family":"Gonzalez","given":"Adriana","non-dropping-particle":"","parse-names":false,"suffix":""},{"dropping-particle":"","family":"Hinojosa","given":"Mariana","non-dropping-particle":"","parse-names":false,"suffix":""},{"dropping-particle":"","family":"Castellano","given":"Onias","non-dropping-particle":"","parse-names":false,"suffix":""}],"container-title":"JBRA Assisted Reproduction","id":"ITEM-1","issue":"2","issued":{"date-parts":[["2020"]]},"page":"118","publisher":"Brazilian Society of Assisted Reproduction","title":"Regenerative therapy by endometrial mesenchymal stem cells in thin endometrium with repeated implantation failure. A novel strategy","type":"article-journal","volume":"24"},"uris":["http://www.mendeley.com/documents/?uuid=0494cd8f-4332-4625-8b7a-7051432228f5"]}],"mendeley":{"formattedCitation":"[122]","plainTextFormattedCitation":"[122]","previouslyFormattedCitation":"(122)"},"properties":{"noteIndex":0},"schema":"https://github.com/citation-style-language/schema/raw/master/csl-citation.json"}</w:instrText>
            </w:r>
            <w:r w:rsidRPr="00635EAA">
              <w:rPr>
                <w:rFonts w:ascii="Times New Roman" w:hAnsi="Times New Roman" w:cs="Times New Roman"/>
                <w:color w:val="231F20"/>
                <w:spacing w:val="-6"/>
              </w:rPr>
              <w:fldChar w:fldCharType="separate"/>
            </w:r>
            <w:r w:rsidR="008C6800" w:rsidRPr="00635EAA">
              <w:rPr>
                <w:rFonts w:ascii="Times New Roman" w:hAnsi="Times New Roman" w:cs="Times New Roman"/>
                <w:noProof/>
                <w:color w:val="231F20"/>
                <w:spacing w:val="-6"/>
              </w:rPr>
              <w:t>[122]</w:t>
            </w:r>
            <w:r w:rsidRPr="00635EAA">
              <w:rPr>
                <w:rFonts w:ascii="Times New Roman" w:hAnsi="Times New Roman" w:cs="Times New Roman"/>
                <w:color w:val="231F20"/>
                <w:spacing w:val="-6"/>
              </w:rPr>
              <w:fldChar w:fldCharType="end"/>
            </w:r>
            <w:r w:rsidRPr="00635EAA">
              <w:rPr>
                <w:rFonts w:ascii="Times New Roman" w:hAnsi="Times New Roman" w:cs="Times New Roman"/>
                <w:color w:val="231F20"/>
                <w:spacing w:val="-6"/>
              </w:rPr>
              <w:t>2020,</w:t>
            </w:r>
          </w:p>
          <w:p w14:paraId="2FE4F4E2" w14:textId="77777777" w:rsidR="001A5AC8" w:rsidRPr="00635EAA" w:rsidRDefault="001A5AC8" w:rsidP="001A5AC8">
            <w:pPr>
              <w:pStyle w:val="TableParagraph"/>
              <w:spacing w:before="0"/>
              <w:ind w:left="79"/>
              <w:rPr>
                <w:rFonts w:ascii="Times New Roman" w:hAnsi="Times New Roman" w:cs="Times New Roman"/>
              </w:rPr>
            </w:pPr>
            <w:r w:rsidRPr="00635EAA">
              <w:rPr>
                <w:rFonts w:ascii="Times New Roman" w:hAnsi="Times New Roman" w:cs="Times New Roman"/>
                <w:color w:val="231F20"/>
                <w:spacing w:val="-2"/>
              </w:rPr>
              <w:t>Argentina</w:t>
            </w:r>
          </w:p>
        </w:tc>
        <w:tc>
          <w:tcPr>
            <w:tcW w:w="567" w:type="dxa"/>
          </w:tcPr>
          <w:p w14:paraId="7D934276" w14:textId="77777777" w:rsidR="001A5AC8" w:rsidRPr="00916B3A" w:rsidRDefault="001A5AC8" w:rsidP="001A5AC8">
            <w:pPr>
              <w:pStyle w:val="TableParagraph"/>
              <w:spacing w:before="0"/>
              <w:ind w:right="89"/>
              <w:jc w:val="right"/>
              <w:rPr>
                <w:rFonts w:ascii="Times New Roman" w:hAnsi="Times New Roman" w:cs="Times New Roman"/>
                <w:sz w:val="24"/>
                <w:szCs w:val="24"/>
              </w:rPr>
            </w:pPr>
            <w:r w:rsidRPr="00916B3A">
              <w:rPr>
                <w:rFonts w:ascii="Times New Roman" w:hAnsi="Times New Roman" w:cs="Times New Roman"/>
                <w:color w:val="231F20"/>
                <w:spacing w:val="-5"/>
                <w:sz w:val="24"/>
                <w:szCs w:val="24"/>
              </w:rPr>
              <w:t>29</w:t>
            </w:r>
          </w:p>
        </w:tc>
        <w:tc>
          <w:tcPr>
            <w:tcW w:w="1559" w:type="dxa"/>
          </w:tcPr>
          <w:p w14:paraId="1569AA32" w14:textId="77777777" w:rsidR="001A5AC8" w:rsidRPr="00916B3A" w:rsidRDefault="001A5AC8" w:rsidP="001A5AC8">
            <w:pPr>
              <w:pStyle w:val="TableParagraph"/>
              <w:spacing w:before="0"/>
              <w:ind w:left="8" w:right="3"/>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41.7±5.2</w:t>
            </w:r>
          </w:p>
        </w:tc>
        <w:tc>
          <w:tcPr>
            <w:tcW w:w="1701" w:type="dxa"/>
          </w:tcPr>
          <w:p w14:paraId="11B3076D" w14:textId="77777777" w:rsidR="001A5AC8" w:rsidRPr="00916B3A" w:rsidRDefault="001A5AC8" w:rsidP="001A5AC8">
            <w:pPr>
              <w:pStyle w:val="TableParagraph"/>
              <w:spacing w:before="0"/>
              <w:ind w:left="8" w:right="4"/>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24.8±5.1</w:t>
            </w:r>
          </w:p>
        </w:tc>
        <w:tc>
          <w:tcPr>
            <w:tcW w:w="3402" w:type="dxa"/>
          </w:tcPr>
          <w:p w14:paraId="1C308A1C" w14:textId="77777777" w:rsidR="001A5AC8" w:rsidRPr="00916B3A" w:rsidRDefault="001A5AC8" w:rsidP="001A5AC8">
            <w:pPr>
              <w:pStyle w:val="TableParagraph"/>
              <w:spacing w:before="0"/>
              <w:ind w:left="76"/>
              <w:rPr>
                <w:rFonts w:ascii="Times New Roman" w:hAnsi="Times New Roman" w:cs="Times New Roman"/>
                <w:sz w:val="24"/>
                <w:szCs w:val="24"/>
              </w:rPr>
            </w:pPr>
            <w:r w:rsidRPr="00916B3A">
              <w:rPr>
                <w:rFonts w:ascii="Times New Roman" w:hAnsi="Times New Roman" w:cs="Times New Roman"/>
                <w:color w:val="231F20"/>
                <w:spacing w:val="-2"/>
                <w:sz w:val="24"/>
                <w:szCs w:val="24"/>
              </w:rPr>
              <w:t>FET:</w:t>
            </w:r>
            <w:r w:rsidRPr="00916B3A">
              <w:rPr>
                <w:rFonts w:ascii="Times New Roman" w:hAnsi="Times New Roman" w:cs="Times New Roman"/>
                <w:color w:val="231F20"/>
                <w:spacing w:val="-8"/>
                <w:sz w:val="24"/>
                <w:szCs w:val="24"/>
              </w:rPr>
              <w:t xml:space="preserve"> </w:t>
            </w:r>
            <w:r w:rsidRPr="00916B3A">
              <w:rPr>
                <w:rFonts w:ascii="Times New Roman" w:hAnsi="Times New Roman" w:cs="Times New Roman"/>
                <w:color w:val="231F20"/>
                <w:spacing w:val="-2"/>
                <w:sz w:val="24"/>
                <w:szCs w:val="24"/>
              </w:rPr>
              <w:t>День лютеинизирующего гормона</w:t>
            </w:r>
          </w:p>
        </w:tc>
        <w:tc>
          <w:tcPr>
            <w:tcW w:w="1559" w:type="dxa"/>
          </w:tcPr>
          <w:p w14:paraId="0D2F1FC7" w14:textId="77777777" w:rsidR="001A5AC8" w:rsidRPr="00916B3A" w:rsidRDefault="001A5AC8" w:rsidP="001A5AC8">
            <w:pPr>
              <w:pStyle w:val="TableParagraph"/>
              <w:spacing w:before="0"/>
              <w:ind w:right="86"/>
              <w:jc w:val="right"/>
              <w:rPr>
                <w:rFonts w:ascii="Times New Roman" w:hAnsi="Times New Roman" w:cs="Times New Roman"/>
                <w:sz w:val="24"/>
                <w:szCs w:val="24"/>
              </w:rPr>
            </w:pPr>
            <w:r w:rsidRPr="00916B3A">
              <w:rPr>
                <w:rFonts w:ascii="Times New Roman" w:hAnsi="Times New Roman" w:cs="Times New Roman"/>
                <w:color w:val="231F20"/>
                <w:spacing w:val="-5"/>
                <w:sz w:val="24"/>
                <w:szCs w:val="24"/>
              </w:rPr>
              <w:t>&lt;7</w:t>
            </w:r>
          </w:p>
        </w:tc>
        <w:tc>
          <w:tcPr>
            <w:tcW w:w="1843" w:type="dxa"/>
          </w:tcPr>
          <w:p w14:paraId="63E2D355"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79.3%</w:t>
            </w:r>
          </w:p>
        </w:tc>
        <w:tc>
          <w:tcPr>
            <w:tcW w:w="2126" w:type="dxa"/>
          </w:tcPr>
          <w:p w14:paraId="0FD24D02"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34.5%</w:t>
            </w:r>
          </w:p>
        </w:tc>
      </w:tr>
      <w:tr w:rsidR="001A5AC8" w:rsidRPr="00916B3A" w14:paraId="7A1C7368" w14:textId="77777777" w:rsidTr="00F26644">
        <w:trPr>
          <w:trHeight w:val="502"/>
        </w:trPr>
        <w:tc>
          <w:tcPr>
            <w:tcW w:w="425" w:type="dxa"/>
          </w:tcPr>
          <w:p w14:paraId="7DDC3C09" w14:textId="77777777" w:rsidR="001A5AC8" w:rsidRPr="00916B3A" w:rsidRDefault="001A5AC8" w:rsidP="001A5AC8">
            <w:pPr>
              <w:pStyle w:val="TableParagraph"/>
              <w:spacing w:before="0"/>
              <w:ind w:right="16"/>
              <w:jc w:val="center"/>
              <w:rPr>
                <w:rFonts w:ascii="Times New Roman" w:hAnsi="Times New Roman" w:cs="Times New Roman"/>
                <w:sz w:val="24"/>
                <w:szCs w:val="24"/>
              </w:rPr>
            </w:pPr>
            <w:r w:rsidRPr="00916B3A">
              <w:rPr>
                <w:rFonts w:ascii="Times New Roman" w:hAnsi="Times New Roman" w:cs="Times New Roman"/>
                <w:color w:val="231F20"/>
                <w:spacing w:val="-5"/>
                <w:sz w:val="24"/>
                <w:szCs w:val="24"/>
              </w:rPr>
              <w:t>18</w:t>
            </w:r>
          </w:p>
        </w:tc>
        <w:tc>
          <w:tcPr>
            <w:tcW w:w="1276" w:type="dxa"/>
          </w:tcPr>
          <w:p w14:paraId="04F81990" w14:textId="07FF4FB0" w:rsidR="001A5AC8" w:rsidRPr="00635EAA" w:rsidRDefault="001A5AC8" w:rsidP="001A5AC8">
            <w:pPr>
              <w:pStyle w:val="TableParagraph"/>
              <w:spacing w:before="0"/>
              <w:ind w:left="79" w:right="175"/>
              <w:rPr>
                <w:rFonts w:ascii="Times New Roman" w:hAnsi="Times New Roman" w:cs="Times New Roman"/>
              </w:rPr>
            </w:pPr>
            <w:r w:rsidRPr="00635EAA">
              <w:rPr>
                <w:rFonts w:ascii="Times New Roman" w:hAnsi="Times New Roman" w:cs="Times New Roman"/>
                <w:color w:val="231F20"/>
                <w:spacing w:val="-4"/>
              </w:rPr>
              <w:t>Yurci</w:t>
            </w:r>
            <w:r w:rsidRPr="00635EAA">
              <w:rPr>
                <w:rFonts w:ascii="Times New Roman" w:hAnsi="Times New Roman" w:cs="Times New Roman"/>
                <w:color w:val="231F20"/>
                <w:spacing w:val="-6"/>
              </w:rPr>
              <w:t xml:space="preserve"> </w:t>
            </w:r>
            <w:r w:rsidRPr="00635EAA">
              <w:rPr>
                <w:rFonts w:ascii="Times New Roman" w:hAnsi="Times New Roman" w:cs="Times New Roman"/>
                <w:color w:val="231F20"/>
                <w:spacing w:val="-4"/>
              </w:rPr>
              <w:t>et</w:t>
            </w:r>
            <w:r w:rsidRPr="00635EAA">
              <w:rPr>
                <w:rFonts w:ascii="Times New Roman" w:hAnsi="Times New Roman" w:cs="Times New Roman"/>
                <w:color w:val="231F20"/>
                <w:spacing w:val="-6"/>
              </w:rPr>
              <w:t xml:space="preserve"> </w:t>
            </w:r>
            <w:r w:rsidRPr="00635EAA">
              <w:rPr>
                <w:rFonts w:ascii="Times New Roman" w:hAnsi="Times New Roman" w:cs="Times New Roman"/>
                <w:color w:val="231F20"/>
                <w:spacing w:val="-4"/>
              </w:rPr>
              <w:t>al.,</w:t>
            </w:r>
            <w:r w:rsidRPr="00635EAA">
              <w:rPr>
                <w:rFonts w:ascii="Times New Roman" w:hAnsi="Times New Roman" w:cs="Times New Roman"/>
                <w:color w:val="231F20"/>
                <w:spacing w:val="-6"/>
              </w:rPr>
              <w:t xml:space="preserve"> </w:t>
            </w:r>
            <w:r w:rsidRPr="00635EAA">
              <w:rPr>
                <w:rFonts w:ascii="Times New Roman" w:hAnsi="Times New Roman" w:cs="Times New Roman"/>
                <w:color w:val="231F20"/>
                <w:spacing w:val="-4"/>
              </w:rPr>
              <w:fldChar w:fldCharType="begin" w:fldLock="1"/>
            </w:r>
            <w:r w:rsidR="008C6800" w:rsidRPr="00635EAA">
              <w:rPr>
                <w:rFonts w:ascii="Times New Roman" w:hAnsi="Times New Roman" w:cs="Times New Roman"/>
                <w:color w:val="231F20"/>
                <w:spacing w:val="-4"/>
              </w:rPr>
              <w:instrText>ADDIN CSL_CITATION {"citationItems":[{"id":"ITEM-1","itemData":{"DOI":"10.5152/eurjther.2021.20102","author":[{"dropping-particle":"","family":"Yurci","given":"Arzu","non-dropping-particle":"","parse-names":false,"suffix":""},{"dropping-particle":"","family":"Dokuzeylul Gungor","given":"Nur","non-dropping-particle":"","parse-names":false,"suffix":""},{"dropping-particle":"","family":"Gurbuz","given":"Tugba","non-dropping-particle":"","parse-names":false,"suffix":""}],"container-title":"European Journal of Therapeutics","id":"ITEM-1","issue":"1","issued":{"date-parts":[["2021"]]},"page":"94-98","title":"High Endometrial Thickness Does not Affect IVF/ICSI Outcomes","type":"article-journal","volume":"27"},"uris":["http://www.mendeley.com/documents/?uuid=ae4204af-8f08-4f73-95dc-da9421c696cd"]}],"mendeley":{"formattedCitation":"[105]","plainTextFormattedCitation":"[105]","previouslyFormattedCitation":"(105)"},"properties":{"noteIndex":0},"schema":"https://github.com/citation-style-language/schema/raw/master/csl-citation.json"}</w:instrText>
            </w:r>
            <w:r w:rsidRPr="00635EAA">
              <w:rPr>
                <w:rFonts w:ascii="Times New Roman" w:hAnsi="Times New Roman" w:cs="Times New Roman"/>
                <w:color w:val="231F20"/>
                <w:spacing w:val="-4"/>
              </w:rPr>
              <w:fldChar w:fldCharType="separate"/>
            </w:r>
            <w:r w:rsidR="008C6800" w:rsidRPr="00635EAA">
              <w:rPr>
                <w:rFonts w:ascii="Times New Roman" w:hAnsi="Times New Roman" w:cs="Times New Roman"/>
                <w:noProof/>
                <w:color w:val="231F20"/>
                <w:spacing w:val="-4"/>
              </w:rPr>
              <w:t>[105</w:t>
            </w:r>
            <w:r w:rsidR="00635EAA" w:rsidRPr="00635EAA">
              <w:rPr>
                <w:rFonts w:ascii="Times New Roman" w:hAnsi="Times New Roman" w:cs="Times New Roman"/>
                <w:noProof/>
                <w:color w:val="231F20"/>
                <w:spacing w:val="-4"/>
              </w:rPr>
              <w:t>,</w:t>
            </w:r>
            <w:r w:rsidR="00635EAA" w:rsidRPr="00635EAA">
              <w:rPr>
                <w:rFonts w:ascii="Times New Roman" w:hAnsi="Times New Roman" w:cs="Times New Roman"/>
                <w:noProof/>
                <w:color w:val="231F20"/>
                <w:spacing w:val="-4"/>
                <w:lang w:val="ru-RU"/>
              </w:rPr>
              <w:t>с</w:t>
            </w:r>
            <w:r w:rsidR="00635EAA" w:rsidRPr="00635EAA">
              <w:rPr>
                <w:rFonts w:ascii="Times New Roman" w:hAnsi="Times New Roman" w:cs="Times New Roman"/>
                <w:noProof/>
                <w:color w:val="231F20"/>
                <w:spacing w:val="-4"/>
              </w:rPr>
              <w:t>.94</w:t>
            </w:r>
            <w:r w:rsidR="008C6800" w:rsidRPr="00635EAA">
              <w:rPr>
                <w:rFonts w:ascii="Times New Roman" w:hAnsi="Times New Roman" w:cs="Times New Roman"/>
                <w:noProof/>
                <w:color w:val="231F20"/>
                <w:spacing w:val="-4"/>
              </w:rPr>
              <w:t>]</w:t>
            </w:r>
            <w:r w:rsidRPr="00635EAA">
              <w:rPr>
                <w:rFonts w:ascii="Times New Roman" w:hAnsi="Times New Roman" w:cs="Times New Roman"/>
                <w:color w:val="231F20"/>
                <w:spacing w:val="-4"/>
              </w:rPr>
              <w:fldChar w:fldCharType="end"/>
            </w:r>
            <w:r w:rsidRPr="00635EAA">
              <w:rPr>
                <w:rFonts w:ascii="Times New Roman" w:hAnsi="Times New Roman" w:cs="Times New Roman"/>
                <w:color w:val="231F20"/>
                <w:spacing w:val="40"/>
              </w:rPr>
              <w:t xml:space="preserve"> </w:t>
            </w:r>
            <w:r w:rsidRPr="00635EAA">
              <w:rPr>
                <w:rFonts w:ascii="Times New Roman" w:hAnsi="Times New Roman" w:cs="Times New Roman"/>
                <w:color w:val="231F20"/>
              </w:rPr>
              <w:t>2021,</w:t>
            </w:r>
            <w:r w:rsidRPr="00635EAA">
              <w:rPr>
                <w:rFonts w:ascii="Times New Roman" w:hAnsi="Times New Roman" w:cs="Times New Roman"/>
                <w:color w:val="231F20"/>
                <w:spacing w:val="-10"/>
              </w:rPr>
              <w:t xml:space="preserve"> </w:t>
            </w:r>
            <w:r w:rsidRPr="00635EAA">
              <w:rPr>
                <w:rFonts w:ascii="Times New Roman" w:hAnsi="Times New Roman" w:cs="Times New Roman"/>
                <w:color w:val="231F20"/>
              </w:rPr>
              <w:t>Turkey</w:t>
            </w:r>
          </w:p>
        </w:tc>
        <w:tc>
          <w:tcPr>
            <w:tcW w:w="567" w:type="dxa"/>
          </w:tcPr>
          <w:p w14:paraId="3CF95931" w14:textId="77777777" w:rsidR="001A5AC8" w:rsidRPr="00916B3A" w:rsidRDefault="001A5AC8" w:rsidP="001A5AC8">
            <w:pPr>
              <w:pStyle w:val="TableParagraph"/>
              <w:spacing w:before="0"/>
              <w:ind w:right="89"/>
              <w:jc w:val="right"/>
              <w:rPr>
                <w:rFonts w:ascii="Times New Roman" w:hAnsi="Times New Roman" w:cs="Times New Roman"/>
                <w:sz w:val="24"/>
                <w:szCs w:val="24"/>
              </w:rPr>
            </w:pPr>
            <w:r w:rsidRPr="00916B3A">
              <w:rPr>
                <w:rFonts w:ascii="Times New Roman" w:hAnsi="Times New Roman" w:cs="Times New Roman"/>
                <w:color w:val="231F20"/>
                <w:spacing w:val="-5"/>
                <w:sz w:val="24"/>
                <w:szCs w:val="24"/>
              </w:rPr>
              <w:t>380</w:t>
            </w:r>
          </w:p>
        </w:tc>
        <w:tc>
          <w:tcPr>
            <w:tcW w:w="1559" w:type="dxa"/>
          </w:tcPr>
          <w:p w14:paraId="44DF8943" w14:textId="77777777" w:rsidR="001A5AC8" w:rsidRPr="00916B3A" w:rsidRDefault="001A5AC8" w:rsidP="001A5AC8">
            <w:pPr>
              <w:pStyle w:val="TableParagraph"/>
              <w:spacing w:before="0"/>
              <w:ind w:left="8" w:right="3"/>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28.9±4.8</w:t>
            </w:r>
          </w:p>
        </w:tc>
        <w:tc>
          <w:tcPr>
            <w:tcW w:w="1701" w:type="dxa"/>
          </w:tcPr>
          <w:p w14:paraId="4EA1AEB9" w14:textId="77777777" w:rsidR="001A5AC8" w:rsidRPr="00916B3A" w:rsidRDefault="001A5AC8" w:rsidP="001A5AC8">
            <w:pPr>
              <w:pStyle w:val="TableParagraph"/>
              <w:spacing w:before="0"/>
              <w:ind w:left="8" w:right="4"/>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26.2±2.7</w:t>
            </w:r>
          </w:p>
        </w:tc>
        <w:tc>
          <w:tcPr>
            <w:tcW w:w="3402" w:type="dxa"/>
          </w:tcPr>
          <w:p w14:paraId="2BB8D1D0" w14:textId="77777777" w:rsidR="001A5AC8" w:rsidRPr="00916B3A" w:rsidRDefault="001A5AC8" w:rsidP="001A5AC8">
            <w:pPr>
              <w:pStyle w:val="TableParagraph"/>
              <w:spacing w:before="0"/>
              <w:ind w:left="76"/>
              <w:rPr>
                <w:rFonts w:ascii="Times New Roman" w:hAnsi="Times New Roman" w:cs="Times New Roman"/>
                <w:sz w:val="24"/>
                <w:szCs w:val="24"/>
              </w:rPr>
            </w:pPr>
            <w:r w:rsidRPr="00916B3A">
              <w:rPr>
                <w:rFonts w:ascii="Times New Roman" w:hAnsi="Times New Roman" w:cs="Times New Roman"/>
                <w:color w:val="231F20"/>
                <w:sz w:val="24"/>
                <w:szCs w:val="24"/>
              </w:rPr>
              <w:t>Fresh:</w:t>
            </w:r>
            <w:r w:rsidRPr="00916B3A">
              <w:rPr>
                <w:rFonts w:ascii="Times New Roman" w:hAnsi="Times New Roman" w:cs="Times New Roman"/>
                <w:color w:val="231F20"/>
                <w:spacing w:val="6"/>
                <w:sz w:val="24"/>
                <w:szCs w:val="24"/>
              </w:rPr>
              <w:t xml:space="preserve"> </w:t>
            </w:r>
            <w:r w:rsidRPr="00916B3A">
              <w:rPr>
                <w:rFonts w:ascii="Times New Roman" w:hAnsi="Times New Roman" w:cs="Times New Roman"/>
                <w:color w:val="231F20"/>
                <w:sz w:val="24"/>
                <w:szCs w:val="24"/>
              </w:rPr>
              <w:t>введение ХГЧ</w:t>
            </w:r>
          </w:p>
        </w:tc>
        <w:tc>
          <w:tcPr>
            <w:tcW w:w="1559" w:type="dxa"/>
          </w:tcPr>
          <w:p w14:paraId="6C55F3E6" w14:textId="77777777" w:rsidR="001A5AC8" w:rsidRPr="00916B3A" w:rsidRDefault="001A5AC8" w:rsidP="001A5AC8">
            <w:pPr>
              <w:pStyle w:val="TableParagraph"/>
              <w:spacing w:before="0"/>
              <w:ind w:right="86"/>
              <w:jc w:val="right"/>
              <w:rPr>
                <w:rFonts w:ascii="Times New Roman" w:hAnsi="Times New Roman" w:cs="Times New Roman"/>
                <w:sz w:val="24"/>
                <w:szCs w:val="24"/>
              </w:rPr>
            </w:pPr>
            <w:r w:rsidRPr="00916B3A">
              <w:rPr>
                <w:rFonts w:ascii="Times New Roman" w:hAnsi="Times New Roman" w:cs="Times New Roman"/>
                <w:color w:val="231F20"/>
                <w:spacing w:val="-5"/>
                <w:sz w:val="24"/>
                <w:szCs w:val="24"/>
              </w:rPr>
              <w:t>&lt;15</w:t>
            </w:r>
          </w:p>
        </w:tc>
        <w:tc>
          <w:tcPr>
            <w:tcW w:w="1843" w:type="dxa"/>
          </w:tcPr>
          <w:p w14:paraId="387AA881"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61.5%</w:t>
            </w:r>
          </w:p>
        </w:tc>
        <w:tc>
          <w:tcPr>
            <w:tcW w:w="2126" w:type="dxa"/>
          </w:tcPr>
          <w:p w14:paraId="549F30B5"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49.0%</w:t>
            </w:r>
          </w:p>
        </w:tc>
      </w:tr>
      <w:tr w:rsidR="001A5AC8" w:rsidRPr="00916B3A" w14:paraId="6C6C33A7" w14:textId="77777777" w:rsidTr="00F26644">
        <w:trPr>
          <w:trHeight w:val="282"/>
        </w:trPr>
        <w:tc>
          <w:tcPr>
            <w:tcW w:w="425" w:type="dxa"/>
            <w:vMerge w:val="restart"/>
          </w:tcPr>
          <w:p w14:paraId="30844CF3" w14:textId="77777777" w:rsidR="001A5AC8" w:rsidRPr="00916B3A" w:rsidRDefault="001A5AC8" w:rsidP="001A5AC8">
            <w:pPr>
              <w:pStyle w:val="TableParagraph"/>
              <w:spacing w:before="0"/>
              <w:ind w:left="79"/>
              <w:rPr>
                <w:rFonts w:ascii="Times New Roman" w:hAnsi="Times New Roman" w:cs="Times New Roman"/>
                <w:sz w:val="24"/>
                <w:szCs w:val="24"/>
              </w:rPr>
            </w:pPr>
            <w:r w:rsidRPr="00916B3A">
              <w:rPr>
                <w:rFonts w:ascii="Times New Roman" w:hAnsi="Times New Roman" w:cs="Times New Roman"/>
                <w:color w:val="231F20"/>
                <w:spacing w:val="-5"/>
                <w:sz w:val="24"/>
                <w:szCs w:val="24"/>
              </w:rPr>
              <w:t>19</w:t>
            </w:r>
          </w:p>
        </w:tc>
        <w:tc>
          <w:tcPr>
            <w:tcW w:w="1276" w:type="dxa"/>
            <w:vMerge w:val="restart"/>
          </w:tcPr>
          <w:p w14:paraId="5E88DCF8" w14:textId="603CF2FA" w:rsidR="001A5AC8" w:rsidRPr="00635EAA" w:rsidRDefault="001A5AC8" w:rsidP="001A5AC8">
            <w:pPr>
              <w:pStyle w:val="TableParagraph"/>
              <w:spacing w:before="0"/>
              <w:ind w:left="79" w:right="91"/>
              <w:rPr>
                <w:rFonts w:ascii="Times New Roman" w:hAnsi="Times New Roman" w:cs="Times New Roman"/>
              </w:rPr>
            </w:pPr>
            <w:r w:rsidRPr="00635EAA">
              <w:rPr>
                <w:rFonts w:ascii="Times New Roman" w:hAnsi="Times New Roman" w:cs="Times New Roman"/>
                <w:color w:val="231F20"/>
                <w:spacing w:val="-2"/>
              </w:rPr>
              <w:t>Dogra</w:t>
            </w:r>
            <w:r w:rsidRPr="00635EAA">
              <w:rPr>
                <w:rFonts w:ascii="Times New Roman" w:hAnsi="Times New Roman" w:cs="Times New Roman"/>
                <w:color w:val="231F20"/>
                <w:spacing w:val="-8"/>
              </w:rPr>
              <w:t xml:space="preserve"> </w:t>
            </w:r>
            <w:r w:rsidRPr="00635EAA">
              <w:rPr>
                <w:rFonts w:ascii="Times New Roman" w:hAnsi="Times New Roman" w:cs="Times New Roman"/>
                <w:color w:val="231F20"/>
                <w:spacing w:val="-2"/>
              </w:rPr>
              <w:t>et</w:t>
            </w:r>
            <w:r w:rsidRPr="00635EAA">
              <w:rPr>
                <w:rFonts w:ascii="Times New Roman" w:hAnsi="Times New Roman" w:cs="Times New Roman"/>
                <w:color w:val="231F20"/>
                <w:spacing w:val="-8"/>
              </w:rPr>
              <w:t xml:space="preserve"> </w:t>
            </w:r>
            <w:r w:rsidRPr="00635EAA">
              <w:rPr>
                <w:rFonts w:ascii="Times New Roman" w:hAnsi="Times New Roman" w:cs="Times New Roman"/>
                <w:color w:val="231F20"/>
                <w:spacing w:val="-2"/>
              </w:rPr>
              <w:t>al.,</w:t>
            </w:r>
            <w:r w:rsidRPr="00635EAA">
              <w:rPr>
                <w:rFonts w:ascii="Times New Roman" w:hAnsi="Times New Roman" w:cs="Times New Roman"/>
                <w:color w:val="231F20"/>
                <w:spacing w:val="-8"/>
              </w:rPr>
              <w:t xml:space="preserve"> </w:t>
            </w:r>
            <w:r w:rsidRPr="00635EAA">
              <w:rPr>
                <w:rFonts w:ascii="Times New Roman" w:hAnsi="Times New Roman" w:cs="Times New Roman"/>
                <w:color w:val="231F20"/>
                <w:spacing w:val="-2"/>
              </w:rPr>
              <w:fldChar w:fldCharType="begin" w:fldLock="1"/>
            </w:r>
            <w:r w:rsidR="008C6800" w:rsidRPr="00635EAA">
              <w:rPr>
                <w:rFonts w:ascii="Times New Roman" w:hAnsi="Times New Roman" w:cs="Times New Roman"/>
                <w:color w:val="231F20"/>
                <w:spacing w:val="-2"/>
              </w:rPr>
              <w:instrText>ADDIN CSL_CITATION {"citationItems":[{"id":"ITEM-1","itemData":{"author":[{"dropping-particle":"","family":"Dogra","given":"Yogita","non-dropping-particle":"","parse-names":false,"suffix":""},{"dropping-particle":"","family":"Singh","given":"Neeta","non-dropping-particle":"","parse-names":false,"suffix":""},{"dropping-particle":"","family":"Vanamail","given":"Perumal","non-dropping-particle":"","parse-names":false,"suffix":""}],"container-title":"JBRA Assisted Reproduction","id":"ITEM-1","issue":"1","issued":{"date-parts":[["2022"]]},"page":"13","publisher":"Brazilian Society of Assisted Reproduction","title":"Autologous platelet-rich plasma optimizes endometrial thickness and pregnancy outcomes in women with refractory thin endometrium of varied aetiology during fresh and frozen-thawed embryo transfer cycles","type":"article-journal","volume":"26"},"uris":["http://www.mendeley.com/documents/?uuid=9767fce3-7146-409a-83c3-b6dd14c80646"]}],"mendeley":{"formattedCitation":"[110]","plainTextFormattedCitation":"[110]","previouslyFormattedCitation":"(110)"},"properties":{"noteIndex":0},"schema":"https://github.com/citation-style-language/schema/raw/master/csl-citation.json"}</w:instrText>
            </w:r>
            <w:r w:rsidRPr="00635EAA">
              <w:rPr>
                <w:rFonts w:ascii="Times New Roman" w:hAnsi="Times New Roman" w:cs="Times New Roman"/>
                <w:color w:val="231F20"/>
                <w:spacing w:val="-2"/>
              </w:rPr>
              <w:fldChar w:fldCharType="separate"/>
            </w:r>
            <w:r w:rsidR="008C6800" w:rsidRPr="00635EAA">
              <w:rPr>
                <w:rFonts w:ascii="Times New Roman" w:hAnsi="Times New Roman" w:cs="Times New Roman"/>
                <w:noProof/>
                <w:color w:val="231F20"/>
                <w:spacing w:val="-2"/>
              </w:rPr>
              <w:t>[110</w:t>
            </w:r>
            <w:r w:rsidR="00635EAA" w:rsidRPr="00635EAA">
              <w:rPr>
                <w:rFonts w:ascii="Times New Roman" w:hAnsi="Times New Roman" w:cs="Times New Roman"/>
                <w:noProof/>
                <w:color w:val="231F20"/>
                <w:spacing w:val="-2"/>
              </w:rPr>
              <w:t>,</w:t>
            </w:r>
            <w:r w:rsidR="00635EAA" w:rsidRPr="00635EAA">
              <w:rPr>
                <w:rFonts w:ascii="Times New Roman" w:hAnsi="Times New Roman" w:cs="Times New Roman"/>
                <w:noProof/>
                <w:color w:val="231F20"/>
                <w:spacing w:val="-2"/>
                <w:lang w:val="ru-RU"/>
              </w:rPr>
              <w:t>с</w:t>
            </w:r>
            <w:r w:rsidR="00635EAA" w:rsidRPr="00635EAA">
              <w:rPr>
                <w:rFonts w:ascii="Times New Roman" w:hAnsi="Times New Roman" w:cs="Times New Roman"/>
                <w:noProof/>
                <w:color w:val="231F20"/>
                <w:spacing w:val="-2"/>
              </w:rPr>
              <w:t>.13</w:t>
            </w:r>
            <w:r w:rsidR="008C6800" w:rsidRPr="00635EAA">
              <w:rPr>
                <w:rFonts w:ascii="Times New Roman" w:hAnsi="Times New Roman" w:cs="Times New Roman"/>
                <w:noProof/>
                <w:color w:val="231F20"/>
                <w:spacing w:val="-2"/>
              </w:rPr>
              <w:t>]</w:t>
            </w:r>
            <w:r w:rsidRPr="00635EAA">
              <w:rPr>
                <w:rFonts w:ascii="Times New Roman" w:hAnsi="Times New Roman" w:cs="Times New Roman"/>
                <w:color w:val="231F20"/>
                <w:spacing w:val="-2"/>
              </w:rPr>
              <w:fldChar w:fldCharType="end"/>
            </w:r>
            <w:r w:rsidRPr="00635EAA">
              <w:rPr>
                <w:rFonts w:ascii="Times New Roman" w:hAnsi="Times New Roman" w:cs="Times New Roman"/>
                <w:color w:val="231F20"/>
                <w:spacing w:val="40"/>
              </w:rPr>
              <w:t xml:space="preserve"> </w:t>
            </w:r>
            <w:r w:rsidRPr="00635EAA">
              <w:rPr>
                <w:rFonts w:ascii="Times New Roman" w:hAnsi="Times New Roman" w:cs="Times New Roman"/>
                <w:color w:val="231F20"/>
              </w:rPr>
              <w:t>2022,</w:t>
            </w:r>
            <w:r w:rsidRPr="00635EAA">
              <w:rPr>
                <w:rFonts w:ascii="Times New Roman" w:hAnsi="Times New Roman" w:cs="Times New Roman"/>
                <w:color w:val="231F20"/>
                <w:spacing w:val="-5"/>
              </w:rPr>
              <w:t xml:space="preserve"> </w:t>
            </w:r>
            <w:r w:rsidRPr="00635EAA">
              <w:rPr>
                <w:rFonts w:ascii="Times New Roman" w:hAnsi="Times New Roman" w:cs="Times New Roman"/>
                <w:color w:val="231F20"/>
              </w:rPr>
              <w:t>India</w:t>
            </w:r>
          </w:p>
        </w:tc>
        <w:tc>
          <w:tcPr>
            <w:tcW w:w="567" w:type="dxa"/>
            <w:vMerge w:val="restart"/>
          </w:tcPr>
          <w:p w14:paraId="4391F601" w14:textId="77777777" w:rsidR="001A5AC8" w:rsidRPr="00916B3A" w:rsidRDefault="001A5AC8" w:rsidP="001A5AC8">
            <w:pPr>
              <w:pStyle w:val="TableParagraph"/>
              <w:spacing w:before="0"/>
              <w:ind w:left="259"/>
              <w:rPr>
                <w:rFonts w:ascii="Times New Roman" w:hAnsi="Times New Roman" w:cs="Times New Roman"/>
                <w:sz w:val="24"/>
                <w:szCs w:val="24"/>
              </w:rPr>
            </w:pPr>
            <w:r w:rsidRPr="00916B3A">
              <w:rPr>
                <w:rFonts w:ascii="Times New Roman" w:hAnsi="Times New Roman" w:cs="Times New Roman"/>
                <w:color w:val="231F20"/>
                <w:spacing w:val="-5"/>
                <w:sz w:val="24"/>
                <w:szCs w:val="24"/>
              </w:rPr>
              <w:t>26</w:t>
            </w:r>
          </w:p>
        </w:tc>
        <w:tc>
          <w:tcPr>
            <w:tcW w:w="1559" w:type="dxa"/>
            <w:vMerge w:val="restart"/>
          </w:tcPr>
          <w:p w14:paraId="51974B05" w14:textId="77777777" w:rsidR="001A5AC8" w:rsidRPr="00916B3A" w:rsidRDefault="001A5AC8" w:rsidP="001A5AC8">
            <w:pPr>
              <w:pStyle w:val="TableParagraph"/>
              <w:spacing w:before="0"/>
              <w:ind w:left="275"/>
              <w:rPr>
                <w:rFonts w:ascii="Times New Roman" w:hAnsi="Times New Roman" w:cs="Times New Roman"/>
                <w:sz w:val="24"/>
                <w:szCs w:val="24"/>
              </w:rPr>
            </w:pPr>
            <w:r w:rsidRPr="00916B3A">
              <w:rPr>
                <w:rFonts w:ascii="Times New Roman" w:hAnsi="Times New Roman" w:cs="Times New Roman"/>
                <w:color w:val="231F20"/>
                <w:spacing w:val="-2"/>
                <w:sz w:val="24"/>
                <w:szCs w:val="24"/>
              </w:rPr>
              <w:t>32.4±3.9</w:t>
            </w:r>
          </w:p>
        </w:tc>
        <w:tc>
          <w:tcPr>
            <w:tcW w:w="1701" w:type="dxa"/>
            <w:vMerge w:val="restart"/>
          </w:tcPr>
          <w:p w14:paraId="3425E3AC" w14:textId="77777777" w:rsidR="001A5AC8" w:rsidRPr="00916B3A" w:rsidRDefault="001A5AC8" w:rsidP="001A5AC8">
            <w:pPr>
              <w:pStyle w:val="TableParagraph"/>
              <w:spacing w:before="0"/>
              <w:ind w:left="274"/>
              <w:rPr>
                <w:rFonts w:ascii="Times New Roman" w:hAnsi="Times New Roman" w:cs="Times New Roman"/>
                <w:sz w:val="24"/>
                <w:szCs w:val="24"/>
              </w:rPr>
            </w:pPr>
            <w:r w:rsidRPr="00916B3A">
              <w:rPr>
                <w:rFonts w:ascii="Times New Roman" w:hAnsi="Times New Roman" w:cs="Times New Roman"/>
                <w:color w:val="231F20"/>
                <w:spacing w:val="-2"/>
                <w:sz w:val="24"/>
                <w:szCs w:val="24"/>
              </w:rPr>
              <w:t>25.6±4.1</w:t>
            </w:r>
          </w:p>
        </w:tc>
        <w:tc>
          <w:tcPr>
            <w:tcW w:w="3402" w:type="dxa"/>
          </w:tcPr>
          <w:p w14:paraId="2C9C03B2" w14:textId="77777777" w:rsidR="001A5AC8" w:rsidRPr="00916B3A" w:rsidRDefault="001A5AC8" w:rsidP="001A5AC8">
            <w:pPr>
              <w:pStyle w:val="TableParagraph"/>
              <w:spacing w:before="0"/>
              <w:ind w:left="76"/>
              <w:rPr>
                <w:rFonts w:ascii="Times New Roman" w:hAnsi="Times New Roman" w:cs="Times New Roman"/>
                <w:sz w:val="24"/>
                <w:szCs w:val="24"/>
                <w:lang w:val="ru-RU"/>
              </w:rPr>
            </w:pPr>
            <w:r w:rsidRPr="00916B3A">
              <w:rPr>
                <w:rFonts w:ascii="Times New Roman" w:hAnsi="Times New Roman" w:cs="Times New Roman"/>
                <w:color w:val="231F20"/>
                <w:spacing w:val="-4"/>
                <w:sz w:val="24"/>
                <w:szCs w:val="24"/>
              </w:rPr>
              <w:t>Fresh:</w:t>
            </w:r>
            <w:r w:rsidRPr="00916B3A">
              <w:rPr>
                <w:rFonts w:ascii="Times New Roman" w:hAnsi="Times New Roman" w:cs="Times New Roman"/>
                <w:color w:val="231F20"/>
                <w:spacing w:val="-3"/>
                <w:sz w:val="24"/>
                <w:szCs w:val="24"/>
              </w:rPr>
              <w:t xml:space="preserve"> </w:t>
            </w:r>
            <w:r w:rsidRPr="00916B3A">
              <w:rPr>
                <w:rFonts w:ascii="Times New Roman" w:hAnsi="Times New Roman" w:cs="Times New Roman"/>
                <w:color w:val="231F20"/>
                <w:spacing w:val="-4"/>
                <w:sz w:val="24"/>
                <w:szCs w:val="24"/>
                <w:lang w:val="ru-RU"/>
              </w:rPr>
              <w:t>8 день</w:t>
            </w:r>
          </w:p>
        </w:tc>
        <w:tc>
          <w:tcPr>
            <w:tcW w:w="1559" w:type="dxa"/>
            <w:vMerge w:val="restart"/>
          </w:tcPr>
          <w:p w14:paraId="78467EB4" w14:textId="77777777" w:rsidR="001A5AC8" w:rsidRPr="00916B3A" w:rsidRDefault="001A5AC8" w:rsidP="001A5AC8">
            <w:pPr>
              <w:pStyle w:val="TableParagraph"/>
              <w:spacing w:before="0"/>
              <w:ind w:left="175"/>
              <w:rPr>
                <w:rFonts w:ascii="Times New Roman" w:hAnsi="Times New Roman" w:cs="Times New Roman"/>
                <w:sz w:val="24"/>
                <w:szCs w:val="24"/>
              </w:rPr>
            </w:pPr>
            <w:r w:rsidRPr="00916B3A">
              <w:rPr>
                <w:rFonts w:ascii="Times New Roman" w:hAnsi="Times New Roman" w:cs="Times New Roman"/>
                <w:color w:val="231F20"/>
                <w:spacing w:val="-5"/>
                <w:sz w:val="24"/>
                <w:szCs w:val="24"/>
              </w:rPr>
              <w:t>&lt;7</w:t>
            </w:r>
          </w:p>
        </w:tc>
        <w:tc>
          <w:tcPr>
            <w:tcW w:w="1843" w:type="dxa"/>
          </w:tcPr>
          <w:p w14:paraId="4377C4B0"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25.0%</w:t>
            </w:r>
          </w:p>
        </w:tc>
        <w:tc>
          <w:tcPr>
            <w:tcW w:w="2126" w:type="dxa"/>
          </w:tcPr>
          <w:p w14:paraId="64C1732B"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33.3%</w:t>
            </w:r>
          </w:p>
        </w:tc>
      </w:tr>
      <w:tr w:rsidR="001A5AC8" w:rsidRPr="00916B3A" w14:paraId="28C4CAC1" w14:textId="77777777" w:rsidTr="00F26644">
        <w:trPr>
          <w:trHeight w:val="282"/>
        </w:trPr>
        <w:tc>
          <w:tcPr>
            <w:tcW w:w="425" w:type="dxa"/>
            <w:vMerge/>
            <w:tcBorders>
              <w:top w:val="nil"/>
            </w:tcBorders>
          </w:tcPr>
          <w:p w14:paraId="0E067140" w14:textId="77777777" w:rsidR="001A5AC8" w:rsidRPr="00916B3A" w:rsidRDefault="001A5AC8" w:rsidP="001A5AC8">
            <w:pPr>
              <w:rPr>
                <w:rFonts w:ascii="Times New Roman" w:hAnsi="Times New Roman" w:cs="Times New Roman"/>
                <w:sz w:val="24"/>
                <w:szCs w:val="24"/>
              </w:rPr>
            </w:pPr>
          </w:p>
        </w:tc>
        <w:tc>
          <w:tcPr>
            <w:tcW w:w="1276" w:type="dxa"/>
            <w:vMerge/>
            <w:tcBorders>
              <w:top w:val="nil"/>
            </w:tcBorders>
          </w:tcPr>
          <w:p w14:paraId="2833672A" w14:textId="77777777" w:rsidR="001A5AC8" w:rsidRPr="00635EAA" w:rsidRDefault="001A5AC8" w:rsidP="001A5AC8">
            <w:pPr>
              <w:rPr>
                <w:rFonts w:ascii="Times New Roman" w:hAnsi="Times New Roman" w:cs="Times New Roman"/>
              </w:rPr>
            </w:pPr>
          </w:p>
        </w:tc>
        <w:tc>
          <w:tcPr>
            <w:tcW w:w="567" w:type="dxa"/>
            <w:vMerge/>
            <w:tcBorders>
              <w:top w:val="nil"/>
            </w:tcBorders>
          </w:tcPr>
          <w:p w14:paraId="5709719A" w14:textId="77777777" w:rsidR="001A5AC8" w:rsidRPr="00916B3A" w:rsidRDefault="001A5AC8" w:rsidP="001A5AC8">
            <w:pPr>
              <w:rPr>
                <w:rFonts w:ascii="Times New Roman" w:hAnsi="Times New Roman" w:cs="Times New Roman"/>
                <w:sz w:val="24"/>
                <w:szCs w:val="24"/>
              </w:rPr>
            </w:pPr>
          </w:p>
        </w:tc>
        <w:tc>
          <w:tcPr>
            <w:tcW w:w="1559" w:type="dxa"/>
            <w:vMerge/>
            <w:tcBorders>
              <w:top w:val="nil"/>
            </w:tcBorders>
          </w:tcPr>
          <w:p w14:paraId="2057F564" w14:textId="77777777" w:rsidR="001A5AC8" w:rsidRPr="00916B3A" w:rsidRDefault="001A5AC8" w:rsidP="001A5AC8">
            <w:pPr>
              <w:rPr>
                <w:rFonts w:ascii="Times New Roman" w:hAnsi="Times New Roman" w:cs="Times New Roman"/>
                <w:sz w:val="24"/>
                <w:szCs w:val="24"/>
              </w:rPr>
            </w:pPr>
          </w:p>
        </w:tc>
        <w:tc>
          <w:tcPr>
            <w:tcW w:w="1701" w:type="dxa"/>
            <w:vMerge/>
            <w:tcBorders>
              <w:top w:val="nil"/>
            </w:tcBorders>
          </w:tcPr>
          <w:p w14:paraId="696DCC00" w14:textId="77777777" w:rsidR="001A5AC8" w:rsidRPr="00916B3A" w:rsidRDefault="001A5AC8" w:rsidP="001A5AC8">
            <w:pPr>
              <w:rPr>
                <w:rFonts w:ascii="Times New Roman" w:hAnsi="Times New Roman" w:cs="Times New Roman"/>
                <w:sz w:val="24"/>
                <w:szCs w:val="24"/>
              </w:rPr>
            </w:pPr>
          </w:p>
        </w:tc>
        <w:tc>
          <w:tcPr>
            <w:tcW w:w="3402" w:type="dxa"/>
          </w:tcPr>
          <w:p w14:paraId="34381190" w14:textId="77777777" w:rsidR="001A5AC8" w:rsidRPr="00916B3A" w:rsidRDefault="001A5AC8" w:rsidP="001A5AC8">
            <w:pPr>
              <w:pStyle w:val="TableParagraph"/>
              <w:spacing w:before="0"/>
              <w:ind w:left="76"/>
              <w:rPr>
                <w:rFonts w:ascii="Times New Roman" w:hAnsi="Times New Roman" w:cs="Times New Roman"/>
                <w:sz w:val="24"/>
                <w:szCs w:val="24"/>
                <w:lang w:val="ru-RU"/>
              </w:rPr>
            </w:pPr>
            <w:r w:rsidRPr="00916B3A">
              <w:rPr>
                <w:rFonts w:ascii="Times New Roman" w:hAnsi="Times New Roman" w:cs="Times New Roman"/>
                <w:color w:val="231F20"/>
                <w:sz w:val="24"/>
                <w:szCs w:val="24"/>
              </w:rPr>
              <w:t>FET:</w:t>
            </w:r>
            <w:r w:rsidRPr="00916B3A">
              <w:rPr>
                <w:rFonts w:ascii="Times New Roman" w:hAnsi="Times New Roman" w:cs="Times New Roman"/>
                <w:color w:val="231F20"/>
                <w:spacing w:val="12"/>
                <w:sz w:val="24"/>
                <w:szCs w:val="24"/>
              </w:rPr>
              <w:t xml:space="preserve"> </w:t>
            </w:r>
            <w:r w:rsidRPr="00916B3A">
              <w:rPr>
                <w:rFonts w:ascii="Times New Roman" w:hAnsi="Times New Roman" w:cs="Times New Roman"/>
                <w:color w:val="231F20"/>
                <w:sz w:val="24"/>
                <w:szCs w:val="24"/>
                <w:lang w:val="ru-RU"/>
              </w:rPr>
              <w:t>8 день</w:t>
            </w:r>
          </w:p>
        </w:tc>
        <w:tc>
          <w:tcPr>
            <w:tcW w:w="1559" w:type="dxa"/>
            <w:vMerge/>
            <w:tcBorders>
              <w:top w:val="nil"/>
            </w:tcBorders>
          </w:tcPr>
          <w:p w14:paraId="66069AED" w14:textId="77777777" w:rsidR="001A5AC8" w:rsidRPr="00916B3A" w:rsidRDefault="001A5AC8" w:rsidP="001A5AC8">
            <w:pPr>
              <w:rPr>
                <w:rFonts w:ascii="Times New Roman" w:hAnsi="Times New Roman" w:cs="Times New Roman"/>
                <w:sz w:val="24"/>
                <w:szCs w:val="24"/>
              </w:rPr>
            </w:pPr>
          </w:p>
        </w:tc>
        <w:tc>
          <w:tcPr>
            <w:tcW w:w="1843" w:type="dxa"/>
          </w:tcPr>
          <w:p w14:paraId="2672593B"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25.0%</w:t>
            </w:r>
          </w:p>
        </w:tc>
        <w:tc>
          <w:tcPr>
            <w:tcW w:w="2126" w:type="dxa"/>
          </w:tcPr>
          <w:p w14:paraId="0BD5EBD4" w14:textId="77777777" w:rsidR="001A5AC8" w:rsidRPr="00916B3A" w:rsidRDefault="001A5AC8" w:rsidP="001A5AC8">
            <w:pPr>
              <w:pStyle w:val="TableParagraph"/>
              <w:spacing w:before="0"/>
              <w:jc w:val="center"/>
              <w:rPr>
                <w:rFonts w:ascii="Times New Roman" w:hAnsi="Times New Roman" w:cs="Times New Roman"/>
                <w:sz w:val="24"/>
                <w:szCs w:val="24"/>
              </w:rPr>
            </w:pPr>
            <w:r w:rsidRPr="00916B3A">
              <w:rPr>
                <w:rFonts w:ascii="Times New Roman" w:hAnsi="Times New Roman" w:cs="Times New Roman"/>
                <w:color w:val="231F20"/>
                <w:spacing w:val="-4"/>
                <w:sz w:val="24"/>
                <w:szCs w:val="24"/>
              </w:rPr>
              <w:t>9.1%</w:t>
            </w:r>
          </w:p>
        </w:tc>
      </w:tr>
      <w:tr w:rsidR="001A5AC8" w:rsidRPr="00916B3A" w14:paraId="1381C7B5" w14:textId="77777777" w:rsidTr="00F26644">
        <w:trPr>
          <w:trHeight w:val="722"/>
        </w:trPr>
        <w:tc>
          <w:tcPr>
            <w:tcW w:w="425" w:type="dxa"/>
          </w:tcPr>
          <w:p w14:paraId="20A3246F" w14:textId="77777777" w:rsidR="001A5AC8" w:rsidRPr="00916B3A" w:rsidRDefault="001A5AC8" w:rsidP="001A5AC8">
            <w:pPr>
              <w:pStyle w:val="TableParagraph"/>
              <w:spacing w:before="0"/>
              <w:ind w:right="16"/>
              <w:jc w:val="center"/>
              <w:rPr>
                <w:rFonts w:ascii="Times New Roman" w:hAnsi="Times New Roman" w:cs="Times New Roman"/>
                <w:sz w:val="24"/>
                <w:szCs w:val="24"/>
              </w:rPr>
            </w:pPr>
            <w:r w:rsidRPr="00916B3A">
              <w:rPr>
                <w:rFonts w:ascii="Times New Roman" w:hAnsi="Times New Roman" w:cs="Times New Roman"/>
                <w:color w:val="231F20"/>
                <w:spacing w:val="-5"/>
                <w:sz w:val="24"/>
                <w:szCs w:val="24"/>
              </w:rPr>
              <w:t>20</w:t>
            </w:r>
          </w:p>
        </w:tc>
        <w:tc>
          <w:tcPr>
            <w:tcW w:w="1276" w:type="dxa"/>
          </w:tcPr>
          <w:p w14:paraId="2DB97364" w14:textId="77777777" w:rsidR="001A5AC8" w:rsidRPr="00635EAA" w:rsidRDefault="001A5AC8" w:rsidP="001A5AC8">
            <w:pPr>
              <w:pStyle w:val="TableParagraph"/>
              <w:spacing w:before="0"/>
              <w:ind w:left="79"/>
              <w:rPr>
                <w:rFonts w:ascii="Times New Roman" w:hAnsi="Times New Roman" w:cs="Times New Roman"/>
              </w:rPr>
            </w:pPr>
            <w:r w:rsidRPr="00635EAA">
              <w:rPr>
                <w:rFonts w:ascii="Times New Roman" w:hAnsi="Times New Roman" w:cs="Times New Roman"/>
                <w:color w:val="231F20"/>
                <w:spacing w:val="-4"/>
              </w:rPr>
              <w:t>Russell</w:t>
            </w:r>
            <w:r w:rsidRPr="00635EAA">
              <w:rPr>
                <w:rFonts w:ascii="Times New Roman" w:hAnsi="Times New Roman" w:cs="Times New Roman"/>
                <w:color w:val="231F20"/>
                <w:spacing w:val="-5"/>
              </w:rPr>
              <w:t xml:space="preserve"> </w:t>
            </w:r>
            <w:r w:rsidRPr="00635EAA">
              <w:rPr>
                <w:rFonts w:ascii="Times New Roman" w:hAnsi="Times New Roman" w:cs="Times New Roman"/>
                <w:color w:val="231F20"/>
                <w:spacing w:val="-4"/>
              </w:rPr>
              <w:t>et</w:t>
            </w:r>
            <w:r w:rsidRPr="00635EAA">
              <w:rPr>
                <w:rFonts w:ascii="Times New Roman" w:hAnsi="Times New Roman" w:cs="Times New Roman"/>
                <w:color w:val="231F20"/>
                <w:spacing w:val="-5"/>
              </w:rPr>
              <w:t xml:space="preserve"> </w:t>
            </w:r>
            <w:r w:rsidRPr="00635EAA">
              <w:rPr>
                <w:rFonts w:ascii="Times New Roman" w:hAnsi="Times New Roman" w:cs="Times New Roman"/>
                <w:color w:val="231F20"/>
                <w:spacing w:val="-4"/>
              </w:rPr>
              <w:t>al.,</w:t>
            </w:r>
          </w:p>
          <w:p w14:paraId="3E8C9E97" w14:textId="11326CA7" w:rsidR="001A5AC8" w:rsidRPr="00635EAA" w:rsidRDefault="001A5AC8" w:rsidP="001A5AC8">
            <w:pPr>
              <w:pStyle w:val="TableParagraph"/>
              <w:spacing w:before="0"/>
              <w:ind w:left="79"/>
              <w:rPr>
                <w:rFonts w:ascii="Times New Roman" w:hAnsi="Times New Roman" w:cs="Times New Roman"/>
                <w:lang w:val="ru-RU"/>
              </w:rPr>
            </w:pPr>
            <w:r w:rsidRPr="00635EAA">
              <w:rPr>
                <w:rFonts w:ascii="Times New Roman" w:hAnsi="Times New Roman" w:cs="Times New Roman"/>
                <w:color w:val="231F20"/>
                <w:w w:val="90"/>
              </w:rPr>
              <w:fldChar w:fldCharType="begin" w:fldLock="1"/>
            </w:r>
            <w:r w:rsidR="008C6800" w:rsidRPr="00635EAA">
              <w:rPr>
                <w:rFonts w:ascii="Times New Roman" w:hAnsi="Times New Roman" w:cs="Times New Roman"/>
                <w:color w:val="231F20"/>
                <w:w w:val="90"/>
              </w:rPr>
              <w:instrText>ADDIN CSL_CITATION {"citationItems":[{"id":"ITEM-1","itemData":{"DOI":"10.1007/s10815-022-02505-0","ISBN":"0123456789","ISSN":"15737330","PMID":"35508692","abstract":"Purpose: The aim of this study was to evaluate the effects of intrauterine platelet-rich plasma (PRP) infusion on endometrial thickness and pregnancy outcomes in a population of patients with either recurrent implantation failure (RIF), thin endometrium (TE), or both (RIF + TE) Methods: This retrospective study included patients attending the CReATe Fertility Centre between October 2018 and July 2021 who received intrauterine PRP infusion to prepare the endometrium for frozen embryo transfer. PRP was prepared from 21 cc of whole blood using the 2-step centrifugation method to yield 0.5–0.75 cc of concentrated platelets. Endometrial thickness was measured before infusion and within 72 h after infusion. All embryos transferred were tested for genetic abnormalities using next-generation sequencing. Results: A total of 85 patients, 133 cycles, and 211 infusions were included. The majority of patients (56.5%) were diagnosed with RIF, some with TE (27.0%), and the remainder with both RIF and TE (16.5%). The majority of patients received one PRP infusion per cycle (55%). The endometrial thickness significantly increased across all diagnoses with a significant increase of 1.0 mm (0.5–1.7), which was also significantly greater than in previous cycles. The clinical pregnancy rate per embryo transfer after intrauterine PRP infusion was significantly greater compared to previous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cycles</w:instrText>
            </w:r>
            <w:r w:rsidR="008C6800" w:rsidRPr="00635EAA">
              <w:rPr>
                <w:rFonts w:ascii="Times New Roman" w:hAnsi="Times New Roman" w:cs="Times New Roman"/>
                <w:color w:val="231F20"/>
                <w:w w:val="90"/>
                <w:lang w:val="ru-RU"/>
              </w:rPr>
              <w:instrText xml:space="preserve"> (37% </w:instrText>
            </w:r>
            <w:r w:rsidR="008C6800" w:rsidRPr="00635EAA">
              <w:rPr>
                <w:rFonts w:ascii="Times New Roman" w:hAnsi="Times New Roman" w:cs="Times New Roman"/>
                <w:color w:val="231F20"/>
                <w:w w:val="90"/>
              </w:rPr>
              <w:instrText>vs</w:instrText>
            </w:r>
            <w:r w:rsidR="008C6800" w:rsidRPr="00635EAA">
              <w:rPr>
                <w:rFonts w:ascii="Times New Roman" w:hAnsi="Times New Roman" w:cs="Times New Roman"/>
                <w:color w:val="231F20"/>
                <w:w w:val="90"/>
                <w:lang w:val="ru-RU"/>
              </w:rPr>
              <w:instrText xml:space="preserve"> 20%, </w:instrText>
            </w:r>
            <w:r w:rsidR="008C6800" w:rsidRPr="00635EAA">
              <w:rPr>
                <w:rFonts w:ascii="Times New Roman" w:hAnsi="Times New Roman" w:cs="Times New Roman"/>
                <w:color w:val="231F20"/>
                <w:w w:val="90"/>
              </w:rPr>
              <w:instrText>odds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ratio</w:instrText>
            </w:r>
            <w:r w:rsidR="008C6800" w:rsidRPr="00635EAA">
              <w:rPr>
                <w:rFonts w:ascii="Times New Roman" w:hAnsi="Times New Roman" w:cs="Times New Roman"/>
                <w:color w:val="231F20"/>
                <w:w w:val="90"/>
                <w:lang w:val="ru-RU"/>
              </w:rPr>
              <w:instrText xml:space="preserve"> 2.2) </w:instrText>
            </w:r>
            <w:r w:rsidR="008C6800" w:rsidRPr="00635EAA">
              <w:rPr>
                <w:rFonts w:ascii="Times New Roman" w:hAnsi="Times New Roman" w:cs="Times New Roman"/>
                <w:color w:val="231F20"/>
                <w:w w:val="90"/>
              </w:rPr>
              <w:instrText>as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was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the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live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birth</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rate</w:instrText>
            </w:r>
            <w:r w:rsidR="008C6800" w:rsidRPr="00635EAA">
              <w:rPr>
                <w:rFonts w:ascii="Times New Roman" w:hAnsi="Times New Roman" w:cs="Times New Roman"/>
                <w:color w:val="231F20"/>
                <w:w w:val="90"/>
                <w:lang w:val="ru-RU"/>
              </w:rPr>
              <w:instrText xml:space="preserve"> (19% </w:instrText>
            </w:r>
            <w:r w:rsidR="008C6800" w:rsidRPr="00635EAA">
              <w:rPr>
                <w:rFonts w:ascii="Times New Roman" w:hAnsi="Times New Roman" w:cs="Times New Roman"/>
                <w:color w:val="231F20"/>
                <w:w w:val="90"/>
              </w:rPr>
              <w:instrText>vs</w:instrText>
            </w:r>
            <w:r w:rsidR="008C6800" w:rsidRPr="00635EAA">
              <w:rPr>
                <w:rFonts w:ascii="Times New Roman" w:hAnsi="Times New Roman" w:cs="Times New Roman"/>
                <w:color w:val="231F20"/>
                <w:w w:val="90"/>
                <w:lang w:val="ru-RU"/>
              </w:rPr>
              <w:instrText xml:space="preserve"> 2%, </w:instrText>
            </w:r>
            <w:r w:rsidR="008C6800" w:rsidRPr="00635EAA">
              <w:rPr>
                <w:rFonts w:ascii="Times New Roman" w:hAnsi="Times New Roman" w:cs="Times New Roman"/>
                <w:color w:val="231F20"/>
                <w:w w:val="90"/>
              </w:rPr>
              <w:instrText>odds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ratio</w:instrText>
            </w:r>
            <w:r w:rsidR="008C6800" w:rsidRPr="00635EAA">
              <w:rPr>
                <w:rFonts w:ascii="Times New Roman" w:hAnsi="Times New Roman" w:cs="Times New Roman"/>
                <w:color w:val="231F20"/>
                <w:w w:val="90"/>
                <w:lang w:val="ru-RU"/>
              </w:rPr>
              <w:instrText xml:space="preserve"> 11.6). </w:instrText>
            </w:r>
            <w:r w:rsidR="008C6800" w:rsidRPr="00635EAA">
              <w:rPr>
                <w:rFonts w:ascii="Times New Roman" w:hAnsi="Times New Roman" w:cs="Times New Roman"/>
                <w:color w:val="231F20"/>
                <w:w w:val="90"/>
              </w:rPr>
              <w:instrText>Conclusion</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Our</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study</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suggests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that</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PRP</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should</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be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considered</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a</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noninvasive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front</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line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therapy</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for</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improving</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endometrial</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thickness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and</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implantation</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in</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patients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with</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RIF</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a</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or</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both</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author</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dropping</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particle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family</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Russell</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given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Stewart</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J</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non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dropping</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particle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parse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names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false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suffix</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dropping</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particle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family</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Kwok</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given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Yat</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Sze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Sheila</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non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dropping</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particle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parse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names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false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suffix</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dropping</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particle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family</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Nguyen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given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Tina</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Tu</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Thu</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Ngoc</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non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dropping</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particle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parse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names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false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suffix</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dropping</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particle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family</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Librach</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given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Clifford</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non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dropping</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particle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parse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names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false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suffix</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container</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title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Journal</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of</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Assisted</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Reproduction</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and</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Genetics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id</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ITEM</w:instrText>
            </w:r>
            <w:r w:rsidR="008C6800" w:rsidRPr="00635EAA">
              <w:rPr>
                <w:rFonts w:ascii="Times New Roman" w:hAnsi="Times New Roman" w:cs="Times New Roman"/>
                <w:color w:val="231F20"/>
                <w:w w:val="90"/>
                <w:lang w:val="ru-RU"/>
              </w:rPr>
              <w:instrText>-1","</w:instrText>
            </w:r>
            <w:r w:rsidR="008C6800" w:rsidRPr="00635EAA">
              <w:rPr>
                <w:rFonts w:ascii="Times New Roman" w:hAnsi="Times New Roman" w:cs="Times New Roman"/>
                <w:color w:val="231F20"/>
                <w:w w:val="90"/>
              </w:rPr>
              <w:instrText>issue</w:instrText>
            </w:r>
            <w:r w:rsidR="008C6800" w:rsidRPr="00635EAA">
              <w:rPr>
                <w:rFonts w:ascii="Times New Roman" w:hAnsi="Times New Roman" w:cs="Times New Roman"/>
                <w:color w:val="231F20"/>
                <w:w w:val="90"/>
                <w:lang w:val="ru-RU"/>
              </w:rPr>
              <w:instrText>":"6","</w:instrText>
            </w:r>
            <w:r w:rsidR="008C6800" w:rsidRPr="00635EAA">
              <w:rPr>
                <w:rFonts w:ascii="Times New Roman" w:hAnsi="Times New Roman" w:cs="Times New Roman"/>
                <w:color w:val="231F20"/>
                <w:w w:val="90"/>
              </w:rPr>
              <w:instrText>issued</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date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parts</w:instrText>
            </w:r>
            <w:r w:rsidR="008C6800" w:rsidRPr="00635EAA">
              <w:rPr>
                <w:rFonts w:ascii="Times New Roman" w:hAnsi="Times New Roman" w:cs="Times New Roman"/>
                <w:color w:val="231F20"/>
                <w:w w:val="90"/>
                <w:lang w:val="ru-RU"/>
              </w:rPr>
              <w:instrText>":[["2022"]]},"</w:instrText>
            </w:r>
            <w:r w:rsidR="008C6800" w:rsidRPr="00635EAA">
              <w:rPr>
                <w:rFonts w:ascii="Times New Roman" w:hAnsi="Times New Roman" w:cs="Times New Roman"/>
                <w:color w:val="231F20"/>
                <w:w w:val="90"/>
              </w:rPr>
              <w:instrText>page</w:instrText>
            </w:r>
            <w:r w:rsidR="008C6800" w:rsidRPr="00635EAA">
              <w:rPr>
                <w:rFonts w:ascii="Times New Roman" w:hAnsi="Times New Roman" w:cs="Times New Roman"/>
                <w:color w:val="231F20"/>
                <w:w w:val="90"/>
                <w:lang w:val="ru-RU"/>
              </w:rPr>
              <w:instrText>":"1305-1312","</w:instrText>
            </w:r>
            <w:r w:rsidR="008C6800" w:rsidRPr="00635EAA">
              <w:rPr>
                <w:rFonts w:ascii="Times New Roman" w:hAnsi="Times New Roman" w:cs="Times New Roman"/>
                <w:color w:val="231F20"/>
                <w:w w:val="90"/>
              </w:rPr>
              <w:instrText>publisher</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Springer</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US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title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Autologous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platelet</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rich</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plasma</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improves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the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endometrial</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thickness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and</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live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birth rate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in</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patients</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with</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recurrent</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implantation</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failure</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and</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thin</w:instrText>
            </w:r>
            <w:r w:rsidR="008C6800" w:rsidRPr="00635EAA">
              <w:rPr>
                <w:rFonts w:ascii="Times New Roman" w:hAnsi="Times New Roman" w:cs="Times New Roman"/>
                <w:color w:val="231F20"/>
                <w:w w:val="90"/>
                <w:lang w:val="ru-RU"/>
              </w:rPr>
              <w:instrText xml:space="preserve"> </w:instrText>
            </w:r>
            <w:r w:rsidR="008C6800" w:rsidRPr="00635EAA">
              <w:rPr>
                <w:rFonts w:ascii="Times New Roman" w:hAnsi="Times New Roman" w:cs="Times New Roman"/>
                <w:color w:val="231F20"/>
                <w:w w:val="90"/>
              </w:rPr>
              <w:instrText>endometrium</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type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article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journal</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volume</w:instrText>
            </w:r>
            <w:r w:rsidR="008C6800" w:rsidRPr="00635EAA">
              <w:rPr>
                <w:rFonts w:ascii="Times New Roman" w:hAnsi="Times New Roman" w:cs="Times New Roman"/>
                <w:color w:val="231F20"/>
                <w:w w:val="90"/>
                <w:lang w:val="ru-RU"/>
              </w:rPr>
              <w:instrText>":"39"},"</w:instrText>
            </w:r>
            <w:r w:rsidR="008C6800" w:rsidRPr="00635EAA">
              <w:rPr>
                <w:rFonts w:ascii="Times New Roman" w:hAnsi="Times New Roman" w:cs="Times New Roman"/>
                <w:color w:val="231F20"/>
                <w:w w:val="90"/>
              </w:rPr>
              <w:instrText>uris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http</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www</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mendeley</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com</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documents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uuid</w:instrText>
            </w:r>
            <w:r w:rsidR="008C6800" w:rsidRPr="00635EAA">
              <w:rPr>
                <w:rFonts w:ascii="Times New Roman" w:hAnsi="Times New Roman" w:cs="Times New Roman"/>
                <w:color w:val="231F20"/>
                <w:w w:val="90"/>
                <w:lang w:val="ru-RU"/>
              </w:rPr>
              <w:instrText>=2</w:instrText>
            </w:r>
            <w:r w:rsidR="008C6800" w:rsidRPr="00635EAA">
              <w:rPr>
                <w:rFonts w:ascii="Times New Roman" w:hAnsi="Times New Roman" w:cs="Times New Roman"/>
                <w:color w:val="231F20"/>
                <w:w w:val="90"/>
              </w:rPr>
              <w:instrText>bd</w:instrText>
            </w:r>
            <w:r w:rsidR="008C6800" w:rsidRPr="00635EAA">
              <w:rPr>
                <w:rFonts w:ascii="Times New Roman" w:hAnsi="Times New Roman" w:cs="Times New Roman"/>
                <w:color w:val="231F20"/>
                <w:w w:val="90"/>
                <w:lang w:val="ru-RU"/>
              </w:rPr>
              <w:instrText>5018</w:instrText>
            </w:r>
            <w:r w:rsidR="008C6800" w:rsidRPr="00635EAA">
              <w:rPr>
                <w:rFonts w:ascii="Times New Roman" w:hAnsi="Times New Roman" w:cs="Times New Roman"/>
                <w:color w:val="231F20"/>
                <w:w w:val="90"/>
              </w:rPr>
              <w:instrText>b</w:instrText>
            </w:r>
            <w:r w:rsidR="008C6800" w:rsidRPr="00635EAA">
              <w:rPr>
                <w:rFonts w:ascii="Times New Roman" w:hAnsi="Times New Roman" w:cs="Times New Roman"/>
                <w:color w:val="231F20"/>
                <w:w w:val="90"/>
                <w:lang w:val="ru-RU"/>
              </w:rPr>
              <w:instrText>-8</w:instrText>
            </w:r>
            <w:r w:rsidR="008C6800" w:rsidRPr="00635EAA">
              <w:rPr>
                <w:rFonts w:ascii="Times New Roman" w:hAnsi="Times New Roman" w:cs="Times New Roman"/>
                <w:color w:val="231F20"/>
                <w:w w:val="90"/>
              </w:rPr>
              <w:instrText>a</w:instrText>
            </w:r>
            <w:r w:rsidR="008C6800" w:rsidRPr="00635EAA">
              <w:rPr>
                <w:rFonts w:ascii="Times New Roman" w:hAnsi="Times New Roman" w:cs="Times New Roman"/>
                <w:color w:val="231F20"/>
                <w:w w:val="90"/>
                <w:lang w:val="ru-RU"/>
              </w:rPr>
              <w:instrText>1</w:instrText>
            </w:r>
            <w:r w:rsidR="008C6800" w:rsidRPr="00635EAA">
              <w:rPr>
                <w:rFonts w:ascii="Times New Roman" w:hAnsi="Times New Roman" w:cs="Times New Roman"/>
                <w:color w:val="231F20"/>
                <w:w w:val="90"/>
              </w:rPr>
              <w:instrText>c</w:instrText>
            </w:r>
            <w:r w:rsidR="008C6800" w:rsidRPr="00635EAA">
              <w:rPr>
                <w:rFonts w:ascii="Times New Roman" w:hAnsi="Times New Roman" w:cs="Times New Roman"/>
                <w:color w:val="231F20"/>
                <w:w w:val="90"/>
                <w:lang w:val="ru-RU"/>
              </w:rPr>
              <w:instrText>-4</w:instrText>
            </w:r>
            <w:r w:rsidR="008C6800" w:rsidRPr="00635EAA">
              <w:rPr>
                <w:rFonts w:ascii="Times New Roman" w:hAnsi="Times New Roman" w:cs="Times New Roman"/>
                <w:color w:val="231F20"/>
                <w:w w:val="90"/>
              </w:rPr>
              <w:instrText>ee</w:instrText>
            </w:r>
            <w:r w:rsidR="008C6800" w:rsidRPr="00635EAA">
              <w:rPr>
                <w:rFonts w:ascii="Times New Roman" w:hAnsi="Times New Roman" w:cs="Times New Roman"/>
                <w:color w:val="231F20"/>
                <w:w w:val="90"/>
                <w:lang w:val="ru-RU"/>
              </w:rPr>
              <w:instrText>8-8</w:instrText>
            </w:r>
            <w:r w:rsidR="008C6800" w:rsidRPr="00635EAA">
              <w:rPr>
                <w:rFonts w:ascii="Times New Roman" w:hAnsi="Times New Roman" w:cs="Times New Roman"/>
                <w:color w:val="231F20"/>
                <w:w w:val="90"/>
              </w:rPr>
              <w:instrText>b</w:instrText>
            </w:r>
            <w:r w:rsidR="008C6800" w:rsidRPr="00635EAA">
              <w:rPr>
                <w:rFonts w:ascii="Times New Roman" w:hAnsi="Times New Roman" w:cs="Times New Roman"/>
                <w:color w:val="231F20"/>
                <w:w w:val="90"/>
                <w:lang w:val="ru-RU"/>
              </w:rPr>
              <w:instrText>01-26</w:instrText>
            </w:r>
            <w:r w:rsidR="008C6800" w:rsidRPr="00635EAA">
              <w:rPr>
                <w:rFonts w:ascii="Times New Roman" w:hAnsi="Times New Roman" w:cs="Times New Roman"/>
                <w:color w:val="231F20"/>
                <w:w w:val="90"/>
              </w:rPr>
              <w:instrText>a</w:instrText>
            </w:r>
            <w:r w:rsidR="008C6800" w:rsidRPr="00635EAA">
              <w:rPr>
                <w:rFonts w:ascii="Times New Roman" w:hAnsi="Times New Roman" w:cs="Times New Roman"/>
                <w:color w:val="231F20"/>
                <w:w w:val="90"/>
                <w:lang w:val="ru-RU"/>
              </w:rPr>
              <w:instrText>4</w:instrText>
            </w:r>
            <w:r w:rsidR="008C6800" w:rsidRPr="00635EAA">
              <w:rPr>
                <w:rFonts w:ascii="Times New Roman" w:hAnsi="Times New Roman" w:cs="Times New Roman"/>
                <w:color w:val="231F20"/>
                <w:w w:val="90"/>
              </w:rPr>
              <w:instrText>aad</w:instrText>
            </w:r>
            <w:r w:rsidR="008C6800" w:rsidRPr="00635EAA">
              <w:rPr>
                <w:rFonts w:ascii="Times New Roman" w:hAnsi="Times New Roman" w:cs="Times New Roman"/>
                <w:color w:val="231F20"/>
                <w:w w:val="90"/>
                <w:lang w:val="ru-RU"/>
              </w:rPr>
              <w:instrText>9</w:instrText>
            </w:r>
            <w:r w:rsidR="008C6800" w:rsidRPr="00635EAA">
              <w:rPr>
                <w:rFonts w:ascii="Times New Roman" w:hAnsi="Times New Roman" w:cs="Times New Roman"/>
                <w:color w:val="231F20"/>
                <w:w w:val="90"/>
              </w:rPr>
              <w:instrText>bd</w:instrText>
            </w:r>
            <w:r w:rsidR="008C6800" w:rsidRPr="00635EAA">
              <w:rPr>
                <w:rFonts w:ascii="Times New Roman" w:hAnsi="Times New Roman" w:cs="Times New Roman"/>
                <w:color w:val="231F20"/>
                <w:w w:val="90"/>
                <w:lang w:val="ru-RU"/>
              </w:rPr>
              <w:instrText>7</w:instrText>
            </w:r>
            <w:r w:rsidR="008C6800" w:rsidRPr="00635EAA">
              <w:rPr>
                <w:rFonts w:ascii="Times New Roman" w:hAnsi="Times New Roman" w:cs="Times New Roman"/>
                <w:color w:val="231F20"/>
                <w:w w:val="90"/>
              </w:rPr>
              <w:instrText>f</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mendeley</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formattedCitation</w:instrText>
            </w:r>
            <w:r w:rsidR="008C6800" w:rsidRPr="00635EAA">
              <w:rPr>
                <w:rFonts w:ascii="Times New Roman" w:hAnsi="Times New Roman" w:cs="Times New Roman"/>
                <w:color w:val="231F20"/>
                <w:w w:val="90"/>
                <w:lang w:val="ru-RU"/>
              </w:rPr>
              <w:instrText>":"[123]","</w:instrText>
            </w:r>
            <w:r w:rsidR="008C6800" w:rsidRPr="00635EAA">
              <w:rPr>
                <w:rFonts w:ascii="Times New Roman" w:hAnsi="Times New Roman" w:cs="Times New Roman"/>
                <w:color w:val="231F20"/>
                <w:w w:val="90"/>
              </w:rPr>
              <w:instrText>plainTextFormattedCitation</w:instrText>
            </w:r>
            <w:r w:rsidR="008C6800" w:rsidRPr="00635EAA">
              <w:rPr>
                <w:rFonts w:ascii="Times New Roman" w:hAnsi="Times New Roman" w:cs="Times New Roman"/>
                <w:color w:val="231F20"/>
                <w:w w:val="90"/>
                <w:lang w:val="ru-RU"/>
              </w:rPr>
              <w:instrText>":"[123]","</w:instrText>
            </w:r>
            <w:r w:rsidR="008C6800" w:rsidRPr="00635EAA">
              <w:rPr>
                <w:rFonts w:ascii="Times New Roman" w:hAnsi="Times New Roman" w:cs="Times New Roman"/>
                <w:color w:val="231F20"/>
                <w:w w:val="90"/>
              </w:rPr>
              <w:instrText>previouslyFormattedCitation</w:instrText>
            </w:r>
            <w:r w:rsidR="008C6800" w:rsidRPr="00635EAA">
              <w:rPr>
                <w:rFonts w:ascii="Times New Roman" w:hAnsi="Times New Roman" w:cs="Times New Roman"/>
                <w:color w:val="231F20"/>
                <w:w w:val="90"/>
                <w:lang w:val="ru-RU"/>
              </w:rPr>
              <w:instrText>":"(123)"},"</w:instrText>
            </w:r>
            <w:r w:rsidR="008C6800" w:rsidRPr="00635EAA">
              <w:rPr>
                <w:rFonts w:ascii="Times New Roman" w:hAnsi="Times New Roman" w:cs="Times New Roman"/>
                <w:color w:val="231F20"/>
                <w:w w:val="90"/>
              </w:rPr>
              <w:instrText>properties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noteIndex</w:instrText>
            </w:r>
            <w:r w:rsidR="008C6800" w:rsidRPr="00635EAA">
              <w:rPr>
                <w:rFonts w:ascii="Times New Roman" w:hAnsi="Times New Roman" w:cs="Times New Roman"/>
                <w:color w:val="231F20"/>
                <w:w w:val="90"/>
                <w:lang w:val="ru-RU"/>
              </w:rPr>
              <w:instrText>":0},"</w:instrText>
            </w:r>
            <w:r w:rsidR="008C6800" w:rsidRPr="00635EAA">
              <w:rPr>
                <w:rFonts w:ascii="Times New Roman" w:hAnsi="Times New Roman" w:cs="Times New Roman"/>
                <w:color w:val="231F20"/>
                <w:w w:val="90"/>
              </w:rPr>
              <w:instrText>schema</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https</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github</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com</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citation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style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language</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schema</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raw</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master</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csl</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citation</w:instrText>
            </w:r>
            <w:r w:rsidR="008C6800" w:rsidRPr="00635EAA">
              <w:rPr>
                <w:rFonts w:ascii="Times New Roman" w:hAnsi="Times New Roman" w:cs="Times New Roman"/>
                <w:color w:val="231F20"/>
                <w:w w:val="90"/>
                <w:lang w:val="ru-RU"/>
              </w:rPr>
              <w:instrText>.</w:instrText>
            </w:r>
            <w:r w:rsidR="008C6800" w:rsidRPr="00635EAA">
              <w:rPr>
                <w:rFonts w:ascii="Times New Roman" w:hAnsi="Times New Roman" w:cs="Times New Roman"/>
                <w:color w:val="231F20"/>
                <w:w w:val="90"/>
              </w:rPr>
              <w:instrText>json</w:instrText>
            </w:r>
            <w:r w:rsidR="008C6800" w:rsidRPr="00635EAA">
              <w:rPr>
                <w:rFonts w:ascii="Times New Roman" w:hAnsi="Times New Roman" w:cs="Times New Roman"/>
                <w:color w:val="231F20"/>
                <w:w w:val="90"/>
                <w:lang w:val="ru-RU"/>
              </w:rPr>
              <w:instrText>"}</w:instrText>
            </w:r>
            <w:r w:rsidRPr="00635EAA">
              <w:rPr>
                <w:rFonts w:ascii="Times New Roman" w:hAnsi="Times New Roman" w:cs="Times New Roman"/>
                <w:color w:val="231F20"/>
                <w:w w:val="90"/>
              </w:rPr>
              <w:fldChar w:fldCharType="separate"/>
            </w:r>
            <w:r w:rsidR="008C6800" w:rsidRPr="00635EAA">
              <w:rPr>
                <w:rFonts w:ascii="Times New Roman" w:hAnsi="Times New Roman" w:cs="Times New Roman"/>
                <w:noProof/>
                <w:color w:val="231F20"/>
                <w:w w:val="90"/>
                <w:lang w:val="ru-RU"/>
              </w:rPr>
              <w:t>[123]</w:t>
            </w:r>
            <w:r w:rsidRPr="00635EAA">
              <w:rPr>
                <w:rFonts w:ascii="Times New Roman" w:hAnsi="Times New Roman" w:cs="Times New Roman"/>
                <w:color w:val="231F20"/>
                <w:w w:val="90"/>
              </w:rPr>
              <w:fldChar w:fldCharType="end"/>
            </w:r>
            <w:r w:rsidRPr="00635EAA">
              <w:rPr>
                <w:rFonts w:ascii="Times New Roman" w:hAnsi="Times New Roman" w:cs="Times New Roman"/>
                <w:color w:val="231F20"/>
                <w:spacing w:val="-2"/>
                <w:lang w:val="ru-RU"/>
              </w:rPr>
              <w:t>2022,</w:t>
            </w:r>
          </w:p>
          <w:p w14:paraId="33ACE9D6" w14:textId="77777777" w:rsidR="001A5AC8" w:rsidRPr="00635EAA" w:rsidRDefault="001A5AC8" w:rsidP="001A5AC8">
            <w:pPr>
              <w:pStyle w:val="TableParagraph"/>
              <w:spacing w:before="0"/>
              <w:ind w:left="79"/>
              <w:rPr>
                <w:rFonts w:ascii="Times New Roman" w:hAnsi="Times New Roman" w:cs="Times New Roman"/>
                <w:lang w:val="ru-RU"/>
              </w:rPr>
            </w:pPr>
            <w:r w:rsidRPr="00635EAA">
              <w:rPr>
                <w:rFonts w:ascii="Times New Roman" w:hAnsi="Times New Roman" w:cs="Times New Roman"/>
                <w:color w:val="231F20"/>
                <w:spacing w:val="-2"/>
              </w:rPr>
              <w:t>Canada</w:t>
            </w:r>
          </w:p>
        </w:tc>
        <w:tc>
          <w:tcPr>
            <w:tcW w:w="567" w:type="dxa"/>
          </w:tcPr>
          <w:p w14:paraId="0B938E90" w14:textId="77777777" w:rsidR="001A5AC8" w:rsidRPr="00916B3A" w:rsidRDefault="001A5AC8" w:rsidP="001A5AC8">
            <w:pPr>
              <w:pStyle w:val="TableParagraph"/>
              <w:spacing w:before="0"/>
              <w:ind w:right="89"/>
              <w:jc w:val="right"/>
              <w:rPr>
                <w:rFonts w:ascii="Times New Roman" w:hAnsi="Times New Roman" w:cs="Times New Roman"/>
                <w:sz w:val="24"/>
                <w:szCs w:val="24"/>
                <w:lang w:val="ru-RU"/>
              </w:rPr>
            </w:pPr>
            <w:r w:rsidRPr="00916B3A">
              <w:rPr>
                <w:rFonts w:ascii="Times New Roman" w:hAnsi="Times New Roman" w:cs="Times New Roman"/>
                <w:color w:val="231F20"/>
                <w:spacing w:val="-5"/>
                <w:sz w:val="24"/>
                <w:szCs w:val="24"/>
                <w:lang w:val="ru-RU"/>
              </w:rPr>
              <w:t>85</w:t>
            </w:r>
          </w:p>
        </w:tc>
        <w:tc>
          <w:tcPr>
            <w:tcW w:w="1559" w:type="dxa"/>
          </w:tcPr>
          <w:p w14:paraId="36D0D94B" w14:textId="77777777" w:rsidR="001A5AC8" w:rsidRPr="00916B3A" w:rsidRDefault="001A5AC8" w:rsidP="001A5AC8">
            <w:pPr>
              <w:pStyle w:val="TableParagraph"/>
              <w:spacing w:before="0"/>
              <w:ind w:left="229"/>
              <w:rPr>
                <w:rFonts w:ascii="Times New Roman" w:hAnsi="Times New Roman" w:cs="Times New Roman"/>
                <w:sz w:val="24"/>
                <w:szCs w:val="24"/>
                <w:lang w:val="ru-RU"/>
              </w:rPr>
            </w:pPr>
            <w:r w:rsidRPr="00916B3A">
              <w:rPr>
                <w:rFonts w:ascii="Times New Roman" w:hAnsi="Times New Roman" w:cs="Times New Roman"/>
                <w:color w:val="231F20"/>
                <w:spacing w:val="-2"/>
                <w:sz w:val="24"/>
                <w:szCs w:val="24"/>
                <w:lang w:val="ru-RU"/>
              </w:rPr>
              <w:t>38.0</w:t>
            </w:r>
            <w:r w:rsidRPr="00916B3A">
              <w:rPr>
                <w:rFonts w:ascii="Times New Roman" w:hAnsi="Times New Roman" w:cs="Times New Roman"/>
                <w:color w:val="231F20"/>
                <w:spacing w:val="-6"/>
                <w:sz w:val="24"/>
                <w:szCs w:val="24"/>
                <w:lang w:val="ru-RU"/>
              </w:rPr>
              <w:t xml:space="preserve"> </w:t>
            </w:r>
            <w:r w:rsidRPr="00916B3A">
              <w:rPr>
                <w:rFonts w:ascii="Times New Roman" w:hAnsi="Times New Roman" w:cs="Times New Roman"/>
                <w:color w:val="231F20"/>
                <w:spacing w:val="-2"/>
                <w:sz w:val="24"/>
                <w:szCs w:val="24"/>
                <w:lang w:val="ru-RU"/>
              </w:rPr>
              <w:t>±</w:t>
            </w:r>
            <w:r w:rsidRPr="00916B3A">
              <w:rPr>
                <w:rFonts w:ascii="Times New Roman" w:hAnsi="Times New Roman" w:cs="Times New Roman"/>
                <w:color w:val="231F20"/>
                <w:spacing w:val="-6"/>
                <w:sz w:val="24"/>
                <w:szCs w:val="24"/>
                <w:lang w:val="ru-RU"/>
              </w:rPr>
              <w:t xml:space="preserve"> </w:t>
            </w:r>
            <w:r w:rsidRPr="00916B3A">
              <w:rPr>
                <w:rFonts w:ascii="Times New Roman" w:hAnsi="Times New Roman" w:cs="Times New Roman"/>
                <w:color w:val="231F20"/>
                <w:spacing w:val="-5"/>
                <w:sz w:val="24"/>
                <w:szCs w:val="24"/>
                <w:lang w:val="ru-RU"/>
              </w:rPr>
              <w:t>5.3</w:t>
            </w:r>
          </w:p>
        </w:tc>
        <w:tc>
          <w:tcPr>
            <w:tcW w:w="1701" w:type="dxa"/>
          </w:tcPr>
          <w:p w14:paraId="052CE7D1" w14:textId="77777777" w:rsidR="001A5AC8" w:rsidRPr="00916B3A" w:rsidRDefault="001A5AC8" w:rsidP="001A5AC8">
            <w:pPr>
              <w:pStyle w:val="TableParagraph"/>
              <w:spacing w:before="0"/>
              <w:ind w:left="228"/>
              <w:rPr>
                <w:rFonts w:ascii="Times New Roman" w:hAnsi="Times New Roman" w:cs="Times New Roman"/>
                <w:sz w:val="24"/>
                <w:szCs w:val="24"/>
                <w:lang w:val="ru-RU"/>
              </w:rPr>
            </w:pPr>
            <w:r w:rsidRPr="00916B3A">
              <w:rPr>
                <w:rFonts w:ascii="Times New Roman" w:hAnsi="Times New Roman" w:cs="Times New Roman"/>
                <w:color w:val="231F20"/>
                <w:spacing w:val="-2"/>
                <w:sz w:val="24"/>
                <w:szCs w:val="24"/>
                <w:lang w:val="ru-RU"/>
              </w:rPr>
              <w:t>23.5</w:t>
            </w:r>
            <w:r w:rsidRPr="00916B3A">
              <w:rPr>
                <w:rFonts w:ascii="Times New Roman" w:hAnsi="Times New Roman" w:cs="Times New Roman"/>
                <w:color w:val="231F20"/>
                <w:spacing w:val="-6"/>
                <w:sz w:val="24"/>
                <w:szCs w:val="24"/>
                <w:lang w:val="ru-RU"/>
              </w:rPr>
              <w:t xml:space="preserve"> </w:t>
            </w:r>
            <w:r w:rsidRPr="00916B3A">
              <w:rPr>
                <w:rFonts w:ascii="Times New Roman" w:hAnsi="Times New Roman" w:cs="Times New Roman"/>
                <w:color w:val="231F20"/>
                <w:spacing w:val="-2"/>
                <w:sz w:val="24"/>
                <w:szCs w:val="24"/>
                <w:lang w:val="ru-RU"/>
              </w:rPr>
              <w:t>±</w:t>
            </w:r>
            <w:r w:rsidRPr="00916B3A">
              <w:rPr>
                <w:rFonts w:ascii="Times New Roman" w:hAnsi="Times New Roman" w:cs="Times New Roman"/>
                <w:color w:val="231F20"/>
                <w:spacing w:val="-6"/>
                <w:sz w:val="24"/>
                <w:szCs w:val="24"/>
                <w:lang w:val="ru-RU"/>
              </w:rPr>
              <w:t xml:space="preserve"> </w:t>
            </w:r>
            <w:r w:rsidRPr="00916B3A">
              <w:rPr>
                <w:rFonts w:ascii="Times New Roman" w:hAnsi="Times New Roman" w:cs="Times New Roman"/>
                <w:color w:val="231F20"/>
                <w:spacing w:val="-5"/>
                <w:sz w:val="24"/>
                <w:szCs w:val="24"/>
                <w:lang w:val="ru-RU"/>
              </w:rPr>
              <w:t>4.3</w:t>
            </w:r>
          </w:p>
        </w:tc>
        <w:tc>
          <w:tcPr>
            <w:tcW w:w="3402" w:type="dxa"/>
          </w:tcPr>
          <w:p w14:paraId="26C6010A" w14:textId="77777777" w:rsidR="001A5AC8" w:rsidRPr="00916B3A" w:rsidRDefault="001A5AC8" w:rsidP="001A5AC8">
            <w:pPr>
              <w:pStyle w:val="TableParagraph"/>
              <w:spacing w:before="0"/>
              <w:ind w:left="76" w:right="92"/>
              <w:rPr>
                <w:rFonts w:ascii="Times New Roman" w:hAnsi="Times New Roman" w:cs="Times New Roman"/>
                <w:sz w:val="24"/>
                <w:szCs w:val="24"/>
                <w:lang w:val="ru-RU"/>
              </w:rPr>
            </w:pPr>
            <w:r w:rsidRPr="00916B3A">
              <w:rPr>
                <w:rFonts w:ascii="Times New Roman" w:hAnsi="Times New Roman" w:cs="Times New Roman"/>
                <w:color w:val="231F20"/>
                <w:sz w:val="24"/>
                <w:szCs w:val="24"/>
              </w:rPr>
              <w:t>FET</w:t>
            </w:r>
            <w:r w:rsidRPr="00916B3A">
              <w:rPr>
                <w:rFonts w:ascii="Times New Roman" w:hAnsi="Times New Roman" w:cs="Times New Roman"/>
                <w:color w:val="231F20"/>
                <w:sz w:val="24"/>
                <w:szCs w:val="24"/>
                <w:lang w:val="ru-RU"/>
              </w:rPr>
              <w:t xml:space="preserve">: Каждые 3-4 дня перед каждой инфузией </w:t>
            </w:r>
            <w:r w:rsidRPr="00916B3A">
              <w:rPr>
                <w:rFonts w:ascii="Times New Roman" w:hAnsi="Times New Roman" w:cs="Times New Roman"/>
                <w:color w:val="231F20"/>
                <w:sz w:val="24"/>
                <w:szCs w:val="24"/>
              </w:rPr>
              <w:t>PRP</w:t>
            </w:r>
            <w:r w:rsidRPr="00916B3A">
              <w:rPr>
                <w:rFonts w:ascii="Times New Roman" w:hAnsi="Times New Roman" w:cs="Times New Roman"/>
                <w:color w:val="231F20"/>
                <w:sz w:val="24"/>
                <w:szCs w:val="24"/>
                <w:lang w:val="ru-RU"/>
              </w:rPr>
              <w:t>, пока толщина не достигнет целевой толщины.</w:t>
            </w:r>
          </w:p>
        </w:tc>
        <w:tc>
          <w:tcPr>
            <w:tcW w:w="1559" w:type="dxa"/>
          </w:tcPr>
          <w:p w14:paraId="15229462" w14:textId="77777777" w:rsidR="001A5AC8" w:rsidRPr="00916B3A" w:rsidRDefault="001A5AC8" w:rsidP="001A5AC8">
            <w:pPr>
              <w:pStyle w:val="TableParagraph"/>
              <w:spacing w:before="0"/>
              <w:ind w:right="86"/>
              <w:jc w:val="right"/>
              <w:rPr>
                <w:rFonts w:ascii="Times New Roman" w:hAnsi="Times New Roman" w:cs="Times New Roman"/>
                <w:sz w:val="24"/>
                <w:szCs w:val="24"/>
                <w:lang w:val="ru-RU"/>
              </w:rPr>
            </w:pPr>
            <w:r w:rsidRPr="00916B3A">
              <w:rPr>
                <w:rFonts w:ascii="Times New Roman" w:hAnsi="Times New Roman" w:cs="Times New Roman"/>
                <w:color w:val="231F20"/>
                <w:spacing w:val="-5"/>
                <w:sz w:val="24"/>
                <w:szCs w:val="24"/>
                <w:lang w:val="ru-RU"/>
              </w:rPr>
              <w:t>&lt;7</w:t>
            </w:r>
          </w:p>
        </w:tc>
        <w:tc>
          <w:tcPr>
            <w:tcW w:w="1843" w:type="dxa"/>
          </w:tcPr>
          <w:p w14:paraId="6AA32C78" w14:textId="77777777" w:rsidR="001A5AC8" w:rsidRPr="00916B3A" w:rsidRDefault="001A5AC8" w:rsidP="001A5AC8">
            <w:pPr>
              <w:pStyle w:val="TableParagraph"/>
              <w:spacing w:before="0"/>
              <w:jc w:val="center"/>
              <w:rPr>
                <w:rFonts w:ascii="Times New Roman" w:hAnsi="Times New Roman" w:cs="Times New Roman"/>
                <w:sz w:val="24"/>
                <w:szCs w:val="24"/>
                <w:lang w:val="ru-RU"/>
              </w:rPr>
            </w:pPr>
            <w:r w:rsidRPr="00916B3A">
              <w:rPr>
                <w:rFonts w:ascii="Times New Roman" w:hAnsi="Times New Roman" w:cs="Times New Roman"/>
                <w:color w:val="231F20"/>
                <w:spacing w:val="-2"/>
                <w:sz w:val="24"/>
                <w:szCs w:val="24"/>
                <w:lang w:val="ru-RU"/>
              </w:rPr>
              <w:t>21.8%</w:t>
            </w:r>
          </w:p>
        </w:tc>
        <w:tc>
          <w:tcPr>
            <w:tcW w:w="2126" w:type="dxa"/>
          </w:tcPr>
          <w:p w14:paraId="10EDF2A1" w14:textId="77777777" w:rsidR="001A5AC8" w:rsidRPr="00916B3A" w:rsidRDefault="001A5AC8" w:rsidP="001A5AC8">
            <w:pPr>
              <w:pStyle w:val="TableParagraph"/>
              <w:spacing w:before="0"/>
              <w:jc w:val="center"/>
              <w:rPr>
                <w:rFonts w:ascii="Times New Roman" w:hAnsi="Times New Roman" w:cs="Times New Roman"/>
                <w:sz w:val="24"/>
                <w:szCs w:val="24"/>
                <w:lang w:val="ru-RU"/>
              </w:rPr>
            </w:pPr>
            <w:r w:rsidRPr="00916B3A">
              <w:rPr>
                <w:rFonts w:ascii="Times New Roman" w:hAnsi="Times New Roman" w:cs="Times New Roman"/>
                <w:color w:val="231F20"/>
                <w:spacing w:val="-2"/>
                <w:sz w:val="24"/>
                <w:szCs w:val="24"/>
                <w:lang w:val="ru-RU"/>
              </w:rPr>
              <w:t>14.6%</w:t>
            </w:r>
          </w:p>
        </w:tc>
      </w:tr>
      <w:tr w:rsidR="001A5AC8" w:rsidRPr="00916B3A" w14:paraId="59E83C9A" w14:textId="77777777" w:rsidTr="001A5AC8">
        <w:trPr>
          <w:trHeight w:val="201"/>
        </w:trPr>
        <w:tc>
          <w:tcPr>
            <w:tcW w:w="14458" w:type="dxa"/>
            <w:gridSpan w:val="9"/>
          </w:tcPr>
          <w:p w14:paraId="3012BCF8" w14:textId="697FC846" w:rsidR="001A5AC8" w:rsidRPr="001A5AC8" w:rsidRDefault="001A5AC8" w:rsidP="001A5AC8">
            <w:pPr>
              <w:ind w:left="120" w:right="144" w:firstLine="592"/>
              <w:jc w:val="both"/>
              <w:rPr>
                <w:rFonts w:ascii="Times New Roman" w:hAnsi="Times New Roman" w:cs="Times New Roman"/>
                <w:sz w:val="24"/>
                <w:szCs w:val="24"/>
                <w:lang w:val="ru-RU"/>
              </w:rPr>
            </w:pPr>
            <w:r w:rsidRPr="001A5AC8">
              <w:rPr>
                <w:rFonts w:ascii="Times New Roman" w:hAnsi="Times New Roman" w:cs="Times New Roman"/>
                <w:color w:val="231F20"/>
                <w:spacing w:val="-2"/>
                <w:sz w:val="24"/>
                <w:szCs w:val="24"/>
                <w:lang w:val="ru-RU"/>
              </w:rPr>
              <w:t xml:space="preserve">Сокращения: ИМТ - индекс массы тела; </w:t>
            </w:r>
            <w:r w:rsidRPr="00916B3A">
              <w:rPr>
                <w:rFonts w:ascii="Times New Roman" w:hAnsi="Times New Roman" w:cs="Times New Roman"/>
                <w:color w:val="231F20"/>
                <w:spacing w:val="-2"/>
                <w:sz w:val="24"/>
                <w:szCs w:val="24"/>
              </w:rPr>
              <w:t>CPR</w:t>
            </w:r>
            <w:r w:rsidRPr="001A5AC8">
              <w:rPr>
                <w:rFonts w:ascii="Times New Roman" w:hAnsi="Times New Roman" w:cs="Times New Roman"/>
                <w:color w:val="231F20"/>
                <w:spacing w:val="-2"/>
                <w:sz w:val="24"/>
                <w:szCs w:val="24"/>
                <w:lang w:val="ru-RU"/>
              </w:rPr>
              <w:t xml:space="preserve"> – </w:t>
            </w:r>
            <w:r w:rsidRPr="001A5AC8">
              <w:rPr>
                <w:rFonts w:ascii="Times New Roman" w:hAnsi="Times New Roman" w:cs="Times New Roman"/>
                <w:sz w:val="24"/>
                <w:szCs w:val="24"/>
                <w:lang w:val="ru-RU"/>
              </w:rPr>
              <w:t xml:space="preserve"> частота наступления беременности</w:t>
            </w:r>
            <w:r w:rsidRPr="001A5AC8">
              <w:rPr>
                <w:rFonts w:ascii="Times New Roman" w:hAnsi="Times New Roman" w:cs="Times New Roman"/>
                <w:color w:val="231F20"/>
                <w:spacing w:val="-2"/>
                <w:sz w:val="24"/>
                <w:szCs w:val="24"/>
                <w:lang w:val="ru-RU"/>
              </w:rPr>
              <w:t xml:space="preserve">; ТЭ – толщина эндометрия; </w:t>
            </w:r>
            <w:r w:rsidRPr="00916B3A">
              <w:rPr>
                <w:rFonts w:ascii="Times New Roman" w:hAnsi="Times New Roman" w:cs="Times New Roman"/>
                <w:color w:val="231F20"/>
                <w:spacing w:val="-2"/>
                <w:sz w:val="24"/>
                <w:szCs w:val="24"/>
              </w:rPr>
              <w:t>FET</w:t>
            </w:r>
            <w:r w:rsidRPr="001A5AC8">
              <w:rPr>
                <w:rFonts w:ascii="Times New Roman" w:hAnsi="Times New Roman" w:cs="Times New Roman"/>
                <w:color w:val="231F20"/>
                <w:spacing w:val="-2"/>
                <w:sz w:val="24"/>
                <w:szCs w:val="24"/>
                <w:lang w:val="ru-RU"/>
              </w:rPr>
              <w:t xml:space="preserve"> – перенос замороженных эмбрионов; ХГЧ - хорионический гонадотропин человека; </w:t>
            </w:r>
            <w:r w:rsidRPr="001A5AC8">
              <w:rPr>
                <w:rFonts w:ascii="Times New Roman" w:hAnsi="Times New Roman" w:cs="Times New Roman"/>
                <w:color w:val="231F20"/>
                <w:spacing w:val="-8"/>
                <w:sz w:val="24"/>
                <w:szCs w:val="24"/>
                <w:lang w:val="ru-RU"/>
              </w:rPr>
              <w:t xml:space="preserve"> </w:t>
            </w:r>
            <w:r w:rsidRPr="00916B3A">
              <w:rPr>
                <w:rFonts w:ascii="Times New Roman" w:hAnsi="Times New Roman" w:cs="Times New Roman"/>
                <w:color w:val="231F20"/>
                <w:sz w:val="24"/>
                <w:szCs w:val="24"/>
              </w:rPr>
              <w:t>LBR</w:t>
            </w:r>
            <w:r w:rsidRPr="001A5AC8">
              <w:rPr>
                <w:rFonts w:ascii="Times New Roman" w:hAnsi="Times New Roman" w:cs="Times New Roman"/>
                <w:color w:val="231F20"/>
                <w:spacing w:val="-4"/>
                <w:sz w:val="24"/>
                <w:szCs w:val="24"/>
                <w:lang w:val="ru-RU"/>
              </w:rPr>
              <w:t xml:space="preserve"> </w:t>
            </w:r>
            <w:r w:rsidRPr="001A5AC8">
              <w:rPr>
                <w:rFonts w:ascii="Times New Roman" w:hAnsi="Times New Roman" w:cs="Times New Roman"/>
                <w:color w:val="231F20"/>
                <w:sz w:val="24"/>
                <w:szCs w:val="24"/>
                <w:lang w:val="ru-RU"/>
              </w:rPr>
              <w:t>–</w:t>
            </w:r>
            <w:r w:rsidRPr="001A5AC8">
              <w:rPr>
                <w:rFonts w:ascii="Times New Roman" w:hAnsi="Times New Roman" w:cs="Times New Roman"/>
                <w:color w:val="231F20"/>
                <w:spacing w:val="-4"/>
                <w:sz w:val="24"/>
                <w:szCs w:val="24"/>
                <w:lang w:val="ru-RU"/>
              </w:rPr>
              <w:t xml:space="preserve"> показатель живорождаемости</w:t>
            </w:r>
            <w:r w:rsidRPr="001A5AC8">
              <w:rPr>
                <w:rFonts w:ascii="Times New Roman" w:hAnsi="Times New Roman" w:cs="Times New Roman"/>
                <w:color w:val="231F20"/>
                <w:sz w:val="24"/>
                <w:szCs w:val="24"/>
                <w:lang w:val="ru-RU"/>
              </w:rPr>
              <w:t>;</w:t>
            </w:r>
            <w:r w:rsidRPr="001A5AC8">
              <w:rPr>
                <w:rFonts w:ascii="Times New Roman" w:hAnsi="Times New Roman" w:cs="Times New Roman"/>
                <w:color w:val="231F20"/>
                <w:spacing w:val="-8"/>
                <w:sz w:val="24"/>
                <w:szCs w:val="24"/>
                <w:lang w:val="ru-RU"/>
              </w:rPr>
              <w:t xml:space="preserve"> </w:t>
            </w:r>
            <w:r w:rsidRPr="00916B3A">
              <w:rPr>
                <w:rFonts w:ascii="Times New Roman" w:hAnsi="Times New Roman" w:cs="Times New Roman"/>
                <w:color w:val="231F20"/>
                <w:sz w:val="24"/>
                <w:szCs w:val="24"/>
              </w:rPr>
              <w:t>N</w:t>
            </w:r>
            <w:r w:rsidRPr="001A5AC8">
              <w:rPr>
                <w:rFonts w:ascii="Times New Roman" w:hAnsi="Times New Roman" w:cs="Times New Roman"/>
                <w:color w:val="231F20"/>
                <w:spacing w:val="-4"/>
                <w:sz w:val="24"/>
                <w:szCs w:val="24"/>
                <w:lang w:val="ru-RU"/>
              </w:rPr>
              <w:t xml:space="preserve"> </w:t>
            </w:r>
            <w:r w:rsidRPr="001A5AC8">
              <w:rPr>
                <w:rFonts w:ascii="Times New Roman" w:hAnsi="Times New Roman" w:cs="Times New Roman"/>
                <w:color w:val="231F20"/>
                <w:sz w:val="24"/>
                <w:szCs w:val="24"/>
                <w:lang w:val="ru-RU"/>
              </w:rPr>
              <w:t>–</w:t>
            </w:r>
            <w:r w:rsidRPr="001A5AC8">
              <w:rPr>
                <w:rFonts w:ascii="Times New Roman" w:hAnsi="Times New Roman" w:cs="Times New Roman"/>
                <w:color w:val="231F20"/>
                <w:spacing w:val="-4"/>
                <w:sz w:val="24"/>
                <w:szCs w:val="24"/>
                <w:lang w:val="ru-RU"/>
              </w:rPr>
              <w:t xml:space="preserve"> </w:t>
            </w:r>
            <w:r w:rsidRPr="001A5AC8">
              <w:rPr>
                <w:rFonts w:ascii="Times New Roman" w:hAnsi="Times New Roman" w:cs="Times New Roman"/>
                <w:color w:val="231F20"/>
                <w:sz w:val="24"/>
                <w:szCs w:val="24"/>
                <w:lang w:val="ru-RU"/>
              </w:rPr>
              <w:t>количество;</w:t>
            </w:r>
            <w:r w:rsidRPr="001A5AC8">
              <w:rPr>
                <w:rFonts w:ascii="Times New Roman" w:hAnsi="Times New Roman" w:cs="Times New Roman"/>
                <w:color w:val="231F20"/>
                <w:spacing w:val="-8"/>
                <w:sz w:val="24"/>
                <w:szCs w:val="24"/>
                <w:lang w:val="ru-RU"/>
              </w:rPr>
              <w:t xml:space="preserve"> </w:t>
            </w:r>
            <w:r w:rsidRPr="00916B3A">
              <w:rPr>
                <w:rFonts w:ascii="Times New Roman" w:hAnsi="Times New Roman" w:cs="Times New Roman"/>
                <w:color w:val="231F20"/>
                <w:sz w:val="24"/>
                <w:szCs w:val="24"/>
              </w:rPr>
              <w:t>PRP</w:t>
            </w:r>
            <w:r w:rsidRPr="001A5AC8">
              <w:rPr>
                <w:rFonts w:ascii="Times New Roman" w:hAnsi="Times New Roman" w:cs="Times New Roman"/>
                <w:color w:val="231F20"/>
                <w:spacing w:val="-4"/>
                <w:sz w:val="24"/>
                <w:szCs w:val="24"/>
                <w:lang w:val="ru-RU"/>
              </w:rPr>
              <w:t xml:space="preserve"> </w:t>
            </w:r>
            <w:r w:rsidRPr="001A5AC8">
              <w:rPr>
                <w:rFonts w:ascii="Times New Roman" w:hAnsi="Times New Roman" w:cs="Times New Roman"/>
                <w:color w:val="231F20"/>
                <w:sz w:val="24"/>
                <w:szCs w:val="24"/>
                <w:lang w:val="ru-RU"/>
              </w:rPr>
              <w:t>– плазма</w:t>
            </w:r>
            <w:r w:rsidRPr="001A5AC8">
              <w:rPr>
                <w:rFonts w:ascii="Times New Roman" w:hAnsi="Times New Roman" w:cs="Times New Roman"/>
                <w:color w:val="231F20"/>
                <w:spacing w:val="-4"/>
                <w:sz w:val="24"/>
                <w:szCs w:val="24"/>
                <w:lang w:val="ru-RU"/>
              </w:rPr>
              <w:t xml:space="preserve"> богатый тромбоцитами </w:t>
            </w:r>
            <w:r w:rsidRPr="00916B3A">
              <w:rPr>
                <w:rFonts w:ascii="Times New Roman" w:hAnsi="Times New Roman" w:cs="Times New Roman"/>
                <w:color w:val="231F20"/>
                <w:sz w:val="24"/>
                <w:szCs w:val="24"/>
              </w:rPr>
              <w:t>TE</w:t>
            </w:r>
            <w:r w:rsidRPr="001A5AC8">
              <w:rPr>
                <w:rFonts w:ascii="Times New Roman" w:hAnsi="Times New Roman" w:cs="Times New Roman"/>
                <w:color w:val="231F20"/>
                <w:spacing w:val="-3"/>
                <w:sz w:val="24"/>
                <w:szCs w:val="24"/>
                <w:lang w:val="ru-RU"/>
              </w:rPr>
              <w:t xml:space="preserve"> </w:t>
            </w:r>
            <w:r w:rsidRPr="001A5AC8">
              <w:rPr>
                <w:rFonts w:ascii="Times New Roman" w:hAnsi="Times New Roman" w:cs="Times New Roman"/>
                <w:color w:val="231F20"/>
                <w:sz w:val="24"/>
                <w:szCs w:val="24"/>
                <w:lang w:val="ru-RU"/>
              </w:rPr>
              <w:t>–</w:t>
            </w:r>
            <w:r w:rsidRPr="001A5AC8">
              <w:rPr>
                <w:rFonts w:ascii="Times New Roman" w:hAnsi="Times New Roman" w:cs="Times New Roman"/>
                <w:color w:val="231F20"/>
                <w:spacing w:val="-4"/>
                <w:sz w:val="24"/>
                <w:szCs w:val="24"/>
                <w:lang w:val="ru-RU"/>
              </w:rPr>
              <w:t xml:space="preserve"> </w:t>
            </w:r>
            <w:r w:rsidRPr="001A5AC8">
              <w:rPr>
                <w:rFonts w:ascii="Times New Roman" w:hAnsi="Times New Roman" w:cs="Times New Roman"/>
                <w:color w:val="231F20"/>
                <w:sz w:val="24"/>
                <w:szCs w:val="24"/>
                <w:lang w:val="ru-RU"/>
              </w:rPr>
              <w:t>тонкий эндометрий.</w:t>
            </w:r>
          </w:p>
        </w:tc>
      </w:tr>
    </w:tbl>
    <w:p w14:paraId="235D4FA5" w14:textId="77777777" w:rsidR="001A5AC8" w:rsidRDefault="001A5AC8" w:rsidP="00A071D5">
      <w:pPr>
        <w:keepNext/>
        <w:keepLines/>
        <w:spacing w:after="0" w:line="240" w:lineRule="auto"/>
        <w:ind w:firstLine="426"/>
        <w:contextualSpacing/>
        <w:jc w:val="both"/>
        <w:outlineLvl w:val="0"/>
        <w:rPr>
          <w:rFonts w:ascii="Times New Roman" w:hAnsi="Times New Roman" w:cs="Times New Roman"/>
          <w:bCs/>
          <w:sz w:val="28"/>
          <w:szCs w:val="28"/>
        </w:rPr>
        <w:sectPr w:rsidR="001A5AC8" w:rsidSect="001A5AC8">
          <w:pgSz w:w="16840" w:h="11907" w:orient="landscape" w:code="9"/>
          <w:pgMar w:top="567" w:right="1134" w:bottom="1701" w:left="1134" w:header="709" w:footer="709" w:gutter="0"/>
          <w:cols w:space="720"/>
          <w:titlePg/>
          <w:docGrid w:linePitch="299"/>
        </w:sectPr>
      </w:pPr>
    </w:p>
    <w:p w14:paraId="7DFCD497" w14:textId="418EEE6B" w:rsidR="00C11A77" w:rsidRPr="00916B3A" w:rsidRDefault="00C11A77" w:rsidP="00A071D5">
      <w:pPr>
        <w:keepNext/>
        <w:keepLines/>
        <w:spacing w:after="0" w:line="240" w:lineRule="auto"/>
        <w:ind w:firstLine="426"/>
        <w:contextualSpacing/>
        <w:jc w:val="both"/>
        <w:outlineLvl w:val="0"/>
        <w:rPr>
          <w:rFonts w:ascii="Times New Roman" w:hAnsi="Times New Roman" w:cs="Times New Roman"/>
          <w:bCs/>
          <w:sz w:val="28"/>
          <w:szCs w:val="28"/>
        </w:rPr>
      </w:pPr>
      <w:r w:rsidRPr="00916B3A">
        <w:rPr>
          <w:rFonts w:ascii="Times New Roman" w:hAnsi="Times New Roman" w:cs="Times New Roman"/>
          <w:bCs/>
          <w:sz w:val="28"/>
          <w:szCs w:val="28"/>
        </w:rPr>
        <w:t>Коэффициент живорождения при циклах переноса свежих и замороженных эмбрионов и</w:t>
      </w:r>
      <w:r w:rsidR="007F19EC" w:rsidRPr="00916B3A">
        <w:rPr>
          <w:rFonts w:ascii="Times New Roman" w:hAnsi="Times New Roman" w:cs="Times New Roman"/>
          <w:bCs/>
          <w:sz w:val="28"/>
          <w:szCs w:val="28"/>
        </w:rPr>
        <w:t xml:space="preserve"> связанные факторы риска </w:t>
      </w:r>
      <w:r w:rsidR="000943E4" w:rsidRPr="00916B3A">
        <w:rPr>
          <w:rFonts w:ascii="Times New Roman" w:hAnsi="Times New Roman" w:cs="Times New Roman"/>
          <w:bCs/>
          <w:sz w:val="28"/>
          <w:szCs w:val="28"/>
        </w:rPr>
        <w:t xml:space="preserve">предтсавлены </w:t>
      </w:r>
      <w:r w:rsidR="007F19EC" w:rsidRPr="00916B3A">
        <w:rPr>
          <w:rFonts w:ascii="Times New Roman" w:hAnsi="Times New Roman" w:cs="Times New Roman"/>
          <w:bCs/>
          <w:sz w:val="28"/>
          <w:szCs w:val="28"/>
        </w:rPr>
        <w:t>в</w:t>
      </w:r>
      <w:r w:rsidR="000943E4" w:rsidRPr="00916B3A">
        <w:rPr>
          <w:rFonts w:ascii="Times New Roman" w:hAnsi="Times New Roman" w:cs="Times New Roman"/>
          <w:bCs/>
          <w:sz w:val="28"/>
          <w:szCs w:val="28"/>
        </w:rPr>
        <w:t xml:space="preserve"> </w:t>
      </w:r>
      <w:r w:rsidRPr="00916B3A">
        <w:rPr>
          <w:rFonts w:ascii="Times New Roman" w:hAnsi="Times New Roman" w:cs="Times New Roman"/>
          <w:bCs/>
          <w:sz w:val="28"/>
          <w:szCs w:val="28"/>
        </w:rPr>
        <w:t>таблице</w:t>
      </w:r>
      <w:r w:rsidR="00A071D5" w:rsidRPr="00916B3A">
        <w:rPr>
          <w:rFonts w:ascii="Times New Roman" w:hAnsi="Times New Roman" w:cs="Times New Roman"/>
          <w:bCs/>
          <w:sz w:val="28"/>
          <w:szCs w:val="28"/>
        </w:rPr>
        <w:t xml:space="preserve"> 5</w:t>
      </w:r>
      <w:r w:rsidRPr="00916B3A">
        <w:rPr>
          <w:rFonts w:ascii="Times New Roman" w:hAnsi="Times New Roman" w:cs="Times New Roman"/>
          <w:bCs/>
          <w:sz w:val="28"/>
          <w:szCs w:val="28"/>
        </w:rPr>
        <w:t xml:space="preserve">. </w:t>
      </w:r>
    </w:p>
    <w:p w14:paraId="3FA65483" w14:textId="77777777" w:rsidR="00A071D5" w:rsidRPr="00916B3A" w:rsidRDefault="00A071D5" w:rsidP="00A071D5">
      <w:pPr>
        <w:keepNext/>
        <w:keepLines/>
        <w:spacing w:after="0" w:line="240" w:lineRule="auto"/>
        <w:ind w:firstLine="426"/>
        <w:contextualSpacing/>
        <w:jc w:val="both"/>
        <w:outlineLvl w:val="0"/>
        <w:rPr>
          <w:rFonts w:ascii="Times New Roman" w:hAnsi="Times New Roman" w:cs="Times New Roman"/>
          <w:bCs/>
          <w:sz w:val="28"/>
          <w:szCs w:val="28"/>
        </w:rPr>
      </w:pPr>
    </w:p>
    <w:p w14:paraId="00BF0445" w14:textId="684A6030" w:rsidR="00C11A77" w:rsidRPr="00916B3A" w:rsidRDefault="007F19EC" w:rsidP="00C11A77">
      <w:pPr>
        <w:pStyle w:val="affc"/>
        <w:spacing w:after="0" w:line="240" w:lineRule="auto"/>
        <w:rPr>
          <w:rFonts w:ascii="Times New Roman" w:hAnsi="Times New Roman" w:cs="Times New Roman"/>
          <w:sz w:val="28"/>
          <w:szCs w:val="28"/>
        </w:rPr>
      </w:pPr>
      <w:r w:rsidRPr="00916B3A">
        <w:rPr>
          <w:rFonts w:ascii="Times New Roman" w:hAnsi="Times New Roman" w:cs="Times New Roman"/>
          <w:sz w:val="28"/>
          <w:szCs w:val="28"/>
        </w:rPr>
        <w:t>Таблица 5</w:t>
      </w:r>
      <w:r w:rsidR="001A5AC8">
        <w:rPr>
          <w:rFonts w:ascii="Times New Roman" w:hAnsi="Times New Roman" w:cs="Times New Roman"/>
          <w:sz w:val="28"/>
          <w:szCs w:val="28"/>
        </w:rPr>
        <w:t xml:space="preserve"> -</w:t>
      </w:r>
      <w:r w:rsidR="00C11A77" w:rsidRPr="00916B3A">
        <w:rPr>
          <w:rFonts w:ascii="Times New Roman" w:hAnsi="Times New Roman" w:cs="Times New Roman"/>
          <w:sz w:val="28"/>
          <w:szCs w:val="28"/>
        </w:rPr>
        <w:t xml:space="preserve"> Факторы риска, связанные с тонким эндометрием</w:t>
      </w:r>
    </w:p>
    <w:p w14:paraId="3B137A46" w14:textId="77777777" w:rsidR="00C11A77" w:rsidRPr="00916B3A" w:rsidRDefault="00C11A77" w:rsidP="00C11A77">
      <w:pPr>
        <w:pStyle w:val="affc"/>
        <w:spacing w:after="0" w:line="240" w:lineRule="auto"/>
        <w:rPr>
          <w:rFonts w:ascii="Times New Roman" w:hAnsi="Times New Roman" w:cs="Times New Roman"/>
          <w:sz w:val="24"/>
          <w:szCs w:val="24"/>
        </w:rPr>
      </w:pPr>
    </w:p>
    <w:tbl>
      <w:tblPr>
        <w:tblStyle w:val="TableNormal"/>
        <w:tblW w:w="9509" w:type="dxa"/>
        <w:tblInd w:w="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1"/>
        <w:gridCol w:w="1386"/>
        <w:gridCol w:w="2366"/>
        <w:gridCol w:w="1560"/>
        <w:gridCol w:w="992"/>
        <w:gridCol w:w="1984"/>
      </w:tblGrid>
      <w:tr w:rsidR="00C11A77" w:rsidRPr="001A5AC8" w14:paraId="2F96FEB5" w14:textId="77777777" w:rsidTr="001A5AC8">
        <w:trPr>
          <w:trHeight w:val="284"/>
        </w:trPr>
        <w:tc>
          <w:tcPr>
            <w:tcW w:w="9509" w:type="dxa"/>
            <w:gridSpan w:val="6"/>
          </w:tcPr>
          <w:p w14:paraId="7546938A" w14:textId="77777777" w:rsidR="00C11A77" w:rsidRPr="001A5AC8" w:rsidRDefault="00C11A77" w:rsidP="00EE4AF0">
            <w:pPr>
              <w:pStyle w:val="TableParagraph"/>
              <w:spacing w:before="0"/>
              <w:ind w:left="9"/>
              <w:jc w:val="center"/>
              <w:rPr>
                <w:rFonts w:ascii="Times New Roman" w:hAnsi="Times New Roman" w:cs="Times New Roman"/>
                <w:bCs/>
                <w:sz w:val="24"/>
                <w:szCs w:val="24"/>
                <w:lang w:val="ru-RU"/>
              </w:rPr>
            </w:pPr>
            <w:r w:rsidRPr="001A5AC8">
              <w:rPr>
                <w:rFonts w:ascii="Times New Roman" w:hAnsi="Times New Roman" w:cs="Times New Roman"/>
                <w:bCs/>
                <w:color w:val="231F20"/>
                <w:w w:val="90"/>
                <w:sz w:val="24"/>
                <w:szCs w:val="24"/>
              </w:rPr>
              <w:t>Fresh</w:t>
            </w:r>
            <w:r w:rsidRPr="001A5AC8">
              <w:rPr>
                <w:rFonts w:ascii="Times New Roman" w:hAnsi="Times New Roman" w:cs="Times New Roman"/>
                <w:bCs/>
                <w:color w:val="231F20"/>
                <w:spacing w:val="-4"/>
                <w:sz w:val="24"/>
                <w:szCs w:val="24"/>
                <w:lang w:val="ru-RU"/>
              </w:rPr>
              <w:t xml:space="preserve"> </w:t>
            </w:r>
            <w:r w:rsidRPr="001A5AC8">
              <w:rPr>
                <w:rFonts w:ascii="Times New Roman" w:hAnsi="Times New Roman" w:cs="Times New Roman"/>
                <w:bCs/>
                <w:color w:val="231F20"/>
                <w:spacing w:val="-2"/>
                <w:sz w:val="24"/>
                <w:szCs w:val="24"/>
                <w:lang w:val="ru-RU"/>
              </w:rPr>
              <w:t>циклы</w:t>
            </w:r>
          </w:p>
        </w:tc>
      </w:tr>
      <w:tr w:rsidR="00C11A77" w:rsidRPr="001A5AC8" w14:paraId="4F585648" w14:textId="77777777" w:rsidTr="0060156A">
        <w:trPr>
          <w:trHeight w:val="724"/>
        </w:trPr>
        <w:tc>
          <w:tcPr>
            <w:tcW w:w="1221" w:type="dxa"/>
          </w:tcPr>
          <w:p w14:paraId="4EB63D0B" w14:textId="77777777" w:rsidR="00C11A77" w:rsidRPr="001A5AC8" w:rsidRDefault="00C11A77" w:rsidP="00EE4AF0">
            <w:pPr>
              <w:pStyle w:val="TableParagraph"/>
              <w:spacing w:before="0"/>
              <w:ind w:left="80" w:right="96"/>
              <w:rPr>
                <w:rFonts w:ascii="Times New Roman" w:hAnsi="Times New Roman" w:cs="Times New Roman"/>
                <w:bCs/>
                <w:sz w:val="24"/>
                <w:szCs w:val="24"/>
                <w:lang w:val="kk-KZ"/>
              </w:rPr>
            </w:pPr>
            <w:r w:rsidRPr="001A5AC8">
              <w:rPr>
                <w:rFonts w:ascii="Times New Roman" w:hAnsi="Times New Roman" w:cs="Times New Roman"/>
                <w:bCs/>
                <w:color w:val="231F20"/>
                <w:spacing w:val="-8"/>
                <w:sz w:val="24"/>
                <w:szCs w:val="24"/>
                <w:lang w:val="kk-KZ"/>
              </w:rPr>
              <w:t>Уровень живорождаемости</w:t>
            </w:r>
          </w:p>
        </w:tc>
        <w:tc>
          <w:tcPr>
            <w:tcW w:w="1386" w:type="dxa"/>
          </w:tcPr>
          <w:p w14:paraId="4050C04A" w14:textId="77777777" w:rsidR="00C11A77" w:rsidRPr="001A5AC8" w:rsidRDefault="00C11A77" w:rsidP="00EE4AF0">
            <w:pPr>
              <w:pStyle w:val="TableParagraph"/>
              <w:spacing w:before="0"/>
              <w:ind w:left="79" w:right="178"/>
              <w:rPr>
                <w:rFonts w:ascii="Times New Roman" w:hAnsi="Times New Roman" w:cs="Times New Roman"/>
                <w:bCs/>
                <w:sz w:val="24"/>
                <w:szCs w:val="24"/>
                <w:lang w:val="kk-KZ"/>
              </w:rPr>
            </w:pPr>
            <w:r w:rsidRPr="001A5AC8">
              <w:rPr>
                <w:rFonts w:ascii="Times New Roman" w:hAnsi="Times New Roman" w:cs="Times New Roman"/>
                <w:bCs/>
                <w:color w:val="231F20"/>
                <w:spacing w:val="-2"/>
                <w:sz w:val="24"/>
                <w:szCs w:val="24"/>
                <w:lang w:val="kk-KZ"/>
              </w:rPr>
              <w:t>Клинический показатель беременности</w:t>
            </w:r>
          </w:p>
        </w:tc>
        <w:tc>
          <w:tcPr>
            <w:tcW w:w="2366" w:type="dxa"/>
          </w:tcPr>
          <w:p w14:paraId="74EDA2EF" w14:textId="77777777" w:rsidR="00C11A77" w:rsidRPr="001A5AC8" w:rsidRDefault="00C11A77" w:rsidP="00EE4AF0">
            <w:pPr>
              <w:pStyle w:val="TableParagraph"/>
              <w:spacing w:before="0"/>
              <w:rPr>
                <w:rFonts w:ascii="Times New Roman" w:hAnsi="Times New Roman" w:cs="Times New Roman"/>
                <w:bCs/>
                <w:sz w:val="24"/>
                <w:szCs w:val="24"/>
                <w:lang w:val="ru-RU"/>
              </w:rPr>
            </w:pPr>
          </w:p>
          <w:p w14:paraId="5B9092AC" w14:textId="77777777" w:rsidR="00C11A77" w:rsidRPr="001A5AC8" w:rsidRDefault="00C11A77" w:rsidP="00EE4AF0">
            <w:pPr>
              <w:pStyle w:val="TableParagraph"/>
              <w:spacing w:before="0"/>
              <w:ind w:left="79"/>
              <w:rPr>
                <w:rFonts w:ascii="Times New Roman" w:hAnsi="Times New Roman" w:cs="Times New Roman"/>
                <w:bCs/>
                <w:sz w:val="24"/>
                <w:szCs w:val="24"/>
                <w:lang w:val="kk-KZ"/>
              </w:rPr>
            </w:pPr>
            <w:r w:rsidRPr="001A5AC8">
              <w:rPr>
                <w:rFonts w:ascii="Times New Roman" w:hAnsi="Times New Roman" w:cs="Times New Roman"/>
                <w:bCs/>
                <w:color w:val="231F20"/>
                <w:spacing w:val="-4"/>
                <w:sz w:val="24"/>
                <w:szCs w:val="24"/>
                <w:lang w:val="kk-KZ"/>
              </w:rPr>
              <w:t>Причина бесплодия</w:t>
            </w:r>
          </w:p>
        </w:tc>
        <w:tc>
          <w:tcPr>
            <w:tcW w:w="1560" w:type="dxa"/>
          </w:tcPr>
          <w:p w14:paraId="5457C765" w14:textId="77777777" w:rsidR="00C11A77" w:rsidRPr="001A5AC8" w:rsidRDefault="00C11A77" w:rsidP="00EE4AF0">
            <w:pPr>
              <w:rPr>
                <w:rFonts w:ascii="Times New Roman" w:eastAsia="Times New Roman" w:hAnsi="Times New Roman" w:cs="Times New Roman"/>
                <w:bCs/>
                <w:sz w:val="24"/>
                <w:szCs w:val="24"/>
                <w:lang w:val="ru-RU" w:eastAsia="ru-RU"/>
              </w:rPr>
            </w:pPr>
            <w:r w:rsidRPr="001A5AC8">
              <w:rPr>
                <w:rFonts w:ascii="Times New Roman" w:eastAsia="Times New Roman" w:hAnsi="Times New Roman" w:cs="Times New Roman"/>
                <w:bCs/>
                <w:sz w:val="24"/>
                <w:szCs w:val="24"/>
                <w:lang w:val="ru-RU" w:eastAsia="ru-RU"/>
              </w:rPr>
              <w:t xml:space="preserve">Продолжительность бесплодия, лет, </w:t>
            </w:r>
            <w:r w:rsidRPr="001A5AC8">
              <w:rPr>
                <w:rFonts w:ascii="Times New Roman" w:hAnsi="Times New Roman" w:cs="Times New Roman"/>
                <w:bCs/>
                <w:color w:val="231F20"/>
                <w:spacing w:val="-6"/>
                <w:sz w:val="24"/>
                <w:szCs w:val="24"/>
              </w:rPr>
              <w:t>mean</w:t>
            </w:r>
            <w:r w:rsidRPr="001A5AC8">
              <w:rPr>
                <w:rFonts w:ascii="Times New Roman" w:hAnsi="Times New Roman" w:cs="Times New Roman"/>
                <w:bCs/>
                <w:color w:val="231F20"/>
                <w:spacing w:val="-6"/>
                <w:sz w:val="24"/>
                <w:szCs w:val="24"/>
                <w:lang w:val="ru-RU"/>
              </w:rPr>
              <w:t>±</w:t>
            </w:r>
            <w:r w:rsidRPr="001A5AC8">
              <w:rPr>
                <w:rFonts w:ascii="Times New Roman" w:hAnsi="Times New Roman" w:cs="Times New Roman"/>
                <w:bCs/>
                <w:color w:val="231F20"/>
                <w:spacing w:val="-6"/>
                <w:sz w:val="24"/>
                <w:szCs w:val="24"/>
              </w:rPr>
              <w:t>SD</w:t>
            </w:r>
            <w:r w:rsidRPr="001A5AC8">
              <w:rPr>
                <w:rFonts w:ascii="Times New Roman" w:hAnsi="Times New Roman" w:cs="Times New Roman"/>
                <w:bCs/>
                <w:color w:val="231F20"/>
                <w:spacing w:val="-4"/>
                <w:sz w:val="24"/>
                <w:szCs w:val="24"/>
                <w:lang w:val="ru-RU"/>
              </w:rPr>
              <w:t xml:space="preserve"> </w:t>
            </w:r>
            <w:r w:rsidRPr="001A5AC8">
              <w:rPr>
                <w:rFonts w:ascii="Times New Roman" w:hAnsi="Times New Roman" w:cs="Times New Roman"/>
                <w:bCs/>
                <w:color w:val="231F20"/>
                <w:spacing w:val="-6"/>
                <w:sz w:val="24"/>
                <w:szCs w:val="24"/>
                <w:lang w:val="ru-RU"/>
              </w:rPr>
              <w:t>или</w:t>
            </w:r>
            <w:r w:rsidRPr="001A5AC8">
              <w:rPr>
                <w:rFonts w:ascii="Times New Roman" w:hAnsi="Times New Roman" w:cs="Times New Roman"/>
                <w:bCs/>
                <w:color w:val="231F20"/>
                <w:spacing w:val="40"/>
                <w:sz w:val="24"/>
                <w:szCs w:val="24"/>
                <w:lang w:val="ru-RU"/>
              </w:rPr>
              <w:t xml:space="preserve"> </w:t>
            </w:r>
            <w:r w:rsidRPr="001A5AC8">
              <w:rPr>
                <w:rFonts w:ascii="Times New Roman" w:hAnsi="Times New Roman" w:cs="Times New Roman"/>
                <w:bCs/>
                <w:color w:val="231F20"/>
                <w:sz w:val="24"/>
                <w:szCs w:val="24"/>
              </w:rPr>
              <w:t>median</w:t>
            </w:r>
            <w:r w:rsidRPr="001A5AC8">
              <w:rPr>
                <w:rFonts w:ascii="Times New Roman" w:hAnsi="Times New Roman" w:cs="Times New Roman"/>
                <w:bCs/>
                <w:color w:val="231F20"/>
                <w:spacing w:val="-9"/>
                <w:sz w:val="24"/>
                <w:szCs w:val="24"/>
                <w:lang w:val="ru-RU"/>
              </w:rPr>
              <w:t xml:space="preserve"> </w:t>
            </w:r>
            <w:r w:rsidRPr="001A5AC8">
              <w:rPr>
                <w:rFonts w:ascii="Times New Roman" w:hAnsi="Times New Roman" w:cs="Times New Roman"/>
                <w:bCs/>
                <w:color w:val="231F20"/>
                <w:sz w:val="24"/>
                <w:szCs w:val="24"/>
                <w:lang w:val="ru-RU"/>
              </w:rPr>
              <w:t>(</w:t>
            </w:r>
            <w:r w:rsidRPr="001A5AC8">
              <w:rPr>
                <w:rFonts w:ascii="Times New Roman" w:hAnsi="Times New Roman" w:cs="Times New Roman"/>
                <w:bCs/>
                <w:color w:val="231F20"/>
                <w:sz w:val="24"/>
                <w:szCs w:val="24"/>
              </w:rPr>
              <w:t>range</w:t>
            </w:r>
            <w:r w:rsidRPr="001A5AC8">
              <w:rPr>
                <w:rFonts w:ascii="Times New Roman" w:hAnsi="Times New Roman" w:cs="Times New Roman"/>
                <w:bCs/>
                <w:color w:val="231F20"/>
                <w:sz w:val="24"/>
                <w:szCs w:val="24"/>
                <w:lang w:val="ru-RU"/>
              </w:rPr>
              <w:t>)</w:t>
            </w:r>
          </w:p>
        </w:tc>
        <w:tc>
          <w:tcPr>
            <w:tcW w:w="992" w:type="dxa"/>
          </w:tcPr>
          <w:p w14:paraId="468951A5" w14:textId="77777777" w:rsidR="00C11A77" w:rsidRPr="001A5AC8" w:rsidRDefault="00C11A77" w:rsidP="00EE4AF0">
            <w:pPr>
              <w:rPr>
                <w:rFonts w:ascii="Times New Roman" w:eastAsia="Times New Roman" w:hAnsi="Times New Roman" w:cs="Times New Roman"/>
                <w:bCs/>
                <w:sz w:val="24"/>
                <w:szCs w:val="24"/>
                <w:lang w:val="ru-RU" w:eastAsia="ru-RU"/>
              </w:rPr>
            </w:pPr>
            <w:r w:rsidRPr="001A5AC8">
              <w:rPr>
                <w:rFonts w:ascii="Times New Roman" w:eastAsia="Times New Roman" w:hAnsi="Times New Roman" w:cs="Times New Roman"/>
                <w:bCs/>
                <w:sz w:val="24"/>
                <w:szCs w:val="24"/>
                <w:lang w:val="ru-RU" w:eastAsia="ru-RU"/>
              </w:rPr>
              <w:t>Вторичное бесплодие</w:t>
            </w:r>
          </w:p>
          <w:p w14:paraId="1D0E0C9F" w14:textId="77777777" w:rsidR="00C11A77" w:rsidRPr="001A5AC8" w:rsidRDefault="00C11A77" w:rsidP="00EE4AF0">
            <w:pPr>
              <w:pStyle w:val="TableParagraph"/>
              <w:spacing w:before="0"/>
              <w:ind w:left="79" w:right="68" w:hanging="1"/>
              <w:jc w:val="center"/>
              <w:rPr>
                <w:rFonts w:ascii="Times New Roman" w:hAnsi="Times New Roman" w:cs="Times New Roman"/>
                <w:bCs/>
                <w:sz w:val="24"/>
                <w:szCs w:val="24"/>
                <w:lang w:val="ru-RU"/>
              </w:rPr>
            </w:pPr>
          </w:p>
        </w:tc>
        <w:tc>
          <w:tcPr>
            <w:tcW w:w="1984" w:type="dxa"/>
          </w:tcPr>
          <w:p w14:paraId="3F06F5E5" w14:textId="77777777" w:rsidR="00C11A77" w:rsidRPr="001A5AC8" w:rsidRDefault="00C11A77" w:rsidP="00EE4AF0">
            <w:pPr>
              <w:pStyle w:val="TableParagraph"/>
              <w:spacing w:before="0"/>
              <w:rPr>
                <w:rFonts w:ascii="Times New Roman" w:hAnsi="Times New Roman" w:cs="Times New Roman"/>
                <w:bCs/>
                <w:sz w:val="24"/>
                <w:szCs w:val="24"/>
                <w:lang w:val="ru-RU"/>
              </w:rPr>
            </w:pPr>
          </w:p>
          <w:p w14:paraId="09142CA2" w14:textId="77777777" w:rsidR="00C11A77" w:rsidRPr="001A5AC8" w:rsidRDefault="00C11A77" w:rsidP="00EE4AF0">
            <w:pPr>
              <w:rPr>
                <w:rFonts w:ascii="Times New Roman" w:eastAsia="Times New Roman" w:hAnsi="Times New Roman" w:cs="Times New Roman"/>
                <w:bCs/>
                <w:sz w:val="24"/>
                <w:szCs w:val="24"/>
                <w:lang w:val="ru-RU" w:eastAsia="ru-RU"/>
              </w:rPr>
            </w:pPr>
            <w:r w:rsidRPr="001A5AC8">
              <w:rPr>
                <w:rFonts w:ascii="Times New Roman" w:eastAsia="Times New Roman" w:hAnsi="Times New Roman" w:cs="Times New Roman"/>
                <w:bCs/>
                <w:sz w:val="24"/>
                <w:szCs w:val="24"/>
                <w:lang w:val="ru-RU" w:eastAsia="ru-RU"/>
              </w:rPr>
              <w:t>Первый автор</w:t>
            </w:r>
          </w:p>
          <w:p w14:paraId="6600FF8B"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p>
        </w:tc>
      </w:tr>
      <w:tr w:rsidR="001A5AC8" w:rsidRPr="001A5AC8" w14:paraId="0EBA44ED" w14:textId="77777777" w:rsidTr="0060156A">
        <w:trPr>
          <w:trHeight w:val="289"/>
        </w:trPr>
        <w:tc>
          <w:tcPr>
            <w:tcW w:w="1221" w:type="dxa"/>
          </w:tcPr>
          <w:p w14:paraId="1E6A2B4F" w14:textId="1AF2FE3C" w:rsidR="001A5AC8" w:rsidRPr="001A5AC8" w:rsidRDefault="001A5AC8" w:rsidP="001A5AC8">
            <w:pPr>
              <w:pStyle w:val="TableParagraph"/>
              <w:spacing w:before="0"/>
              <w:ind w:left="80" w:right="96"/>
              <w:jc w:val="center"/>
              <w:rPr>
                <w:rFonts w:ascii="Times New Roman" w:hAnsi="Times New Roman" w:cs="Times New Roman"/>
                <w:bCs/>
                <w:color w:val="231F20"/>
                <w:spacing w:val="-8"/>
                <w:sz w:val="24"/>
                <w:szCs w:val="24"/>
                <w:lang w:val="kk-KZ"/>
              </w:rPr>
            </w:pPr>
            <w:r>
              <w:rPr>
                <w:rFonts w:ascii="Times New Roman" w:hAnsi="Times New Roman" w:cs="Times New Roman"/>
                <w:bCs/>
                <w:color w:val="231F20"/>
                <w:spacing w:val="-8"/>
                <w:sz w:val="24"/>
                <w:szCs w:val="24"/>
                <w:lang w:val="kk-KZ"/>
              </w:rPr>
              <w:t>1</w:t>
            </w:r>
          </w:p>
        </w:tc>
        <w:tc>
          <w:tcPr>
            <w:tcW w:w="1386" w:type="dxa"/>
          </w:tcPr>
          <w:p w14:paraId="6A0C38FC" w14:textId="770FF7DE" w:rsidR="001A5AC8" w:rsidRPr="001A5AC8" w:rsidRDefault="001A5AC8" w:rsidP="001A5AC8">
            <w:pPr>
              <w:pStyle w:val="TableParagraph"/>
              <w:spacing w:before="0"/>
              <w:ind w:left="79" w:right="178"/>
              <w:jc w:val="center"/>
              <w:rPr>
                <w:rFonts w:ascii="Times New Roman" w:hAnsi="Times New Roman" w:cs="Times New Roman"/>
                <w:bCs/>
                <w:color w:val="231F20"/>
                <w:spacing w:val="-2"/>
                <w:sz w:val="24"/>
                <w:szCs w:val="24"/>
                <w:lang w:val="kk-KZ"/>
              </w:rPr>
            </w:pPr>
            <w:r>
              <w:rPr>
                <w:rFonts w:ascii="Times New Roman" w:hAnsi="Times New Roman" w:cs="Times New Roman"/>
                <w:bCs/>
                <w:color w:val="231F20"/>
                <w:spacing w:val="-2"/>
                <w:sz w:val="24"/>
                <w:szCs w:val="24"/>
                <w:lang w:val="kk-KZ"/>
              </w:rPr>
              <w:t>2</w:t>
            </w:r>
          </w:p>
        </w:tc>
        <w:tc>
          <w:tcPr>
            <w:tcW w:w="2366" w:type="dxa"/>
          </w:tcPr>
          <w:p w14:paraId="71F2F9BB" w14:textId="3AA50911" w:rsidR="001A5AC8" w:rsidRPr="001A5AC8" w:rsidRDefault="001A5AC8" w:rsidP="001A5AC8">
            <w:pPr>
              <w:pStyle w:val="TableParagraph"/>
              <w:spacing w:before="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1560" w:type="dxa"/>
          </w:tcPr>
          <w:p w14:paraId="11636124" w14:textId="6859B01C" w:rsidR="001A5AC8" w:rsidRPr="001A5AC8" w:rsidRDefault="001A5AC8" w:rsidP="001A5AC8">
            <w:pPr>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4</w:t>
            </w:r>
          </w:p>
        </w:tc>
        <w:tc>
          <w:tcPr>
            <w:tcW w:w="992" w:type="dxa"/>
          </w:tcPr>
          <w:p w14:paraId="2C924C44" w14:textId="53C60154" w:rsidR="001A5AC8" w:rsidRPr="001A5AC8" w:rsidRDefault="001A5AC8" w:rsidP="001A5AC8">
            <w:pPr>
              <w:jc w:val="cente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5</w:t>
            </w:r>
          </w:p>
        </w:tc>
        <w:tc>
          <w:tcPr>
            <w:tcW w:w="1984" w:type="dxa"/>
          </w:tcPr>
          <w:p w14:paraId="03848A4C" w14:textId="6E2DE794" w:rsidR="001A5AC8" w:rsidRPr="001A5AC8" w:rsidRDefault="001A5AC8" w:rsidP="001A5AC8">
            <w:pPr>
              <w:pStyle w:val="TableParagraph"/>
              <w:spacing w:before="0"/>
              <w:jc w:val="center"/>
              <w:rPr>
                <w:rFonts w:ascii="Times New Roman" w:hAnsi="Times New Roman" w:cs="Times New Roman"/>
                <w:bCs/>
                <w:sz w:val="24"/>
                <w:szCs w:val="24"/>
                <w:lang w:val="ru-RU"/>
              </w:rPr>
            </w:pPr>
            <w:r>
              <w:rPr>
                <w:rFonts w:ascii="Times New Roman" w:hAnsi="Times New Roman" w:cs="Times New Roman"/>
                <w:bCs/>
                <w:sz w:val="24"/>
                <w:szCs w:val="24"/>
                <w:lang w:val="ru-RU"/>
              </w:rPr>
              <w:t>6</w:t>
            </w:r>
          </w:p>
        </w:tc>
      </w:tr>
      <w:tr w:rsidR="00C11A77" w:rsidRPr="001A5AC8" w14:paraId="6852F875" w14:textId="77777777" w:rsidTr="0060156A">
        <w:trPr>
          <w:trHeight w:val="255"/>
        </w:trPr>
        <w:tc>
          <w:tcPr>
            <w:tcW w:w="1221" w:type="dxa"/>
            <w:tcBorders>
              <w:bottom w:val="nil"/>
            </w:tcBorders>
          </w:tcPr>
          <w:p w14:paraId="0AF2D962"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color w:val="231F20"/>
                <w:spacing w:val="-2"/>
                <w:sz w:val="24"/>
                <w:szCs w:val="24"/>
              </w:rPr>
              <w:t>LBR</w:t>
            </w:r>
            <w:r w:rsidRPr="001A5AC8">
              <w:rPr>
                <w:rFonts w:ascii="Times New Roman" w:hAnsi="Times New Roman" w:cs="Times New Roman"/>
                <w:bCs/>
                <w:color w:val="231F20"/>
                <w:spacing w:val="-2"/>
                <w:sz w:val="24"/>
                <w:szCs w:val="24"/>
                <w:lang w:val="ru-RU"/>
              </w:rPr>
              <w:t>&gt;20%</w:t>
            </w:r>
          </w:p>
        </w:tc>
        <w:tc>
          <w:tcPr>
            <w:tcW w:w="1386" w:type="dxa"/>
            <w:tcBorders>
              <w:bottom w:val="nil"/>
            </w:tcBorders>
          </w:tcPr>
          <w:p w14:paraId="218A342F"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color w:val="231F20"/>
                <w:spacing w:val="2"/>
                <w:sz w:val="24"/>
                <w:szCs w:val="24"/>
              </w:rPr>
              <w:t>CPR</w:t>
            </w:r>
            <w:r w:rsidRPr="001A5AC8">
              <w:rPr>
                <w:rFonts w:ascii="Times New Roman" w:hAnsi="Times New Roman" w:cs="Times New Roman"/>
                <w:bCs/>
                <w:color w:val="231F20"/>
                <w:spacing w:val="50"/>
                <w:sz w:val="24"/>
                <w:szCs w:val="24"/>
                <w:lang w:val="ru-RU"/>
              </w:rPr>
              <w:t xml:space="preserve"> </w:t>
            </w:r>
            <w:r w:rsidRPr="001A5AC8">
              <w:rPr>
                <w:rFonts w:ascii="Times New Roman" w:hAnsi="Times New Roman" w:cs="Times New Roman"/>
                <w:bCs/>
                <w:color w:val="231F20"/>
                <w:spacing w:val="-4"/>
                <w:sz w:val="24"/>
                <w:szCs w:val="24"/>
                <w:lang w:val="ru-RU"/>
              </w:rPr>
              <w:t>&gt;30%</w:t>
            </w:r>
          </w:p>
        </w:tc>
        <w:tc>
          <w:tcPr>
            <w:tcW w:w="2366" w:type="dxa"/>
            <w:tcBorders>
              <w:bottom w:val="nil"/>
            </w:tcBorders>
          </w:tcPr>
          <w:p w14:paraId="4E00AFA9"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Трубный фактор 31,5%</w:t>
            </w:r>
          </w:p>
        </w:tc>
        <w:tc>
          <w:tcPr>
            <w:tcW w:w="1560" w:type="dxa"/>
            <w:tcBorders>
              <w:bottom w:val="nil"/>
            </w:tcBorders>
          </w:tcPr>
          <w:p w14:paraId="0B5FD644" w14:textId="77777777" w:rsidR="00C11A77" w:rsidRPr="001A5AC8" w:rsidRDefault="00C11A77" w:rsidP="00EE4AF0">
            <w:pPr>
              <w:pStyle w:val="TableParagraph"/>
              <w:spacing w:before="0"/>
              <w:ind w:left="302"/>
              <w:rPr>
                <w:rFonts w:ascii="Times New Roman" w:hAnsi="Times New Roman" w:cs="Times New Roman"/>
                <w:bCs/>
                <w:sz w:val="24"/>
                <w:szCs w:val="24"/>
                <w:lang w:val="ru-RU"/>
              </w:rPr>
            </w:pPr>
            <w:r w:rsidRPr="001A5AC8">
              <w:rPr>
                <w:rFonts w:ascii="Times New Roman" w:hAnsi="Times New Roman" w:cs="Times New Roman"/>
                <w:bCs/>
                <w:color w:val="231F20"/>
                <w:sz w:val="24"/>
                <w:szCs w:val="24"/>
                <w:lang w:val="ru-RU"/>
              </w:rPr>
              <w:t>4.0</w:t>
            </w:r>
            <w:r w:rsidRPr="001A5AC8">
              <w:rPr>
                <w:rFonts w:ascii="Times New Roman" w:hAnsi="Times New Roman" w:cs="Times New Roman"/>
                <w:bCs/>
                <w:color w:val="231F20"/>
                <w:spacing w:val="-6"/>
                <w:sz w:val="24"/>
                <w:szCs w:val="24"/>
                <w:lang w:val="ru-RU"/>
              </w:rPr>
              <w:t xml:space="preserve"> </w:t>
            </w:r>
            <w:r w:rsidRPr="001A5AC8">
              <w:rPr>
                <w:rFonts w:ascii="Times New Roman" w:hAnsi="Times New Roman" w:cs="Times New Roman"/>
                <w:bCs/>
                <w:color w:val="231F20"/>
                <w:spacing w:val="-2"/>
                <w:sz w:val="24"/>
                <w:szCs w:val="24"/>
                <w:lang w:val="ru-RU"/>
              </w:rPr>
              <w:t>(1.0–20.0)</w:t>
            </w:r>
          </w:p>
        </w:tc>
        <w:tc>
          <w:tcPr>
            <w:tcW w:w="992" w:type="dxa"/>
            <w:vMerge w:val="restart"/>
          </w:tcPr>
          <w:p w14:paraId="76ABA972"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984" w:type="dxa"/>
            <w:tcBorders>
              <w:bottom w:val="nil"/>
            </w:tcBorders>
          </w:tcPr>
          <w:p w14:paraId="329063D7" w14:textId="68FA26CC" w:rsidR="00C11A77" w:rsidRPr="00F26644" w:rsidRDefault="00C11A77" w:rsidP="00CC19D9">
            <w:pPr>
              <w:pStyle w:val="TableParagraph"/>
              <w:spacing w:before="0"/>
              <w:ind w:left="79"/>
              <w:rPr>
                <w:rFonts w:ascii="Times New Roman" w:hAnsi="Times New Roman" w:cs="Times New Roman"/>
                <w:bCs/>
                <w:sz w:val="20"/>
                <w:szCs w:val="20"/>
                <w:lang w:val="ru-RU"/>
              </w:rPr>
            </w:pPr>
            <w:r w:rsidRPr="00F26644">
              <w:rPr>
                <w:rFonts w:ascii="Times New Roman" w:hAnsi="Times New Roman" w:cs="Times New Roman"/>
                <w:bCs/>
                <w:color w:val="231F20"/>
                <w:spacing w:val="-2"/>
                <w:sz w:val="20"/>
                <w:szCs w:val="20"/>
              </w:rPr>
              <w:t>Yuan</w:t>
            </w:r>
            <w:r w:rsidRPr="00F26644">
              <w:rPr>
                <w:rFonts w:ascii="Times New Roman" w:hAnsi="Times New Roman" w:cs="Times New Roman"/>
                <w:bCs/>
                <w:color w:val="231F20"/>
                <w:spacing w:val="-7"/>
                <w:sz w:val="20"/>
                <w:szCs w:val="20"/>
                <w:lang w:val="ru-RU"/>
              </w:rPr>
              <w:t xml:space="preserve"> </w:t>
            </w:r>
            <w:r w:rsidRPr="00F26644">
              <w:rPr>
                <w:rFonts w:ascii="Times New Roman" w:hAnsi="Times New Roman" w:cs="Times New Roman"/>
                <w:bCs/>
                <w:color w:val="231F20"/>
                <w:spacing w:val="-2"/>
                <w:sz w:val="20"/>
                <w:szCs w:val="20"/>
              </w:rPr>
              <w:t>et</w:t>
            </w:r>
            <w:r w:rsidRPr="00F26644">
              <w:rPr>
                <w:rFonts w:ascii="Times New Roman" w:hAnsi="Times New Roman" w:cs="Times New Roman"/>
                <w:bCs/>
                <w:color w:val="231F20"/>
                <w:spacing w:val="-3"/>
                <w:sz w:val="20"/>
                <w:szCs w:val="20"/>
                <w:lang w:val="ru-RU"/>
              </w:rPr>
              <w:t xml:space="preserve"> </w:t>
            </w:r>
            <w:r w:rsidRPr="00F26644">
              <w:rPr>
                <w:rFonts w:ascii="Times New Roman" w:hAnsi="Times New Roman" w:cs="Times New Roman"/>
                <w:bCs/>
                <w:color w:val="231F20"/>
                <w:spacing w:val="-2"/>
                <w:sz w:val="20"/>
                <w:szCs w:val="20"/>
              </w:rPr>
              <w:t>al</w:t>
            </w:r>
            <w:r w:rsidRPr="00F26644">
              <w:rPr>
                <w:rFonts w:ascii="Times New Roman" w:hAnsi="Times New Roman" w:cs="Times New Roman"/>
                <w:bCs/>
                <w:color w:val="231F20"/>
                <w:spacing w:val="-2"/>
                <w:sz w:val="20"/>
                <w:szCs w:val="20"/>
                <w:lang w:val="ru-RU"/>
              </w:rPr>
              <w:t>.,</w:t>
            </w:r>
            <w:r w:rsidR="00CC19D9" w:rsidRPr="00F26644">
              <w:rPr>
                <w:rFonts w:ascii="Times New Roman" w:hAnsi="Times New Roman" w:cs="Times New Roman"/>
                <w:bCs/>
                <w:color w:val="231F20"/>
                <w:spacing w:val="-2"/>
                <w:sz w:val="20"/>
                <w:szCs w:val="20"/>
                <w:lang w:val="ru-RU"/>
              </w:rPr>
              <w:fldChar w:fldCharType="begin" w:fldLock="1"/>
            </w:r>
            <w:r w:rsidR="008C6800" w:rsidRPr="00F26644">
              <w:rPr>
                <w:rFonts w:ascii="Times New Roman" w:hAnsi="Times New Roman" w:cs="Times New Roman"/>
                <w:bCs/>
                <w:color w:val="231F20"/>
                <w:spacing w:val="-2"/>
                <w:sz w:val="20"/>
                <w:szCs w:val="20"/>
                <w:lang w:val="ru-RU"/>
              </w:rPr>
              <w:instrText>ADDIN CSL_CITATION {"citationItems":[{"id":"ITEM-1","itemData":{"DOI":"10.1016/j.rbmo.2016.05.002","ISSN":"14726491","abstract":"This retrospective study assessed the predictive value of endometrial thickness (EMT) on HCG administration day for the clinical outcome of fresh IVF and intracytoplasmic sperm injection (ICSI) cycles. A total of 8690 consecutive women undergoing 10,787 cycles over a 5-year period were included. The 5th, 50th and 95th centiles for EMT were determined as 8, 11 and 15 mm, respectively. Group analysis according to these centiles (Group 1: &lt; 8 mm; Group 2: ≥ 8 and ≤11 mm; Group 3: &gt; 11 and ≤15 mm; Group 4: &gt; 15 mm) demonstrated significant differences (P &lt; 0.001) in clinical pregnancy rates (23.0%, 37.2%, 46.2% and 53.3%, respectively), live birth rates per clinical pregnancy (63.3%, 72.0%, 78.1% and 80.3%, respectively), spontaneous abortion rates (26.7%, 23.8%, 19.9% and 17.5%, respectively), and ectopic pregnancy rates (10.0%, 4.3%, 2.1% and 2.2%, respectively). Logistic regression analyses showed EMT as one of the independent variables predictive of clinical pregnancy (OR = 1.097; P &lt; 0.001), live birth (OR = 1.078; P &lt; 0.001), spontaneous abortion (OR = 0.948; P &lt; 0.001), and ectopic pregnancy (OR = 0.851; P &lt; 0.001). Future research should aim to understand the underlying mechanisms relating EMT to conception, ectopic implantation and spontaneous abortion.","author":[{"dropping-particle":"","family":"Yuan","given":"Xi","non-dropping-particle":"","parse-names":false,"suffix":""},{"dropping-particle":"","family":"Saravelos","given":"Sotirios H.","non-dropping-particle":"","parse-names":false,"suffix":""},{"dropping-particle":"","family":"Wang","given":"Qiong","non-dropping-particle":"","parse-names":false,"suffix":""},{"dropping-particle":"","family":"Xu","given":"Yanwen","non-dropping-particle":"","parse-names":false,"suffix":""},{"dropping-particle":"","family":"Li","given":"Tin Chiu","non-dropping-particle":"","parse-names":false,"suffix":""},{"dropping-particle":"","family":"Zhou","given":"Canquan","non-dropping-particle":"","parse-names":false,"suffix":""}],"container-title":"Reproductive BioMedicine Online","id":"ITEM-1","issue":"2","issued":{"date-parts":[["2016"]]},"title":"Endometrial thickness as a predictor of pregnancy outcomes in 10787 fresh IVF–ICSI cycles","type":"article-journal","volume":"33"},"uris":["http://www.mendeley.com/documents/?uuid=7b4c714f-7d94-397f-a16e-328d762b026d"]}],"mendeley":{"formattedCitation":"[4]","plainTextFormattedCitation":"[4]","previouslyFormattedCitation":"(4)"},"properties":{"noteIndex":0},"schema":"https://github.com/citation-style-language/schema/raw/master/csl-citation.json"}</w:instrText>
            </w:r>
            <w:r w:rsidR="00CC19D9" w:rsidRPr="00F26644">
              <w:rPr>
                <w:rFonts w:ascii="Times New Roman" w:hAnsi="Times New Roman" w:cs="Times New Roman"/>
                <w:bCs/>
                <w:color w:val="231F20"/>
                <w:spacing w:val="-2"/>
                <w:sz w:val="20"/>
                <w:szCs w:val="20"/>
                <w:lang w:val="ru-RU"/>
              </w:rPr>
              <w:fldChar w:fldCharType="separate"/>
            </w:r>
            <w:r w:rsidR="008C6800" w:rsidRPr="00F26644">
              <w:rPr>
                <w:rFonts w:ascii="Times New Roman" w:hAnsi="Times New Roman" w:cs="Times New Roman"/>
                <w:bCs/>
                <w:noProof/>
                <w:color w:val="231F20"/>
                <w:spacing w:val="-2"/>
                <w:sz w:val="20"/>
                <w:szCs w:val="20"/>
                <w:lang w:val="ru-RU"/>
              </w:rPr>
              <w:t>[4]</w:t>
            </w:r>
            <w:r w:rsidR="00CC19D9" w:rsidRPr="00F26644">
              <w:rPr>
                <w:rFonts w:ascii="Times New Roman" w:hAnsi="Times New Roman" w:cs="Times New Roman"/>
                <w:bCs/>
                <w:color w:val="231F20"/>
                <w:spacing w:val="-2"/>
                <w:sz w:val="20"/>
                <w:szCs w:val="20"/>
                <w:lang w:val="ru-RU"/>
              </w:rPr>
              <w:fldChar w:fldCharType="end"/>
            </w:r>
            <w:r w:rsidRPr="00F26644">
              <w:rPr>
                <w:rFonts w:ascii="Times New Roman" w:hAnsi="Times New Roman" w:cs="Times New Roman"/>
                <w:bCs/>
                <w:color w:val="231F20"/>
                <w:spacing w:val="-4"/>
                <w:sz w:val="20"/>
                <w:szCs w:val="20"/>
                <w:lang w:val="ru-RU"/>
              </w:rPr>
              <w:t>2016</w:t>
            </w:r>
          </w:p>
        </w:tc>
      </w:tr>
      <w:tr w:rsidR="00C11A77" w:rsidRPr="001A5AC8" w14:paraId="4209FC2D" w14:textId="77777777" w:rsidTr="0060156A">
        <w:trPr>
          <w:trHeight w:val="209"/>
        </w:trPr>
        <w:tc>
          <w:tcPr>
            <w:tcW w:w="1221" w:type="dxa"/>
            <w:tcBorders>
              <w:top w:val="nil"/>
              <w:bottom w:val="nil"/>
            </w:tcBorders>
          </w:tcPr>
          <w:p w14:paraId="52129A09"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2EAC3CF0"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20AA8BB8"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Мужской фактор 21,4%</w:t>
            </w:r>
          </w:p>
        </w:tc>
        <w:tc>
          <w:tcPr>
            <w:tcW w:w="1560" w:type="dxa"/>
            <w:tcBorders>
              <w:top w:val="nil"/>
              <w:bottom w:val="nil"/>
            </w:tcBorders>
          </w:tcPr>
          <w:p w14:paraId="49BEE517"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3B6775A1"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0B1865E7"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64EA7A12" w14:textId="77777777" w:rsidTr="0060156A">
        <w:trPr>
          <w:trHeight w:val="209"/>
        </w:trPr>
        <w:tc>
          <w:tcPr>
            <w:tcW w:w="1221" w:type="dxa"/>
            <w:tcBorders>
              <w:top w:val="nil"/>
              <w:bottom w:val="nil"/>
            </w:tcBorders>
          </w:tcPr>
          <w:p w14:paraId="141C191A"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14FBAA41"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15BF2EBF"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Эндометриоз 5,8%</w:t>
            </w:r>
          </w:p>
        </w:tc>
        <w:tc>
          <w:tcPr>
            <w:tcW w:w="1560" w:type="dxa"/>
            <w:tcBorders>
              <w:top w:val="nil"/>
              <w:bottom w:val="nil"/>
            </w:tcBorders>
          </w:tcPr>
          <w:p w14:paraId="62711287"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26E0A747"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137E074B"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07818E47" w14:textId="77777777" w:rsidTr="0060156A">
        <w:trPr>
          <w:trHeight w:val="209"/>
        </w:trPr>
        <w:tc>
          <w:tcPr>
            <w:tcW w:w="1221" w:type="dxa"/>
            <w:tcBorders>
              <w:top w:val="nil"/>
              <w:bottom w:val="nil"/>
            </w:tcBorders>
          </w:tcPr>
          <w:p w14:paraId="1259FCBA"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21412C89"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5C5649C0"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ПГД - хромосомные аномалии 1,7%</w:t>
            </w:r>
          </w:p>
        </w:tc>
        <w:tc>
          <w:tcPr>
            <w:tcW w:w="1560" w:type="dxa"/>
            <w:tcBorders>
              <w:top w:val="nil"/>
              <w:bottom w:val="nil"/>
            </w:tcBorders>
          </w:tcPr>
          <w:p w14:paraId="75583D9D"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55409B55"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2A93E9EA"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782BC1D1" w14:textId="77777777" w:rsidTr="0060156A">
        <w:trPr>
          <w:trHeight w:val="209"/>
        </w:trPr>
        <w:tc>
          <w:tcPr>
            <w:tcW w:w="1221" w:type="dxa"/>
            <w:tcBorders>
              <w:top w:val="nil"/>
              <w:bottom w:val="nil"/>
            </w:tcBorders>
          </w:tcPr>
          <w:p w14:paraId="103BEC39"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65E2038C"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2AAEFE95"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ПГД - талассемия у обоих</w:t>
            </w:r>
          </w:p>
        </w:tc>
        <w:tc>
          <w:tcPr>
            <w:tcW w:w="1560" w:type="dxa"/>
            <w:tcBorders>
              <w:top w:val="nil"/>
              <w:bottom w:val="nil"/>
            </w:tcBorders>
          </w:tcPr>
          <w:p w14:paraId="1669631D"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640BFFDD"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3B63A132"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66E38F0F" w14:textId="77777777" w:rsidTr="0060156A">
        <w:trPr>
          <w:trHeight w:val="209"/>
        </w:trPr>
        <w:tc>
          <w:tcPr>
            <w:tcW w:w="1221" w:type="dxa"/>
            <w:tcBorders>
              <w:top w:val="nil"/>
              <w:bottom w:val="nil"/>
            </w:tcBorders>
          </w:tcPr>
          <w:p w14:paraId="41B77A25"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36D5A3CD"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3CF9B874"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партнеров 1,3%</w:t>
            </w:r>
          </w:p>
        </w:tc>
        <w:tc>
          <w:tcPr>
            <w:tcW w:w="1560" w:type="dxa"/>
            <w:tcBorders>
              <w:top w:val="nil"/>
              <w:bottom w:val="nil"/>
            </w:tcBorders>
          </w:tcPr>
          <w:p w14:paraId="532610D5"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76609B49"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73322C8A"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3DF8909B" w14:textId="77777777" w:rsidTr="0060156A">
        <w:trPr>
          <w:trHeight w:val="209"/>
        </w:trPr>
        <w:tc>
          <w:tcPr>
            <w:tcW w:w="1221" w:type="dxa"/>
            <w:tcBorders>
              <w:top w:val="nil"/>
              <w:bottom w:val="nil"/>
            </w:tcBorders>
          </w:tcPr>
          <w:p w14:paraId="42F42610"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2B651811"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60591F5D"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Множественные факторы 35,2%</w:t>
            </w:r>
          </w:p>
        </w:tc>
        <w:tc>
          <w:tcPr>
            <w:tcW w:w="1560" w:type="dxa"/>
            <w:tcBorders>
              <w:top w:val="nil"/>
              <w:bottom w:val="nil"/>
            </w:tcBorders>
          </w:tcPr>
          <w:p w14:paraId="56150ECC"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00E5840D"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00079555"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03102C30" w14:textId="77777777" w:rsidTr="0060156A">
        <w:trPr>
          <w:trHeight w:val="209"/>
        </w:trPr>
        <w:tc>
          <w:tcPr>
            <w:tcW w:w="1221" w:type="dxa"/>
            <w:tcBorders>
              <w:top w:val="nil"/>
              <w:bottom w:val="nil"/>
            </w:tcBorders>
          </w:tcPr>
          <w:p w14:paraId="03D06E87"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6E2CE0B2"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4AB4FA95"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Бесплодие неясного генеза 3,1%</w:t>
            </w:r>
          </w:p>
        </w:tc>
        <w:tc>
          <w:tcPr>
            <w:tcW w:w="1560" w:type="dxa"/>
            <w:tcBorders>
              <w:top w:val="nil"/>
              <w:bottom w:val="nil"/>
            </w:tcBorders>
          </w:tcPr>
          <w:p w14:paraId="1BFE11F4"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7D037FB9"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0A47E45B"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331F143C" w14:textId="77777777" w:rsidTr="0060156A">
        <w:trPr>
          <w:trHeight w:val="237"/>
        </w:trPr>
        <w:tc>
          <w:tcPr>
            <w:tcW w:w="1221" w:type="dxa"/>
            <w:tcBorders>
              <w:top w:val="nil"/>
              <w:bottom w:val="nil"/>
            </w:tcBorders>
          </w:tcPr>
          <w:p w14:paraId="1E7BD899"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1031310A"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tcBorders>
          </w:tcPr>
          <w:p w14:paraId="4A3313BD"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Трубный фактор 31,5%</w:t>
            </w:r>
          </w:p>
        </w:tc>
        <w:tc>
          <w:tcPr>
            <w:tcW w:w="1560" w:type="dxa"/>
            <w:tcBorders>
              <w:top w:val="nil"/>
            </w:tcBorders>
          </w:tcPr>
          <w:p w14:paraId="248921F6"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3BE8AE36" w14:textId="77777777" w:rsidR="00C11A77" w:rsidRPr="001A5AC8" w:rsidRDefault="00C11A77" w:rsidP="00EE4AF0">
            <w:pPr>
              <w:rPr>
                <w:rFonts w:ascii="Times New Roman" w:hAnsi="Times New Roman" w:cs="Times New Roman"/>
                <w:bCs/>
                <w:sz w:val="24"/>
                <w:szCs w:val="24"/>
              </w:rPr>
            </w:pPr>
          </w:p>
        </w:tc>
        <w:tc>
          <w:tcPr>
            <w:tcW w:w="1984" w:type="dxa"/>
            <w:tcBorders>
              <w:top w:val="nil"/>
            </w:tcBorders>
          </w:tcPr>
          <w:p w14:paraId="68703145"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1814E486" w14:textId="77777777" w:rsidTr="0060156A">
        <w:trPr>
          <w:trHeight w:val="255"/>
        </w:trPr>
        <w:tc>
          <w:tcPr>
            <w:tcW w:w="1221" w:type="dxa"/>
            <w:tcBorders>
              <w:top w:val="nil"/>
              <w:bottom w:val="nil"/>
            </w:tcBorders>
          </w:tcPr>
          <w:p w14:paraId="4A58186A"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30AD7373"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bottom w:val="nil"/>
            </w:tcBorders>
          </w:tcPr>
          <w:p w14:paraId="0932CD8F"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Тяжелый мужской фактор 25,9%</w:t>
            </w:r>
          </w:p>
        </w:tc>
        <w:tc>
          <w:tcPr>
            <w:tcW w:w="1560" w:type="dxa"/>
            <w:tcBorders>
              <w:bottom w:val="nil"/>
            </w:tcBorders>
          </w:tcPr>
          <w:p w14:paraId="7D04A510" w14:textId="77777777" w:rsidR="00C11A77" w:rsidRPr="001A5AC8" w:rsidRDefault="00C11A77" w:rsidP="00EE4AF0">
            <w:pPr>
              <w:pStyle w:val="TableParagraph"/>
              <w:spacing w:before="0"/>
              <w:ind w:left="302"/>
              <w:rPr>
                <w:rFonts w:ascii="Times New Roman" w:hAnsi="Times New Roman" w:cs="Times New Roman"/>
                <w:bCs/>
                <w:sz w:val="24"/>
                <w:szCs w:val="24"/>
                <w:lang w:val="ru-RU"/>
              </w:rPr>
            </w:pPr>
            <w:r w:rsidRPr="001A5AC8">
              <w:rPr>
                <w:rFonts w:ascii="Times New Roman" w:hAnsi="Times New Roman" w:cs="Times New Roman"/>
                <w:bCs/>
                <w:color w:val="231F20"/>
                <w:spacing w:val="-2"/>
                <w:sz w:val="24"/>
                <w:szCs w:val="24"/>
                <w:lang w:val="ru-RU"/>
              </w:rPr>
              <w:t>3.0</w:t>
            </w:r>
            <w:r w:rsidRPr="001A5AC8">
              <w:rPr>
                <w:rFonts w:ascii="Times New Roman" w:hAnsi="Times New Roman" w:cs="Times New Roman"/>
                <w:bCs/>
                <w:color w:val="231F20"/>
                <w:spacing w:val="-5"/>
                <w:sz w:val="24"/>
                <w:szCs w:val="24"/>
                <w:lang w:val="ru-RU"/>
              </w:rPr>
              <w:t xml:space="preserve"> </w:t>
            </w:r>
            <w:r w:rsidRPr="001A5AC8">
              <w:rPr>
                <w:rFonts w:ascii="Times New Roman" w:hAnsi="Times New Roman" w:cs="Times New Roman"/>
                <w:bCs/>
                <w:color w:val="231F20"/>
                <w:spacing w:val="-2"/>
                <w:sz w:val="24"/>
                <w:szCs w:val="24"/>
                <w:lang w:val="ru-RU"/>
              </w:rPr>
              <w:t>(2.0-</w:t>
            </w:r>
            <w:r w:rsidRPr="001A5AC8">
              <w:rPr>
                <w:rFonts w:ascii="Times New Roman" w:hAnsi="Times New Roman" w:cs="Times New Roman"/>
                <w:bCs/>
                <w:color w:val="231F20"/>
                <w:spacing w:val="-4"/>
                <w:sz w:val="24"/>
                <w:szCs w:val="24"/>
                <w:lang w:val="ru-RU"/>
              </w:rPr>
              <w:t>4.0)</w:t>
            </w:r>
          </w:p>
        </w:tc>
        <w:tc>
          <w:tcPr>
            <w:tcW w:w="992" w:type="dxa"/>
            <w:vMerge w:val="restart"/>
          </w:tcPr>
          <w:p w14:paraId="363D46E8"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984" w:type="dxa"/>
            <w:tcBorders>
              <w:bottom w:val="nil"/>
            </w:tcBorders>
          </w:tcPr>
          <w:p w14:paraId="67D601EE" w14:textId="05736C1F" w:rsidR="00C11A77" w:rsidRPr="009B6FB6" w:rsidRDefault="0060156A" w:rsidP="009B6FB6">
            <w:pPr>
              <w:pStyle w:val="TableParagraph"/>
              <w:spacing w:before="0"/>
              <w:ind w:left="-5"/>
              <w:rPr>
                <w:rFonts w:ascii="Times New Roman" w:hAnsi="Times New Roman" w:cs="Times New Roman"/>
                <w:bCs/>
                <w:sz w:val="18"/>
                <w:szCs w:val="18"/>
                <w:lang w:val="ru-RU"/>
              </w:rPr>
            </w:pPr>
            <w:r w:rsidRPr="009B6FB6">
              <w:rPr>
                <w:rFonts w:ascii="Times New Roman" w:hAnsi="Times New Roman" w:cs="Times New Roman"/>
                <w:bCs/>
                <w:color w:val="231F20"/>
                <w:sz w:val="18"/>
                <w:szCs w:val="18"/>
              </w:rPr>
              <w:t>V</w:t>
            </w:r>
            <w:r w:rsidRPr="009B6FB6">
              <w:rPr>
                <w:rFonts w:ascii="Times New Roman" w:hAnsi="Times New Roman" w:cs="Times New Roman"/>
                <w:bCs/>
                <w:color w:val="231F20"/>
                <w:sz w:val="18"/>
                <w:szCs w:val="18"/>
                <w:lang w:val="ru-RU"/>
              </w:rPr>
              <w:t>.</w:t>
            </w:r>
            <w:r w:rsidR="00C11A77" w:rsidRPr="009B6FB6">
              <w:rPr>
                <w:rFonts w:ascii="Times New Roman" w:hAnsi="Times New Roman" w:cs="Times New Roman"/>
                <w:bCs/>
                <w:color w:val="231F20"/>
                <w:sz w:val="18"/>
                <w:szCs w:val="18"/>
              </w:rPr>
              <w:t>Wolff</w:t>
            </w:r>
            <w:r w:rsidR="00C11A77" w:rsidRPr="009B6FB6">
              <w:rPr>
                <w:rFonts w:ascii="Times New Roman" w:hAnsi="Times New Roman" w:cs="Times New Roman"/>
                <w:bCs/>
                <w:color w:val="231F20"/>
                <w:spacing w:val="-3"/>
                <w:sz w:val="18"/>
                <w:szCs w:val="18"/>
                <w:lang w:val="ru-RU"/>
              </w:rPr>
              <w:t xml:space="preserve"> </w:t>
            </w:r>
            <w:r w:rsidR="00C11A77" w:rsidRPr="009B6FB6">
              <w:rPr>
                <w:rFonts w:ascii="Times New Roman" w:hAnsi="Times New Roman" w:cs="Times New Roman"/>
                <w:bCs/>
                <w:color w:val="231F20"/>
                <w:sz w:val="18"/>
                <w:szCs w:val="18"/>
              </w:rPr>
              <w:t>et</w:t>
            </w:r>
            <w:r w:rsidR="00C11A77" w:rsidRPr="009B6FB6">
              <w:rPr>
                <w:rFonts w:ascii="Times New Roman" w:hAnsi="Times New Roman" w:cs="Times New Roman"/>
                <w:bCs/>
                <w:color w:val="231F20"/>
                <w:spacing w:val="-3"/>
                <w:sz w:val="18"/>
                <w:szCs w:val="18"/>
                <w:lang w:val="ru-RU"/>
              </w:rPr>
              <w:t xml:space="preserve"> </w:t>
            </w:r>
            <w:r w:rsidR="00C11A77" w:rsidRPr="009B6FB6">
              <w:rPr>
                <w:rFonts w:ascii="Times New Roman" w:hAnsi="Times New Roman" w:cs="Times New Roman"/>
                <w:bCs/>
                <w:color w:val="231F20"/>
                <w:sz w:val="18"/>
                <w:szCs w:val="18"/>
              </w:rPr>
              <w:t>al</w:t>
            </w:r>
            <w:r w:rsidR="00C11A77" w:rsidRPr="009B6FB6">
              <w:rPr>
                <w:rFonts w:ascii="Times New Roman" w:hAnsi="Times New Roman" w:cs="Times New Roman"/>
                <w:bCs/>
                <w:color w:val="231F20"/>
                <w:sz w:val="18"/>
                <w:szCs w:val="18"/>
                <w:lang w:val="ru-RU"/>
              </w:rPr>
              <w:t>.,</w:t>
            </w:r>
            <w:r w:rsidR="00CC19D9" w:rsidRPr="009B6FB6">
              <w:rPr>
                <w:rFonts w:ascii="Times New Roman" w:hAnsi="Times New Roman" w:cs="Times New Roman"/>
                <w:bCs/>
                <w:color w:val="231F20"/>
                <w:spacing w:val="-4"/>
                <w:sz w:val="18"/>
                <w:szCs w:val="18"/>
                <w:lang w:val="ru-RU"/>
              </w:rPr>
              <w:fldChar w:fldCharType="begin" w:fldLock="1"/>
            </w:r>
            <w:r w:rsidR="008C6800" w:rsidRPr="009B6FB6">
              <w:rPr>
                <w:rFonts w:ascii="Times New Roman" w:hAnsi="Times New Roman" w:cs="Times New Roman"/>
                <w:bCs/>
                <w:color w:val="231F20"/>
                <w:spacing w:val="-4"/>
                <w:sz w:val="18"/>
                <w:szCs w:val="18"/>
                <w:lang w:val="ru-RU"/>
              </w:rPr>
              <w:instrText>ADDIN CSL_CITATION {"citationItems":[{"id":"ITEM-1","itemData":{"ISSN":"1664-2392","author":[{"dropping-particle":"","family":"Wolff","given":"Michael","non-dropping-particle":"Von","parse-names":false,"suffix":""},{"dropping-particle":"","family":"Fäh","given":"Monika","non-dropping-particle":"","parse-names":false,"suffix":""},{"dropping-particle":"","family":"Roumet","given":"Marie","non-dropping-particle":"","parse-names":false,"suffix":""},{"dropping-particle":"","family":"Mitter","given":"Vera","non-dropping-particle":"","parse-names":false,"suffix":""},{"dropping-particle":"","family":"Stute","given":"Petra","non-dropping-particle":"","parse-names":false,"suffix":""},{"dropping-particle":"","family":"Griesinger","given":"Georg","non-dropping-particle":"","parse-names":false,"suffix":""},{"dropping-particle":"","family":"Kohl Schwartz","given":"Alexandra","non-dropping-particle":"","parse-names":false,"suffix":""}],"container-title":"Frontiers in endocrinology","id":"ITEM-1","issued":{"date-parts":[["2018"]]},"page":"776","publisher":"Frontiers Media SA","title":"Thin endometrium is also associated with lower clinical pregnancy rate in unstimulated menstrual cycles: a study based on natural cycle IVF","type":"article-journal","volume":"9"},"uris":["http://www.mendeley.com/documents/?uuid=8865ed06-7d20-44e4-9f90-d0b36efca8e3"]}],"mendeley":{"formattedCitation":"[108]","plainTextFormattedCitation":"[108]","previouslyFormattedCitation":"(108)"},"properties":{"noteIndex":0},"schema":"https://github.com/citation-style-language/schema/raw/master/csl-citation.json"}</w:instrText>
            </w:r>
            <w:r w:rsidR="00CC19D9" w:rsidRPr="009B6FB6">
              <w:rPr>
                <w:rFonts w:ascii="Times New Roman" w:hAnsi="Times New Roman" w:cs="Times New Roman"/>
                <w:bCs/>
                <w:color w:val="231F20"/>
                <w:spacing w:val="-4"/>
                <w:sz w:val="18"/>
                <w:szCs w:val="18"/>
                <w:lang w:val="ru-RU"/>
              </w:rPr>
              <w:fldChar w:fldCharType="separate"/>
            </w:r>
            <w:r w:rsidR="008C6800" w:rsidRPr="009B6FB6">
              <w:rPr>
                <w:rFonts w:ascii="Times New Roman" w:hAnsi="Times New Roman" w:cs="Times New Roman"/>
                <w:bCs/>
                <w:noProof/>
                <w:color w:val="231F20"/>
                <w:spacing w:val="-4"/>
                <w:sz w:val="18"/>
                <w:szCs w:val="18"/>
                <w:lang w:val="ru-RU"/>
              </w:rPr>
              <w:t>[108]</w:t>
            </w:r>
            <w:r w:rsidR="00CC19D9" w:rsidRPr="009B6FB6">
              <w:rPr>
                <w:rFonts w:ascii="Times New Roman" w:hAnsi="Times New Roman" w:cs="Times New Roman"/>
                <w:bCs/>
                <w:color w:val="231F20"/>
                <w:spacing w:val="-4"/>
                <w:sz w:val="18"/>
                <w:szCs w:val="18"/>
                <w:lang w:val="ru-RU"/>
              </w:rPr>
              <w:fldChar w:fldCharType="end"/>
            </w:r>
            <w:r w:rsidR="00F26644" w:rsidRPr="009B6FB6">
              <w:rPr>
                <w:rFonts w:ascii="Times New Roman" w:hAnsi="Times New Roman" w:cs="Times New Roman"/>
                <w:bCs/>
                <w:color w:val="231F20"/>
                <w:spacing w:val="-4"/>
                <w:sz w:val="18"/>
                <w:szCs w:val="18"/>
                <w:lang w:val="ru-RU"/>
              </w:rPr>
              <w:t xml:space="preserve"> 2018</w:t>
            </w:r>
          </w:p>
        </w:tc>
      </w:tr>
      <w:tr w:rsidR="00C11A77" w:rsidRPr="001A5AC8" w14:paraId="38DC4B33" w14:textId="77777777" w:rsidTr="0060156A">
        <w:trPr>
          <w:trHeight w:val="210"/>
        </w:trPr>
        <w:tc>
          <w:tcPr>
            <w:tcW w:w="1221" w:type="dxa"/>
            <w:tcBorders>
              <w:top w:val="nil"/>
              <w:bottom w:val="nil"/>
            </w:tcBorders>
          </w:tcPr>
          <w:p w14:paraId="748FB315"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47D614A1"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7AE242D2"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Умеренный/легкий мужской фактор</w:t>
            </w:r>
          </w:p>
        </w:tc>
        <w:tc>
          <w:tcPr>
            <w:tcW w:w="1560" w:type="dxa"/>
            <w:tcBorders>
              <w:top w:val="nil"/>
              <w:bottom w:val="nil"/>
            </w:tcBorders>
          </w:tcPr>
          <w:p w14:paraId="552A666D"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56A8526A"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126E9F27" w14:textId="11CD7E3B" w:rsidR="00C11A77" w:rsidRPr="00F26644" w:rsidRDefault="00C11A77" w:rsidP="0060156A">
            <w:pPr>
              <w:pStyle w:val="TableParagraph"/>
              <w:spacing w:before="0"/>
              <w:rPr>
                <w:rFonts w:ascii="Times New Roman" w:hAnsi="Times New Roman" w:cs="Times New Roman"/>
                <w:bCs/>
                <w:sz w:val="16"/>
                <w:szCs w:val="16"/>
                <w:lang w:val="ru-RU"/>
              </w:rPr>
            </w:pPr>
          </w:p>
        </w:tc>
      </w:tr>
      <w:tr w:rsidR="00C11A77" w:rsidRPr="001A5AC8" w14:paraId="499750D9" w14:textId="77777777" w:rsidTr="0060156A">
        <w:trPr>
          <w:trHeight w:val="209"/>
        </w:trPr>
        <w:tc>
          <w:tcPr>
            <w:tcW w:w="1221" w:type="dxa"/>
            <w:tcBorders>
              <w:top w:val="nil"/>
              <w:bottom w:val="nil"/>
            </w:tcBorders>
          </w:tcPr>
          <w:p w14:paraId="763DA78F"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36521674"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06344393"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22.2%</w:t>
            </w:r>
          </w:p>
        </w:tc>
        <w:tc>
          <w:tcPr>
            <w:tcW w:w="1560" w:type="dxa"/>
            <w:tcBorders>
              <w:top w:val="nil"/>
              <w:bottom w:val="nil"/>
            </w:tcBorders>
          </w:tcPr>
          <w:p w14:paraId="1E11134E"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101E53F5"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76878F74"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3E188E65" w14:textId="77777777" w:rsidTr="0060156A">
        <w:trPr>
          <w:trHeight w:val="209"/>
        </w:trPr>
        <w:tc>
          <w:tcPr>
            <w:tcW w:w="1221" w:type="dxa"/>
            <w:tcBorders>
              <w:top w:val="nil"/>
              <w:bottom w:val="nil"/>
            </w:tcBorders>
          </w:tcPr>
          <w:p w14:paraId="4D056A79"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63D29566"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20BA440C"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Трубный фактор, эндометриоз</w:t>
            </w:r>
          </w:p>
        </w:tc>
        <w:tc>
          <w:tcPr>
            <w:tcW w:w="1560" w:type="dxa"/>
            <w:tcBorders>
              <w:top w:val="nil"/>
              <w:bottom w:val="nil"/>
            </w:tcBorders>
          </w:tcPr>
          <w:p w14:paraId="24D1399B"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099BC076"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3733177B"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1CC0157E" w14:textId="77777777" w:rsidTr="0060156A">
        <w:trPr>
          <w:trHeight w:val="209"/>
        </w:trPr>
        <w:tc>
          <w:tcPr>
            <w:tcW w:w="1221" w:type="dxa"/>
            <w:tcBorders>
              <w:top w:val="nil"/>
              <w:bottom w:val="nil"/>
            </w:tcBorders>
          </w:tcPr>
          <w:p w14:paraId="4F1B81D2"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6D5039EA"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39CAC40A"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rPr>
              <w:t>rAFS</w:t>
            </w:r>
            <w:r w:rsidRPr="001A5AC8">
              <w:rPr>
                <w:rFonts w:ascii="Times New Roman" w:hAnsi="Times New Roman" w:cs="Times New Roman"/>
                <w:bCs/>
                <w:sz w:val="24"/>
                <w:szCs w:val="24"/>
                <w:lang w:val="ru-RU"/>
              </w:rPr>
              <w:t xml:space="preserve"> </w:t>
            </w:r>
            <w:r w:rsidRPr="001A5AC8">
              <w:rPr>
                <w:rFonts w:ascii="Times New Roman" w:hAnsi="Times New Roman" w:cs="Times New Roman"/>
                <w:bCs/>
                <w:sz w:val="24"/>
                <w:szCs w:val="24"/>
              </w:rPr>
              <w:t>I</w:t>
            </w:r>
            <w:r w:rsidRPr="001A5AC8">
              <w:rPr>
                <w:rFonts w:ascii="Times New Roman" w:hAnsi="Times New Roman" w:cs="Times New Roman"/>
                <w:bCs/>
                <w:sz w:val="24"/>
                <w:szCs w:val="24"/>
                <w:lang w:val="ru-RU"/>
              </w:rPr>
              <w:t>-</w:t>
            </w:r>
            <w:r w:rsidRPr="001A5AC8">
              <w:rPr>
                <w:rFonts w:ascii="Times New Roman" w:hAnsi="Times New Roman" w:cs="Times New Roman"/>
                <w:bCs/>
                <w:sz w:val="24"/>
                <w:szCs w:val="24"/>
              </w:rPr>
              <w:t>II</w:t>
            </w:r>
            <w:r w:rsidRPr="001A5AC8">
              <w:rPr>
                <w:rFonts w:ascii="Times New Roman" w:hAnsi="Times New Roman" w:cs="Times New Roman"/>
                <w:bCs/>
                <w:sz w:val="24"/>
                <w:szCs w:val="24"/>
                <w:lang w:val="ru-RU"/>
              </w:rPr>
              <w:t>. и смешанные факторы</w:t>
            </w:r>
          </w:p>
        </w:tc>
        <w:tc>
          <w:tcPr>
            <w:tcW w:w="1560" w:type="dxa"/>
            <w:tcBorders>
              <w:top w:val="nil"/>
              <w:bottom w:val="nil"/>
            </w:tcBorders>
          </w:tcPr>
          <w:p w14:paraId="32CF7B31"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5CB5CC2F" w14:textId="77777777" w:rsidR="00C11A77" w:rsidRPr="001A5AC8" w:rsidRDefault="00C11A77" w:rsidP="00EE4AF0">
            <w:pPr>
              <w:rPr>
                <w:rFonts w:ascii="Times New Roman" w:hAnsi="Times New Roman" w:cs="Times New Roman"/>
                <w:bCs/>
                <w:sz w:val="24"/>
                <w:szCs w:val="24"/>
                <w:lang w:val="ru-RU"/>
              </w:rPr>
            </w:pPr>
          </w:p>
        </w:tc>
        <w:tc>
          <w:tcPr>
            <w:tcW w:w="1984" w:type="dxa"/>
            <w:tcBorders>
              <w:top w:val="nil"/>
              <w:bottom w:val="nil"/>
            </w:tcBorders>
          </w:tcPr>
          <w:p w14:paraId="4567088E"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58F556F7" w14:textId="77777777" w:rsidTr="0060156A">
        <w:trPr>
          <w:trHeight w:val="209"/>
        </w:trPr>
        <w:tc>
          <w:tcPr>
            <w:tcW w:w="1221" w:type="dxa"/>
            <w:tcBorders>
              <w:top w:val="nil"/>
              <w:bottom w:val="nil"/>
            </w:tcBorders>
          </w:tcPr>
          <w:p w14:paraId="10053774"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332D04DB"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6120035F"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18.5%</w:t>
            </w:r>
          </w:p>
        </w:tc>
        <w:tc>
          <w:tcPr>
            <w:tcW w:w="1560" w:type="dxa"/>
            <w:tcBorders>
              <w:top w:val="nil"/>
              <w:bottom w:val="nil"/>
            </w:tcBorders>
          </w:tcPr>
          <w:p w14:paraId="242E4E19"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1F76CEDB" w14:textId="77777777" w:rsidR="00C11A77" w:rsidRPr="001A5AC8" w:rsidRDefault="00C11A77" w:rsidP="00EE4AF0">
            <w:pPr>
              <w:rPr>
                <w:rFonts w:ascii="Times New Roman" w:hAnsi="Times New Roman" w:cs="Times New Roman"/>
                <w:bCs/>
                <w:sz w:val="24"/>
                <w:szCs w:val="24"/>
              </w:rPr>
            </w:pPr>
          </w:p>
        </w:tc>
        <w:tc>
          <w:tcPr>
            <w:tcW w:w="1984" w:type="dxa"/>
            <w:tcBorders>
              <w:top w:val="nil"/>
              <w:bottom w:val="nil"/>
            </w:tcBorders>
          </w:tcPr>
          <w:p w14:paraId="2BEA5CC2"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36B7426F" w14:textId="77777777" w:rsidTr="0060156A">
        <w:trPr>
          <w:trHeight w:val="237"/>
        </w:trPr>
        <w:tc>
          <w:tcPr>
            <w:tcW w:w="1221" w:type="dxa"/>
            <w:tcBorders>
              <w:top w:val="nil"/>
              <w:bottom w:val="nil"/>
            </w:tcBorders>
          </w:tcPr>
          <w:p w14:paraId="57162F6D"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09263F71"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tcBorders>
          </w:tcPr>
          <w:p w14:paraId="1B5C9989"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Идиопатический 33,3%</w:t>
            </w:r>
          </w:p>
        </w:tc>
        <w:tc>
          <w:tcPr>
            <w:tcW w:w="1560" w:type="dxa"/>
            <w:tcBorders>
              <w:top w:val="nil"/>
            </w:tcBorders>
          </w:tcPr>
          <w:p w14:paraId="4A7ADB2F"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vMerge/>
            <w:tcBorders>
              <w:top w:val="nil"/>
            </w:tcBorders>
          </w:tcPr>
          <w:p w14:paraId="66377FAD" w14:textId="77777777" w:rsidR="00C11A77" w:rsidRPr="001A5AC8" w:rsidRDefault="00C11A77" w:rsidP="00EE4AF0">
            <w:pPr>
              <w:rPr>
                <w:rFonts w:ascii="Times New Roman" w:hAnsi="Times New Roman" w:cs="Times New Roman"/>
                <w:bCs/>
                <w:sz w:val="24"/>
                <w:szCs w:val="24"/>
              </w:rPr>
            </w:pPr>
          </w:p>
        </w:tc>
        <w:tc>
          <w:tcPr>
            <w:tcW w:w="1984" w:type="dxa"/>
            <w:tcBorders>
              <w:top w:val="nil"/>
            </w:tcBorders>
          </w:tcPr>
          <w:p w14:paraId="7A29F55F" w14:textId="77777777" w:rsidR="00C11A77" w:rsidRPr="001A5AC8" w:rsidRDefault="00C11A77" w:rsidP="00EE4AF0">
            <w:pPr>
              <w:pStyle w:val="TableParagraph"/>
              <w:spacing w:before="0"/>
              <w:rPr>
                <w:rFonts w:ascii="Times New Roman" w:hAnsi="Times New Roman" w:cs="Times New Roman"/>
                <w:bCs/>
                <w:sz w:val="24"/>
                <w:szCs w:val="24"/>
                <w:lang w:val="ru-RU"/>
              </w:rPr>
            </w:pPr>
          </w:p>
        </w:tc>
      </w:tr>
      <w:tr w:rsidR="00C11A77" w:rsidRPr="001A5AC8" w14:paraId="7C88C4E1" w14:textId="77777777" w:rsidTr="0060156A">
        <w:trPr>
          <w:trHeight w:val="259"/>
        </w:trPr>
        <w:tc>
          <w:tcPr>
            <w:tcW w:w="1221" w:type="dxa"/>
            <w:tcBorders>
              <w:top w:val="nil"/>
              <w:bottom w:val="nil"/>
            </w:tcBorders>
          </w:tcPr>
          <w:p w14:paraId="2F7C7F28"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5626EB69"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bottom w:val="nil"/>
            </w:tcBorders>
          </w:tcPr>
          <w:p w14:paraId="2E21F8BB"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Уровень прогестерона в день триггера</w:t>
            </w:r>
          </w:p>
        </w:tc>
        <w:tc>
          <w:tcPr>
            <w:tcW w:w="1560" w:type="dxa"/>
            <w:tcBorders>
              <w:bottom w:val="nil"/>
            </w:tcBorders>
          </w:tcPr>
          <w:p w14:paraId="684FF2C0" w14:textId="77777777" w:rsidR="00C11A77" w:rsidRPr="001A5AC8" w:rsidRDefault="00C11A77" w:rsidP="00EE4AF0">
            <w:pPr>
              <w:pStyle w:val="TableParagraph"/>
              <w:spacing w:before="0"/>
              <w:ind w:left="302"/>
              <w:rPr>
                <w:rFonts w:ascii="Times New Roman" w:hAnsi="Times New Roman" w:cs="Times New Roman"/>
                <w:bCs/>
                <w:sz w:val="24"/>
                <w:szCs w:val="24"/>
                <w:lang w:val="ru-RU"/>
              </w:rPr>
            </w:pPr>
            <w:r w:rsidRPr="001A5AC8">
              <w:rPr>
                <w:rFonts w:ascii="Times New Roman" w:hAnsi="Times New Roman" w:cs="Times New Roman"/>
                <w:bCs/>
                <w:color w:val="231F20"/>
                <w:sz w:val="24"/>
                <w:szCs w:val="24"/>
                <w:lang w:val="ru-RU"/>
              </w:rPr>
              <w:t>3.9</w:t>
            </w:r>
            <w:r w:rsidRPr="001A5AC8">
              <w:rPr>
                <w:rFonts w:ascii="Times New Roman" w:hAnsi="Times New Roman" w:cs="Times New Roman"/>
                <w:bCs/>
                <w:color w:val="231F20"/>
                <w:spacing w:val="-5"/>
                <w:sz w:val="24"/>
                <w:szCs w:val="24"/>
                <w:lang w:val="ru-RU"/>
              </w:rPr>
              <w:t xml:space="preserve"> </w:t>
            </w:r>
            <w:r w:rsidRPr="001A5AC8">
              <w:rPr>
                <w:rFonts w:ascii="Times New Roman" w:hAnsi="Times New Roman" w:cs="Times New Roman"/>
                <w:bCs/>
                <w:color w:val="231F20"/>
                <w:sz w:val="24"/>
                <w:szCs w:val="24"/>
                <w:lang w:val="ru-RU"/>
              </w:rPr>
              <w:t>+</w:t>
            </w:r>
            <w:r w:rsidRPr="001A5AC8">
              <w:rPr>
                <w:rFonts w:ascii="Times New Roman" w:hAnsi="Times New Roman" w:cs="Times New Roman"/>
                <w:bCs/>
                <w:color w:val="231F20"/>
                <w:spacing w:val="-5"/>
                <w:sz w:val="24"/>
                <w:szCs w:val="24"/>
                <w:lang w:val="ru-RU"/>
              </w:rPr>
              <w:t xml:space="preserve"> 2.1</w:t>
            </w:r>
          </w:p>
        </w:tc>
        <w:tc>
          <w:tcPr>
            <w:tcW w:w="992" w:type="dxa"/>
            <w:tcBorders>
              <w:bottom w:val="nil"/>
            </w:tcBorders>
          </w:tcPr>
          <w:p w14:paraId="5E20A144" w14:textId="77777777" w:rsidR="00C11A77" w:rsidRPr="001A5AC8" w:rsidRDefault="00C11A77" w:rsidP="00EE4AF0">
            <w:pPr>
              <w:pStyle w:val="TableParagraph"/>
              <w:spacing w:before="0"/>
              <w:ind w:right="60"/>
              <w:jc w:val="center"/>
              <w:rPr>
                <w:rFonts w:ascii="Times New Roman" w:hAnsi="Times New Roman" w:cs="Times New Roman"/>
                <w:bCs/>
                <w:sz w:val="24"/>
                <w:szCs w:val="24"/>
                <w:lang w:val="ru-RU"/>
              </w:rPr>
            </w:pPr>
            <w:r w:rsidRPr="001A5AC8">
              <w:rPr>
                <w:rFonts w:ascii="Times New Roman" w:hAnsi="Times New Roman" w:cs="Times New Roman"/>
                <w:bCs/>
                <w:color w:val="231F20"/>
                <w:spacing w:val="-2"/>
                <w:sz w:val="24"/>
                <w:szCs w:val="24"/>
                <w:lang w:val="ru-RU"/>
              </w:rPr>
              <w:t>34.9%</w:t>
            </w:r>
          </w:p>
        </w:tc>
        <w:tc>
          <w:tcPr>
            <w:tcW w:w="1984" w:type="dxa"/>
            <w:tcBorders>
              <w:bottom w:val="nil"/>
            </w:tcBorders>
          </w:tcPr>
          <w:p w14:paraId="24D78EAA" w14:textId="6F49FBA1" w:rsidR="00C11A77" w:rsidRPr="009B6FB6" w:rsidRDefault="00C11A77" w:rsidP="00CC19D9">
            <w:pPr>
              <w:pStyle w:val="TableParagraph"/>
              <w:spacing w:before="0"/>
              <w:ind w:left="79"/>
              <w:rPr>
                <w:rFonts w:ascii="Times New Roman" w:hAnsi="Times New Roman" w:cs="Times New Roman"/>
                <w:bCs/>
                <w:sz w:val="18"/>
                <w:szCs w:val="18"/>
                <w:lang w:val="ru-RU"/>
              </w:rPr>
            </w:pPr>
            <w:r w:rsidRPr="009B6FB6">
              <w:rPr>
                <w:rFonts w:ascii="Times New Roman" w:hAnsi="Times New Roman" w:cs="Times New Roman"/>
                <w:bCs/>
                <w:color w:val="231F20"/>
                <w:sz w:val="18"/>
                <w:szCs w:val="18"/>
              </w:rPr>
              <w:t>Song</w:t>
            </w:r>
            <w:r w:rsidRPr="009B6FB6">
              <w:rPr>
                <w:rFonts w:ascii="Times New Roman" w:hAnsi="Times New Roman" w:cs="Times New Roman"/>
                <w:bCs/>
                <w:color w:val="231F20"/>
                <w:spacing w:val="-1"/>
                <w:sz w:val="18"/>
                <w:szCs w:val="18"/>
                <w:lang w:val="ru-RU"/>
              </w:rPr>
              <w:t xml:space="preserve"> </w:t>
            </w:r>
            <w:r w:rsidRPr="009B6FB6">
              <w:rPr>
                <w:rFonts w:ascii="Times New Roman" w:hAnsi="Times New Roman" w:cs="Times New Roman"/>
                <w:bCs/>
                <w:color w:val="231F20"/>
                <w:sz w:val="18"/>
                <w:szCs w:val="18"/>
              </w:rPr>
              <w:t>et</w:t>
            </w:r>
            <w:r w:rsidRPr="009B6FB6">
              <w:rPr>
                <w:rFonts w:ascii="Times New Roman" w:hAnsi="Times New Roman" w:cs="Times New Roman"/>
                <w:bCs/>
                <w:color w:val="231F20"/>
                <w:spacing w:val="-1"/>
                <w:sz w:val="18"/>
                <w:szCs w:val="18"/>
                <w:lang w:val="ru-RU"/>
              </w:rPr>
              <w:t xml:space="preserve"> </w:t>
            </w:r>
            <w:r w:rsidRPr="009B6FB6">
              <w:rPr>
                <w:rFonts w:ascii="Times New Roman" w:hAnsi="Times New Roman" w:cs="Times New Roman"/>
                <w:bCs/>
                <w:color w:val="231F20"/>
                <w:sz w:val="18"/>
                <w:szCs w:val="18"/>
              </w:rPr>
              <w:t>al</w:t>
            </w:r>
            <w:r w:rsidRPr="009B6FB6">
              <w:rPr>
                <w:rFonts w:ascii="Times New Roman" w:hAnsi="Times New Roman" w:cs="Times New Roman"/>
                <w:bCs/>
                <w:color w:val="231F20"/>
                <w:sz w:val="18"/>
                <w:szCs w:val="18"/>
                <w:lang w:val="ru-RU"/>
              </w:rPr>
              <w:t>.,</w:t>
            </w:r>
            <w:r w:rsidRPr="009B6FB6">
              <w:rPr>
                <w:rFonts w:ascii="Times New Roman" w:hAnsi="Times New Roman" w:cs="Times New Roman"/>
                <w:bCs/>
                <w:color w:val="231F20"/>
                <w:spacing w:val="-7"/>
                <w:sz w:val="18"/>
                <w:szCs w:val="18"/>
                <w:lang w:val="ru-RU"/>
              </w:rPr>
              <w:t xml:space="preserve"> </w:t>
            </w:r>
            <w:r w:rsidR="00CC19D9" w:rsidRPr="009B6FB6">
              <w:rPr>
                <w:rFonts w:ascii="Times New Roman" w:hAnsi="Times New Roman" w:cs="Times New Roman"/>
                <w:bCs/>
                <w:color w:val="231F20"/>
                <w:spacing w:val="-4"/>
                <w:sz w:val="18"/>
                <w:szCs w:val="18"/>
                <w:lang w:val="ru-RU"/>
              </w:rPr>
              <w:fldChar w:fldCharType="begin" w:fldLock="1"/>
            </w:r>
            <w:r w:rsidR="008C6800" w:rsidRPr="009B6FB6">
              <w:rPr>
                <w:rFonts w:ascii="Times New Roman" w:hAnsi="Times New Roman" w:cs="Times New Roman"/>
                <w:bCs/>
                <w:color w:val="231F20"/>
                <w:spacing w:val="-4"/>
                <w:sz w:val="18"/>
                <w:szCs w:val="18"/>
                <w:lang w:val="ru-RU"/>
              </w:rPr>
              <w:instrText>ADDIN CSL_CITATION {"citationItems":[{"id":"ITEM-1","itemData":{"ISSN":"1933-7191","author":[{"dropping-particle":"","family":"Song","given":"Jianyuan","non-dropping-particle":"","parse-names":false,"suffix":""},{"dropping-particle":"","family":"Sun","given":"Xuejiao","non-dropping-particle":"","parse-names":false,"suffix":""},{"dropping-particle":"","family":"Qian","given":"Kun","non-dropping-particle":"","parse-names":false,"suffix":""}],"container-title":"Reproductive sciences","id":"ITEM-1","issued":{"date-parts":[["2019"]]},"page":"1409-1416","publisher":"Springer","title":"Endometrial but not ovarian response is associated with clinical outcomes and can be improved by prolonged pituitary downregulation in patients with thin and medium endometrium","type":"article-journal","volume":"26"},"uris":["http://www.mendeley.com/documents/?uuid=3d3acc4b-ed56-48e8-8a38-2127304e614e"]}],"mendeley":{"formattedCitation":"[124]","plainTextFormattedCitation":"[124]","previouslyFormattedCitation":"(124)"},"properties":{"noteIndex":0},"schema":"https://github.com/citation-style-language/schema/raw/master/csl-citation.json"}</w:instrText>
            </w:r>
            <w:r w:rsidR="00CC19D9" w:rsidRPr="009B6FB6">
              <w:rPr>
                <w:rFonts w:ascii="Times New Roman" w:hAnsi="Times New Roman" w:cs="Times New Roman"/>
                <w:bCs/>
                <w:color w:val="231F20"/>
                <w:spacing w:val="-4"/>
                <w:sz w:val="18"/>
                <w:szCs w:val="18"/>
                <w:lang w:val="ru-RU"/>
              </w:rPr>
              <w:fldChar w:fldCharType="separate"/>
            </w:r>
            <w:r w:rsidR="008C6800" w:rsidRPr="009B6FB6">
              <w:rPr>
                <w:rFonts w:ascii="Times New Roman" w:hAnsi="Times New Roman" w:cs="Times New Roman"/>
                <w:bCs/>
                <w:noProof/>
                <w:color w:val="231F20"/>
                <w:spacing w:val="-4"/>
                <w:sz w:val="18"/>
                <w:szCs w:val="18"/>
                <w:lang w:val="ru-RU"/>
              </w:rPr>
              <w:t>[124]</w:t>
            </w:r>
            <w:r w:rsidR="00CC19D9" w:rsidRPr="009B6FB6">
              <w:rPr>
                <w:rFonts w:ascii="Times New Roman" w:hAnsi="Times New Roman" w:cs="Times New Roman"/>
                <w:bCs/>
                <w:color w:val="231F20"/>
                <w:spacing w:val="-4"/>
                <w:sz w:val="18"/>
                <w:szCs w:val="18"/>
                <w:lang w:val="ru-RU"/>
              </w:rPr>
              <w:fldChar w:fldCharType="end"/>
            </w:r>
            <w:r w:rsidR="009B6FB6" w:rsidRPr="009B6FB6">
              <w:rPr>
                <w:rFonts w:ascii="Times New Roman" w:hAnsi="Times New Roman" w:cs="Times New Roman"/>
                <w:bCs/>
                <w:color w:val="231F20"/>
                <w:w w:val="90"/>
                <w:sz w:val="18"/>
                <w:szCs w:val="18"/>
                <w:lang w:val="ru-RU"/>
              </w:rPr>
              <w:t xml:space="preserve"> </w:t>
            </w:r>
            <w:r w:rsidR="009B6FB6" w:rsidRPr="009B6FB6">
              <w:rPr>
                <w:rFonts w:ascii="Times New Roman" w:hAnsi="Times New Roman" w:cs="Times New Roman"/>
                <w:bCs/>
                <w:color w:val="231F20"/>
                <w:w w:val="90"/>
                <w:sz w:val="18"/>
                <w:szCs w:val="18"/>
                <w:lang w:val="ru-RU"/>
              </w:rPr>
              <w:t>2019</w:t>
            </w:r>
          </w:p>
        </w:tc>
      </w:tr>
      <w:tr w:rsidR="00C11A77" w:rsidRPr="001A5AC8" w14:paraId="72C091A2" w14:textId="77777777" w:rsidTr="0060156A">
        <w:trPr>
          <w:trHeight w:val="219"/>
        </w:trPr>
        <w:tc>
          <w:tcPr>
            <w:tcW w:w="1221" w:type="dxa"/>
            <w:tcBorders>
              <w:top w:val="nil"/>
              <w:bottom w:val="nil"/>
            </w:tcBorders>
          </w:tcPr>
          <w:p w14:paraId="25F5E3A0"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652A3C93"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bottom w:val="nil"/>
            </w:tcBorders>
          </w:tcPr>
          <w:p w14:paraId="2062D03C"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&lt;1,5 нг/мл</w:t>
            </w:r>
          </w:p>
        </w:tc>
        <w:tc>
          <w:tcPr>
            <w:tcW w:w="1560" w:type="dxa"/>
            <w:tcBorders>
              <w:top w:val="nil"/>
              <w:bottom w:val="nil"/>
            </w:tcBorders>
          </w:tcPr>
          <w:p w14:paraId="09DB58CE"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tcBorders>
              <w:top w:val="nil"/>
              <w:bottom w:val="nil"/>
            </w:tcBorders>
          </w:tcPr>
          <w:p w14:paraId="3EEA837E"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984" w:type="dxa"/>
            <w:tcBorders>
              <w:top w:val="nil"/>
              <w:bottom w:val="nil"/>
            </w:tcBorders>
          </w:tcPr>
          <w:p w14:paraId="45C35C81" w14:textId="1864FC44" w:rsidR="00C11A77" w:rsidRPr="009B6FB6" w:rsidRDefault="00C11A77" w:rsidP="00EE4AF0">
            <w:pPr>
              <w:pStyle w:val="TableParagraph"/>
              <w:spacing w:before="0"/>
              <w:ind w:left="79"/>
              <w:rPr>
                <w:rFonts w:ascii="Times New Roman" w:hAnsi="Times New Roman" w:cs="Times New Roman"/>
                <w:bCs/>
                <w:sz w:val="18"/>
                <w:szCs w:val="18"/>
                <w:lang w:val="ru-RU"/>
              </w:rPr>
            </w:pPr>
            <w:r w:rsidRPr="009B6FB6">
              <w:rPr>
                <w:rFonts w:ascii="Times New Roman" w:hAnsi="Times New Roman" w:cs="Times New Roman"/>
                <w:bCs/>
                <w:color w:val="231F20"/>
                <w:spacing w:val="6"/>
                <w:sz w:val="18"/>
                <w:szCs w:val="18"/>
                <w:lang w:val="ru-RU"/>
              </w:rPr>
              <w:t xml:space="preserve"> </w:t>
            </w:r>
            <w:r w:rsidRPr="009B6FB6">
              <w:rPr>
                <w:rFonts w:ascii="Times New Roman" w:hAnsi="Times New Roman" w:cs="Times New Roman"/>
                <w:bCs/>
                <w:color w:val="231F20"/>
                <w:w w:val="90"/>
                <w:sz w:val="18"/>
                <w:szCs w:val="18"/>
                <w:lang w:val="ru-RU"/>
              </w:rPr>
              <w:t>(</w:t>
            </w:r>
            <w:r w:rsidRPr="009B6FB6">
              <w:rPr>
                <w:rFonts w:ascii="Times New Roman" w:hAnsi="Times New Roman" w:cs="Times New Roman"/>
                <w:bCs/>
                <w:color w:val="231F20"/>
                <w:w w:val="90"/>
                <w:sz w:val="18"/>
                <w:szCs w:val="18"/>
              </w:rPr>
              <w:t>Fresh</w:t>
            </w:r>
            <w:r w:rsidRPr="009B6FB6">
              <w:rPr>
                <w:rFonts w:ascii="Times New Roman" w:hAnsi="Times New Roman" w:cs="Times New Roman"/>
                <w:bCs/>
                <w:color w:val="231F20"/>
                <w:spacing w:val="6"/>
                <w:sz w:val="18"/>
                <w:szCs w:val="18"/>
                <w:lang w:val="ru-RU"/>
              </w:rPr>
              <w:t xml:space="preserve"> </w:t>
            </w:r>
            <w:r w:rsidRPr="009B6FB6">
              <w:rPr>
                <w:rFonts w:ascii="Times New Roman" w:hAnsi="Times New Roman" w:cs="Times New Roman"/>
                <w:bCs/>
                <w:color w:val="231F20"/>
                <w:spacing w:val="-2"/>
                <w:w w:val="90"/>
                <w:sz w:val="18"/>
                <w:szCs w:val="18"/>
              </w:rPr>
              <w:t>Short</w:t>
            </w:r>
          </w:p>
        </w:tc>
      </w:tr>
      <w:tr w:rsidR="00C11A77" w:rsidRPr="001A5AC8" w14:paraId="1DBE5B47" w14:textId="77777777" w:rsidTr="0060156A">
        <w:trPr>
          <w:trHeight w:val="242"/>
        </w:trPr>
        <w:tc>
          <w:tcPr>
            <w:tcW w:w="1221" w:type="dxa"/>
            <w:tcBorders>
              <w:top w:val="nil"/>
              <w:bottom w:val="nil"/>
            </w:tcBorders>
          </w:tcPr>
          <w:p w14:paraId="609FECB6"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386" w:type="dxa"/>
            <w:tcBorders>
              <w:top w:val="nil"/>
              <w:bottom w:val="nil"/>
            </w:tcBorders>
          </w:tcPr>
          <w:p w14:paraId="7248DB81"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2366" w:type="dxa"/>
            <w:tcBorders>
              <w:top w:val="nil"/>
            </w:tcBorders>
          </w:tcPr>
          <w:p w14:paraId="7019D873" w14:textId="77777777" w:rsidR="00C11A77" w:rsidRPr="001A5AC8" w:rsidRDefault="00C11A77" w:rsidP="00EE4AF0">
            <w:pPr>
              <w:pStyle w:val="TableParagraph"/>
              <w:spacing w:before="0"/>
              <w:ind w:left="79"/>
              <w:rPr>
                <w:rFonts w:ascii="Times New Roman" w:hAnsi="Times New Roman" w:cs="Times New Roman"/>
                <w:bCs/>
                <w:sz w:val="24"/>
                <w:szCs w:val="24"/>
                <w:lang w:val="ru-RU"/>
              </w:rPr>
            </w:pPr>
            <w:r w:rsidRPr="001A5AC8">
              <w:rPr>
                <w:rFonts w:ascii="Times New Roman" w:hAnsi="Times New Roman" w:cs="Times New Roman"/>
                <w:bCs/>
                <w:sz w:val="24"/>
                <w:szCs w:val="24"/>
                <w:lang w:val="ru-RU"/>
              </w:rPr>
              <w:t>Уровень прогестерона в день триггера</w:t>
            </w:r>
          </w:p>
        </w:tc>
        <w:tc>
          <w:tcPr>
            <w:tcW w:w="1560" w:type="dxa"/>
            <w:tcBorders>
              <w:top w:val="nil"/>
            </w:tcBorders>
          </w:tcPr>
          <w:p w14:paraId="2A91A5E5"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992" w:type="dxa"/>
            <w:tcBorders>
              <w:top w:val="nil"/>
            </w:tcBorders>
          </w:tcPr>
          <w:p w14:paraId="30960E3F" w14:textId="77777777" w:rsidR="00C11A77" w:rsidRPr="001A5AC8" w:rsidRDefault="00C11A77" w:rsidP="00EE4AF0">
            <w:pPr>
              <w:pStyle w:val="TableParagraph"/>
              <w:spacing w:before="0"/>
              <w:rPr>
                <w:rFonts w:ascii="Times New Roman" w:hAnsi="Times New Roman" w:cs="Times New Roman"/>
                <w:bCs/>
                <w:sz w:val="24"/>
                <w:szCs w:val="24"/>
                <w:lang w:val="ru-RU"/>
              </w:rPr>
            </w:pPr>
          </w:p>
        </w:tc>
        <w:tc>
          <w:tcPr>
            <w:tcW w:w="1984" w:type="dxa"/>
            <w:tcBorders>
              <w:top w:val="nil"/>
            </w:tcBorders>
          </w:tcPr>
          <w:p w14:paraId="07AD4861" w14:textId="77777777" w:rsidR="00C11A77" w:rsidRPr="009B6FB6" w:rsidRDefault="00C11A77" w:rsidP="00EE4AF0">
            <w:pPr>
              <w:pStyle w:val="TableParagraph"/>
              <w:spacing w:before="0"/>
              <w:ind w:left="79"/>
              <w:rPr>
                <w:rFonts w:ascii="Times New Roman" w:hAnsi="Times New Roman" w:cs="Times New Roman"/>
                <w:bCs/>
                <w:sz w:val="18"/>
                <w:szCs w:val="18"/>
              </w:rPr>
            </w:pPr>
            <w:r w:rsidRPr="009B6FB6">
              <w:rPr>
                <w:rFonts w:ascii="Times New Roman" w:hAnsi="Times New Roman" w:cs="Times New Roman"/>
                <w:bCs/>
                <w:color w:val="231F20"/>
                <w:w w:val="105"/>
                <w:sz w:val="18"/>
                <w:szCs w:val="18"/>
              </w:rPr>
              <w:t>GnRH-a</w:t>
            </w:r>
            <w:r w:rsidRPr="009B6FB6">
              <w:rPr>
                <w:rFonts w:ascii="Times New Roman" w:hAnsi="Times New Roman" w:cs="Times New Roman"/>
                <w:bCs/>
                <w:color w:val="231F20"/>
                <w:spacing w:val="44"/>
                <w:w w:val="105"/>
                <w:sz w:val="18"/>
                <w:szCs w:val="18"/>
              </w:rPr>
              <w:t xml:space="preserve"> </w:t>
            </w:r>
            <w:r w:rsidRPr="009B6FB6">
              <w:rPr>
                <w:rFonts w:ascii="Times New Roman" w:hAnsi="Times New Roman" w:cs="Times New Roman"/>
                <w:bCs/>
                <w:color w:val="231F20"/>
                <w:spacing w:val="-2"/>
                <w:w w:val="105"/>
                <w:sz w:val="18"/>
                <w:szCs w:val="18"/>
              </w:rPr>
              <w:t>group)</w:t>
            </w:r>
          </w:p>
        </w:tc>
      </w:tr>
      <w:tr w:rsidR="00C11A77" w:rsidRPr="001A5AC8" w14:paraId="446BCD1C" w14:textId="77777777" w:rsidTr="0060156A">
        <w:trPr>
          <w:trHeight w:val="282"/>
        </w:trPr>
        <w:tc>
          <w:tcPr>
            <w:tcW w:w="1221" w:type="dxa"/>
            <w:tcBorders>
              <w:top w:val="nil"/>
              <w:bottom w:val="nil"/>
            </w:tcBorders>
          </w:tcPr>
          <w:p w14:paraId="2AC06273" w14:textId="77777777" w:rsidR="00C11A77" w:rsidRPr="001A5AC8" w:rsidRDefault="00C11A77" w:rsidP="00EE4AF0">
            <w:pPr>
              <w:pStyle w:val="TableParagraph"/>
              <w:spacing w:before="0"/>
              <w:rPr>
                <w:rFonts w:ascii="Times New Roman" w:hAnsi="Times New Roman" w:cs="Times New Roman"/>
                <w:bCs/>
                <w:sz w:val="24"/>
                <w:szCs w:val="24"/>
              </w:rPr>
            </w:pPr>
          </w:p>
        </w:tc>
        <w:tc>
          <w:tcPr>
            <w:tcW w:w="1386" w:type="dxa"/>
            <w:tcBorders>
              <w:top w:val="nil"/>
              <w:bottom w:val="nil"/>
            </w:tcBorders>
          </w:tcPr>
          <w:p w14:paraId="318D9D56" w14:textId="77777777" w:rsidR="00C11A77" w:rsidRPr="001A5AC8" w:rsidRDefault="00C11A77" w:rsidP="00EE4AF0">
            <w:pPr>
              <w:pStyle w:val="TableParagraph"/>
              <w:spacing w:before="0"/>
              <w:rPr>
                <w:rFonts w:ascii="Times New Roman" w:hAnsi="Times New Roman" w:cs="Times New Roman"/>
                <w:bCs/>
                <w:sz w:val="24"/>
                <w:szCs w:val="24"/>
              </w:rPr>
            </w:pPr>
          </w:p>
        </w:tc>
        <w:tc>
          <w:tcPr>
            <w:tcW w:w="2366" w:type="dxa"/>
          </w:tcPr>
          <w:p w14:paraId="20D9B1A1" w14:textId="77777777" w:rsidR="00C11A77" w:rsidRPr="001A5AC8" w:rsidRDefault="00C11A77" w:rsidP="00EE4AF0">
            <w:pPr>
              <w:pStyle w:val="TableParagraph"/>
              <w:spacing w:before="0"/>
              <w:ind w:left="79"/>
              <w:rPr>
                <w:rFonts w:ascii="Times New Roman" w:hAnsi="Times New Roman" w:cs="Times New Roman"/>
                <w:bCs/>
                <w:sz w:val="24"/>
                <w:szCs w:val="24"/>
              </w:rPr>
            </w:pPr>
            <w:r w:rsidRPr="001A5AC8">
              <w:rPr>
                <w:rFonts w:ascii="Times New Roman" w:hAnsi="Times New Roman" w:cs="Times New Roman"/>
                <w:bCs/>
                <w:sz w:val="24"/>
                <w:szCs w:val="24"/>
              </w:rPr>
              <w:t>СПКЯ, n (%) 9,5%</w:t>
            </w:r>
          </w:p>
        </w:tc>
        <w:tc>
          <w:tcPr>
            <w:tcW w:w="1560" w:type="dxa"/>
            <w:tcBorders>
              <w:bottom w:val="single" w:sz="4" w:space="0" w:color="231F20"/>
            </w:tcBorders>
          </w:tcPr>
          <w:p w14:paraId="5A80289B" w14:textId="77777777" w:rsidR="00C11A77" w:rsidRPr="001A5AC8" w:rsidRDefault="00C11A77" w:rsidP="00EE4AF0">
            <w:pPr>
              <w:pStyle w:val="TableParagraph"/>
              <w:spacing w:before="0"/>
              <w:ind w:left="302"/>
              <w:rPr>
                <w:rFonts w:ascii="Times New Roman" w:hAnsi="Times New Roman" w:cs="Times New Roman"/>
                <w:bCs/>
                <w:sz w:val="24"/>
                <w:szCs w:val="24"/>
              </w:rPr>
            </w:pPr>
            <w:r w:rsidRPr="001A5AC8">
              <w:rPr>
                <w:rFonts w:ascii="Times New Roman" w:hAnsi="Times New Roman" w:cs="Times New Roman"/>
                <w:bCs/>
                <w:color w:val="231F20"/>
                <w:spacing w:val="-2"/>
                <w:sz w:val="24"/>
                <w:szCs w:val="24"/>
              </w:rPr>
              <w:t>4.1±3.2</w:t>
            </w:r>
          </w:p>
        </w:tc>
        <w:tc>
          <w:tcPr>
            <w:tcW w:w="992" w:type="dxa"/>
          </w:tcPr>
          <w:p w14:paraId="01A2A837" w14:textId="77777777" w:rsidR="00C11A77" w:rsidRPr="001A5AC8" w:rsidRDefault="00C11A77" w:rsidP="00EE4AF0">
            <w:pPr>
              <w:pStyle w:val="TableParagraph"/>
              <w:spacing w:before="0"/>
              <w:rPr>
                <w:rFonts w:ascii="Times New Roman" w:hAnsi="Times New Roman" w:cs="Times New Roman"/>
                <w:bCs/>
                <w:sz w:val="24"/>
                <w:szCs w:val="24"/>
              </w:rPr>
            </w:pPr>
          </w:p>
        </w:tc>
        <w:tc>
          <w:tcPr>
            <w:tcW w:w="1984" w:type="dxa"/>
          </w:tcPr>
          <w:p w14:paraId="581BFAA7" w14:textId="0DAE2B8D" w:rsidR="00C11A77" w:rsidRPr="00635EAA" w:rsidRDefault="00C11A77" w:rsidP="00CC19D9">
            <w:pPr>
              <w:pStyle w:val="TableParagraph"/>
              <w:spacing w:before="0"/>
              <w:ind w:left="79"/>
              <w:rPr>
                <w:rFonts w:ascii="Times New Roman" w:hAnsi="Times New Roman" w:cs="Times New Roman"/>
                <w:bCs/>
                <w:sz w:val="18"/>
                <w:szCs w:val="18"/>
              </w:rPr>
            </w:pPr>
            <w:r w:rsidRPr="00635EAA">
              <w:rPr>
                <w:rFonts w:ascii="Times New Roman" w:hAnsi="Times New Roman" w:cs="Times New Roman"/>
                <w:bCs/>
                <w:color w:val="231F20"/>
                <w:sz w:val="18"/>
                <w:szCs w:val="18"/>
              </w:rPr>
              <w:t>Guo</w:t>
            </w:r>
            <w:r w:rsidRPr="00635EAA">
              <w:rPr>
                <w:rFonts w:ascii="Times New Roman" w:hAnsi="Times New Roman" w:cs="Times New Roman"/>
                <w:bCs/>
                <w:color w:val="231F20"/>
                <w:spacing w:val="-3"/>
                <w:sz w:val="18"/>
                <w:szCs w:val="18"/>
              </w:rPr>
              <w:t xml:space="preserve"> </w:t>
            </w:r>
            <w:r w:rsidRPr="00635EAA">
              <w:rPr>
                <w:rFonts w:ascii="Times New Roman" w:hAnsi="Times New Roman" w:cs="Times New Roman"/>
                <w:bCs/>
                <w:color w:val="231F20"/>
                <w:sz w:val="18"/>
                <w:szCs w:val="18"/>
              </w:rPr>
              <w:t>et</w:t>
            </w:r>
            <w:r w:rsidRPr="00635EAA">
              <w:rPr>
                <w:rFonts w:ascii="Times New Roman" w:hAnsi="Times New Roman" w:cs="Times New Roman"/>
                <w:bCs/>
                <w:color w:val="231F20"/>
                <w:spacing w:val="-3"/>
                <w:sz w:val="18"/>
                <w:szCs w:val="18"/>
              </w:rPr>
              <w:t xml:space="preserve"> </w:t>
            </w:r>
            <w:r w:rsidRPr="00635EAA">
              <w:rPr>
                <w:rFonts w:ascii="Times New Roman" w:hAnsi="Times New Roman" w:cs="Times New Roman"/>
                <w:bCs/>
                <w:color w:val="231F20"/>
                <w:sz w:val="18"/>
                <w:szCs w:val="18"/>
              </w:rPr>
              <w:t>al.,</w:t>
            </w:r>
            <w:r w:rsidR="0060156A" w:rsidRPr="00635EAA">
              <w:rPr>
                <w:rFonts w:ascii="Times New Roman" w:hAnsi="Times New Roman" w:cs="Times New Roman"/>
                <w:bCs/>
                <w:color w:val="231F20"/>
                <w:spacing w:val="-9"/>
                <w:sz w:val="18"/>
                <w:szCs w:val="18"/>
                <w:lang w:val="ru-RU"/>
              </w:rPr>
              <w:t xml:space="preserve"> </w:t>
            </w:r>
            <w:r w:rsidR="00CC19D9" w:rsidRPr="00635EAA">
              <w:rPr>
                <w:rFonts w:ascii="Times New Roman" w:hAnsi="Times New Roman" w:cs="Times New Roman"/>
                <w:bCs/>
                <w:color w:val="231F20"/>
                <w:sz w:val="18"/>
                <w:szCs w:val="18"/>
              </w:rPr>
              <w:fldChar w:fldCharType="begin" w:fldLock="1"/>
            </w:r>
            <w:r w:rsidR="008C6800" w:rsidRPr="00635EAA">
              <w:rPr>
                <w:rFonts w:ascii="Times New Roman" w:hAnsi="Times New Roman" w:cs="Times New Roman"/>
                <w:bCs/>
                <w:color w:val="231F20"/>
                <w:sz w:val="18"/>
                <w:szCs w:val="18"/>
              </w:rPr>
              <w:instrText>ADDIN CSL_CITATION {"citationItems":[{"id":"ITEM-1","itemData":{"author":[{"dropping-particle":"","family":"Guo","given":"Zizhen","non-dropping-particle":"","parse-names":false,"suffix":""},{"dropping-particle":"","family":"Chu","given":"Ran","non-dropping-particle":"","parse-names":false,"suffix":""},{"dropping-particle":"","family":"Zhang","given":"Liping","non-dropping-particle":"","parse-names":false,"suffix":""},{"dropping-particle":"","family":"Yu","given":"Qian","non-dropping-particle":"","parse-names":false,"suffix":""},{"dropping-particle":"","family":"Yan","given":"Lei","non-dropping-particle":"","parse-names":false,"suffix":""},{"dropping-particle":"","family":"Ma","given":"Jinlong","non-dropping-particle":"","parse-names":false,"suffix":""}],"container-title":"Annals of Translational Medicine","id":"ITEM-1","issue":"21","issued":{"date-parts":[["2020"]]},"publisher":"AME Publications","title":"Fresh versus frozen embryo transfer in women with thin endometrium: a retrospective cohort study","type":"article-journal","volume":"8"},"uris":["http://www.mendeley.com/documents/?uuid=1120c8e7-bfea-4520-9960-53b0df81ade4"]}],"mendeley":{"formattedCitation":"[118]","plainTextFormattedCitation":"[118]","previouslyFormattedCitation":"(118)"},"properties":{"noteIndex":0},"schema":"https://github.com/citation-style-language/schema/raw/master/csl-citation.json"}</w:instrText>
            </w:r>
            <w:r w:rsidR="00CC19D9" w:rsidRPr="00635EAA">
              <w:rPr>
                <w:rFonts w:ascii="Times New Roman" w:hAnsi="Times New Roman" w:cs="Times New Roman"/>
                <w:bCs/>
                <w:color w:val="231F20"/>
                <w:sz w:val="18"/>
                <w:szCs w:val="18"/>
              </w:rPr>
              <w:fldChar w:fldCharType="separate"/>
            </w:r>
            <w:r w:rsidR="008C6800" w:rsidRPr="00635EAA">
              <w:rPr>
                <w:rFonts w:ascii="Times New Roman" w:hAnsi="Times New Roman" w:cs="Times New Roman"/>
                <w:bCs/>
                <w:noProof/>
                <w:color w:val="231F20"/>
                <w:sz w:val="18"/>
                <w:szCs w:val="18"/>
              </w:rPr>
              <w:t>[118]</w:t>
            </w:r>
            <w:r w:rsidR="00CC19D9" w:rsidRPr="00635EAA">
              <w:rPr>
                <w:rFonts w:ascii="Times New Roman" w:hAnsi="Times New Roman" w:cs="Times New Roman"/>
                <w:bCs/>
                <w:color w:val="231F20"/>
                <w:sz w:val="18"/>
                <w:szCs w:val="18"/>
              </w:rPr>
              <w:fldChar w:fldCharType="end"/>
            </w:r>
            <w:r w:rsidRPr="00635EAA">
              <w:rPr>
                <w:rFonts w:ascii="Times New Roman" w:hAnsi="Times New Roman" w:cs="Times New Roman"/>
                <w:bCs/>
                <w:color w:val="231F20"/>
                <w:spacing w:val="-4"/>
                <w:sz w:val="18"/>
                <w:szCs w:val="18"/>
              </w:rPr>
              <w:t>2020</w:t>
            </w:r>
          </w:p>
        </w:tc>
      </w:tr>
      <w:tr w:rsidR="00C11A77" w:rsidRPr="001A5AC8" w14:paraId="72A06AEB" w14:textId="77777777" w:rsidTr="0060156A">
        <w:trPr>
          <w:trHeight w:val="254"/>
        </w:trPr>
        <w:tc>
          <w:tcPr>
            <w:tcW w:w="1221" w:type="dxa"/>
            <w:tcBorders>
              <w:top w:val="nil"/>
              <w:bottom w:val="nil"/>
            </w:tcBorders>
          </w:tcPr>
          <w:p w14:paraId="76A87473" w14:textId="77777777" w:rsidR="00C11A77" w:rsidRPr="001A5AC8" w:rsidRDefault="00C11A77" w:rsidP="00EE4AF0">
            <w:pPr>
              <w:pStyle w:val="TableParagraph"/>
              <w:spacing w:before="0"/>
              <w:rPr>
                <w:rFonts w:ascii="Times New Roman" w:hAnsi="Times New Roman" w:cs="Times New Roman"/>
                <w:bCs/>
                <w:sz w:val="24"/>
                <w:szCs w:val="24"/>
              </w:rPr>
            </w:pPr>
          </w:p>
        </w:tc>
        <w:tc>
          <w:tcPr>
            <w:tcW w:w="1386" w:type="dxa"/>
            <w:tcBorders>
              <w:top w:val="nil"/>
              <w:bottom w:val="nil"/>
            </w:tcBorders>
          </w:tcPr>
          <w:p w14:paraId="37885258" w14:textId="77777777" w:rsidR="00C11A77" w:rsidRPr="001A5AC8" w:rsidRDefault="00C11A77" w:rsidP="00EE4AF0">
            <w:pPr>
              <w:pStyle w:val="TableParagraph"/>
              <w:spacing w:before="0"/>
              <w:rPr>
                <w:rFonts w:ascii="Times New Roman" w:hAnsi="Times New Roman" w:cs="Times New Roman"/>
                <w:bCs/>
                <w:sz w:val="24"/>
                <w:szCs w:val="24"/>
              </w:rPr>
            </w:pPr>
          </w:p>
        </w:tc>
        <w:tc>
          <w:tcPr>
            <w:tcW w:w="2366" w:type="dxa"/>
            <w:tcBorders>
              <w:bottom w:val="nil"/>
            </w:tcBorders>
          </w:tcPr>
          <w:p w14:paraId="03CBC979" w14:textId="77777777" w:rsidR="00C11A77" w:rsidRPr="001A5AC8" w:rsidRDefault="00C11A77" w:rsidP="00EE4AF0">
            <w:pPr>
              <w:pStyle w:val="TableParagraph"/>
              <w:spacing w:before="0"/>
              <w:ind w:left="79"/>
              <w:rPr>
                <w:rFonts w:ascii="Times New Roman" w:hAnsi="Times New Roman" w:cs="Times New Roman"/>
                <w:bCs/>
                <w:sz w:val="24"/>
                <w:szCs w:val="24"/>
              </w:rPr>
            </w:pPr>
            <w:r w:rsidRPr="001A5AC8">
              <w:rPr>
                <w:rFonts w:ascii="Times New Roman" w:hAnsi="Times New Roman" w:cs="Times New Roman"/>
                <w:bCs/>
                <w:sz w:val="24"/>
                <w:szCs w:val="24"/>
              </w:rPr>
              <w:t>Мужчина 27,88%</w:t>
            </w:r>
          </w:p>
        </w:tc>
        <w:tc>
          <w:tcPr>
            <w:tcW w:w="1560" w:type="dxa"/>
            <w:tcBorders>
              <w:bottom w:val="nil"/>
            </w:tcBorders>
          </w:tcPr>
          <w:p w14:paraId="3BFCCFB8" w14:textId="77777777" w:rsidR="00C11A77" w:rsidRPr="001A5AC8" w:rsidRDefault="00C11A77" w:rsidP="00EE4AF0">
            <w:pPr>
              <w:pStyle w:val="TableParagraph"/>
              <w:spacing w:before="0"/>
              <w:rPr>
                <w:rFonts w:ascii="Times New Roman" w:hAnsi="Times New Roman" w:cs="Times New Roman"/>
                <w:bCs/>
                <w:sz w:val="24"/>
                <w:szCs w:val="24"/>
              </w:rPr>
            </w:pPr>
          </w:p>
        </w:tc>
        <w:tc>
          <w:tcPr>
            <w:tcW w:w="992" w:type="dxa"/>
            <w:tcBorders>
              <w:bottom w:val="nil"/>
            </w:tcBorders>
          </w:tcPr>
          <w:p w14:paraId="6CB9987D" w14:textId="77777777" w:rsidR="00C11A77" w:rsidRPr="001A5AC8" w:rsidRDefault="00C11A77" w:rsidP="00EE4AF0">
            <w:pPr>
              <w:pStyle w:val="TableParagraph"/>
              <w:spacing w:before="0"/>
              <w:ind w:right="60"/>
              <w:jc w:val="center"/>
              <w:rPr>
                <w:rFonts w:ascii="Times New Roman" w:hAnsi="Times New Roman" w:cs="Times New Roman"/>
                <w:bCs/>
                <w:sz w:val="24"/>
                <w:szCs w:val="24"/>
              </w:rPr>
            </w:pPr>
            <w:r w:rsidRPr="001A5AC8">
              <w:rPr>
                <w:rFonts w:ascii="Times New Roman" w:hAnsi="Times New Roman" w:cs="Times New Roman"/>
                <w:bCs/>
                <w:color w:val="231F20"/>
                <w:spacing w:val="-2"/>
                <w:sz w:val="24"/>
                <w:szCs w:val="24"/>
              </w:rPr>
              <w:t>61.9%</w:t>
            </w:r>
          </w:p>
        </w:tc>
        <w:tc>
          <w:tcPr>
            <w:tcW w:w="1984" w:type="dxa"/>
            <w:tcBorders>
              <w:bottom w:val="nil"/>
            </w:tcBorders>
          </w:tcPr>
          <w:p w14:paraId="271BDAAA" w14:textId="230D0BE5" w:rsidR="00C11A77" w:rsidRPr="00635EAA" w:rsidRDefault="00C11A77" w:rsidP="00CC19D9">
            <w:pPr>
              <w:pStyle w:val="TableParagraph"/>
              <w:spacing w:before="0"/>
              <w:ind w:left="79"/>
              <w:rPr>
                <w:rFonts w:ascii="Times New Roman" w:hAnsi="Times New Roman" w:cs="Times New Roman"/>
                <w:bCs/>
                <w:sz w:val="17"/>
                <w:szCs w:val="17"/>
              </w:rPr>
            </w:pPr>
            <w:r w:rsidRPr="00635EAA">
              <w:rPr>
                <w:rFonts w:ascii="Times New Roman" w:hAnsi="Times New Roman" w:cs="Times New Roman"/>
                <w:bCs/>
                <w:color w:val="231F20"/>
                <w:spacing w:val="-2"/>
                <w:sz w:val="17"/>
                <w:szCs w:val="17"/>
              </w:rPr>
              <w:t>Simeonov</w:t>
            </w:r>
            <w:r w:rsidRPr="00635EAA">
              <w:rPr>
                <w:rFonts w:ascii="Times New Roman" w:hAnsi="Times New Roman" w:cs="Times New Roman"/>
                <w:bCs/>
                <w:color w:val="231F20"/>
                <w:spacing w:val="-7"/>
                <w:sz w:val="17"/>
                <w:szCs w:val="17"/>
              </w:rPr>
              <w:t xml:space="preserve"> </w:t>
            </w:r>
            <w:r w:rsidRPr="00635EAA">
              <w:rPr>
                <w:rFonts w:ascii="Times New Roman" w:hAnsi="Times New Roman" w:cs="Times New Roman"/>
                <w:bCs/>
                <w:color w:val="231F20"/>
                <w:spacing w:val="-2"/>
                <w:sz w:val="17"/>
                <w:szCs w:val="17"/>
              </w:rPr>
              <w:t>et</w:t>
            </w:r>
            <w:r w:rsidRPr="00635EAA">
              <w:rPr>
                <w:rFonts w:ascii="Times New Roman" w:hAnsi="Times New Roman" w:cs="Times New Roman"/>
                <w:bCs/>
                <w:color w:val="231F20"/>
                <w:spacing w:val="-5"/>
                <w:sz w:val="17"/>
                <w:szCs w:val="17"/>
              </w:rPr>
              <w:t xml:space="preserve"> </w:t>
            </w:r>
            <w:r w:rsidRPr="00635EAA">
              <w:rPr>
                <w:rFonts w:ascii="Times New Roman" w:hAnsi="Times New Roman" w:cs="Times New Roman"/>
                <w:bCs/>
                <w:color w:val="231F20"/>
                <w:spacing w:val="-2"/>
                <w:sz w:val="17"/>
                <w:szCs w:val="17"/>
              </w:rPr>
              <w:t>al.,</w:t>
            </w:r>
            <w:r w:rsidRPr="00635EAA">
              <w:rPr>
                <w:rFonts w:ascii="Times New Roman" w:hAnsi="Times New Roman" w:cs="Times New Roman"/>
                <w:bCs/>
                <w:color w:val="231F20"/>
                <w:spacing w:val="-8"/>
                <w:sz w:val="17"/>
                <w:szCs w:val="17"/>
              </w:rPr>
              <w:t xml:space="preserve"> </w:t>
            </w:r>
            <w:r w:rsidR="00CC19D9" w:rsidRPr="00635EAA">
              <w:rPr>
                <w:rFonts w:ascii="Times New Roman" w:hAnsi="Times New Roman" w:cs="Times New Roman"/>
                <w:bCs/>
                <w:color w:val="231F20"/>
                <w:spacing w:val="-4"/>
                <w:sz w:val="17"/>
                <w:szCs w:val="17"/>
              </w:rPr>
              <w:fldChar w:fldCharType="begin" w:fldLock="1"/>
            </w:r>
            <w:r w:rsidR="008C6800" w:rsidRPr="00635EAA">
              <w:rPr>
                <w:rFonts w:ascii="Times New Roman" w:hAnsi="Times New Roman" w:cs="Times New Roman"/>
                <w:bCs/>
                <w:color w:val="231F20"/>
                <w:spacing w:val="-4"/>
                <w:sz w:val="17"/>
                <w:szCs w:val="17"/>
              </w:rPr>
              <w:instrText>ADDIN CSL_CITATION {"citationItems":[{"id":"ITEM-1","itemData":{"DOI":"10.1016/j.rbmo.2020.04.008","ISSN":"14726491","PMID":"32532669","abstract":"Research question: What is the association of the entire range of trigger-day endometrial thickness (EMT) with live birth rate (LBR) after IVF and fresh embryo transfer? Although EMT is amenable to convenient non-invasive routine measurement, studies of the association between pre-trigger EMT and assisted reproductive technology outcome have yielded equivocal results. Design: A cohort of IVF fresh day-3 embryo transfers in patients aged 42 years and younger in a single centre between 2009 and 2017. The LBR was calculated for all trigger-day EMT values, stratified into five groups overall and within subgroups of patient age and ovarian response. Univariate analysis and multivariate logistic regression models were used to compare the LBRs at different EMT measurements adjusting for various independent variables. Results: A total of 5133 cycles were included. The LBRs were as follows: 11.22% (35/312) in cycles with EMT 6 mm or less, 17.98% (380/2114) in cycles with EMT 7–9 mm, 23.44% (476/2031) in cycles with EMT 10–12 mm, 25.62% (144/562) in cycles with EMT 13–15 mm and 34.21% (39/114) in cycles with EMT 16 mm or more (P &lt; 0.001). Similar findings were observed by patient age and ovarian response. The observation was confirmed by multivariate logistic regression analysis in which the EMT was found to be a significant independent predictor of LBR even after controlling for various confounders (OR 0.935, 95% CI 0.908 to 0.962; P &lt; 0.001). Conclusions: Pre-trigger EMT is in significant independent correlation with LBR, even after adjusting for age and ovarian response. Maximal endometrial proliferation is beneficial, and fresh embryo transfer can be carried out at high EMT values without endangering the outcome of the cycle.","author":[{"dropping-particle":"","family":"Simeonov","given":"Monica","non-dropping-particle":"","parse-names":false,"suffix":""},{"dropping-particle":"","family":"Sapir","given":"Onit","non-dropping-particle":"","parse-names":false,"suffix":""},{"dropping-particle":"","family":"Lande","given":"Yechezkel","non-dropping-particle":"","parse-names":false,"suffix":""},{"dropping-particle":"","family":"Ben-Haroush","given":"Avi","non-dropping-particle":"","parse-names":false,"suffix":""},{"dropping-particle":"","family":"Oron","given":"Galia","non-dropping-particle":"","parse-names":false,"suffix":""},{"dropping-particle":"","family":"Shlush","given":"Ekaterina","non-dropping-particle":"","parse-names":false,"suffix":""},{"dropping-particle":"","family":"Altman","given":"Eran","non-dropping-particle":"","parse-names":false,"suffix":""},{"dropping-particle":"","family":"Wertheimer","given":"Avital","non-dropping-particle":"","parse-names":false,"suffix":""},{"dropping-particle":"","family":"Shochat","given":"Tzippy","non-dropping-particle":"","parse-names":false,"suffix":""},{"dropping-particle":"","family":"Shufaro","given":"Yoel","non-dropping-particle":"","parse-names":false,"suffix":""}],"container-title":"Reproductive BioMedicine Online","id":"ITEM-1","issue":"2","issued":{"date-parts":[["2020"]]},"page":"239-247","publisher":"Elsevier Ltd","title":"The entire range of trigger-day endometrial thickness in fresh IVF cycles is independently correlated with live birth rate","type":"article-journal","volume":"41"},"uris":["http://www.mendeley.com/documents/?uuid=45429d82-84cf-4fd2-81ff-b50e944df656"]}],"mendeley":{"formattedCitation":"[120]","plainTextFormattedCitation":"[120]","previouslyFormattedCitation":"(120)"},"properties":{"noteIndex":0},"schema":"https://github.com/citation-style-language/schema/raw/master/csl-citation.json"}</w:instrText>
            </w:r>
            <w:r w:rsidR="00CC19D9" w:rsidRPr="00635EAA">
              <w:rPr>
                <w:rFonts w:ascii="Times New Roman" w:hAnsi="Times New Roman" w:cs="Times New Roman"/>
                <w:bCs/>
                <w:color w:val="231F20"/>
                <w:spacing w:val="-4"/>
                <w:sz w:val="17"/>
                <w:szCs w:val="17"/>
              </w:rPr>
              <w:fldChar w:fldCharType="separate"/>
            </w:r>
            <w:r w:rsidR="008C6800" w:rsidRPr="00635EAA">
              <w:rPr>
                <w:rFonts w:ascii="Times New Roman" w:hAnsi="Times New Roman" w:cs="Times New Roman"/>
                <w:bCs/>
                <w:noProof/>
                <w:color w:val="231F20"/>
                <w:spacing w:val="-4"/>
                <w:sz w:val="17"/>
                <w:szCs w:val="17"/>
              </w:rPr>
              <w:t>[120]</w:t>
            </w:r>
            <w:r w:rsidR="00CC19D9" w:rsidRPr="00635EAA">
              <w:rPr>
                <w:rFonts w:ascii="Times New Roman" w:hAnsi="Times New Roman" w:cs="Times New Roman"/>
                <w:bCs/>
                <w:color w:val="231F20"/>
                <w:spacing w:val="-4"/>
                <w:sz w:val="17"/>
                <w:szCs w:val="17"/>
              </w:rPr>
              <w:fldChar w:fldCharType="end"/>
            </w:r>
            <w:r w:rsidR="00635EAA" w:rsidRPr="00635EAA">
              <w:rPr>
                <w:rFonts w:ascii="Times New Roman" w:hAnsi="Times New Roman" w:cs="Times New Roman"/>
                <w:color w:val="231F20"/>
                <w:w w:val="90"/>
                <w:sz w:val="17"/>
                <w:szCs w:val="17"/>
              </w:rPr>
              <w:t xml:space="preserve"> </w:t>
            </w:r>
            <w:r w:rsidR="00635EAA" w:rsidRPr="00635EAA">
              <w:rPr>
                <w:rFonts w:ascii="Times New Roman" w:hAnsi="Times New Roman" w:cs="Times New Roman"/>
                <w:color w:val="231F20"/>
                <w:w w:val="90"/>
                <w:sz w:val="17"/>
                <w:szCs w:val="17"/>
              </w:rPr>
              <w:t>2020</w:t>
            </w:r>
          </w:p>
        </w:tc>
      </w:tr>
    </w:tbl>
    <w:p w14:paraId="4AA0D32C" w14:textId="77777777" w:rsidR="0060156A" w:rsidRDefault="0060156A" w:rsidP="00E475DC">
      <w:pPr>
        <w:spacing w:after="0"/>
        <w:rPr>
          <w:rFonts w:ascii="Times New Roman" w:hAnsi="Times New Roman" w:cs="Times New Roman"/>
          <w:sz w:val="28"/>
          <w:szCs w:val="28"/>
        </w:rPr>
      </w:pPr>
    </w:p>
    <w:p w14:paraId="423D1A9E" w14:textId="294B58F7" w:rsidR="001A5AC8" w:rsidRDefault="001A5AC8" w:rsidP="00E475DC">
      <w:pPr>
        <w:spacing w:after="0"/>
        <w:rPr>
          <w:rFonts w:ascii="Times New Roman" w:hAnsi="Times New Roman" w:cs="Times New Roman"/>
          <w:sz w:val="28"/>
          <w:szCs w:val="28"/>
        </w:rPr>
      </w:pPr>
      <w:r w:rsidRPr="001A5AC8">
        <w:rPr>
          <w:rFonts w:ascii="Times New Roman" w:hAnsi="Times New Roman" w:cs="Times New Roman"/>
          <w:sz w:val="28"/>
          <w:szCs w:val="28"/>
        </w:rPr>
        <w:t>Продолжение таблицы 4</w:t>
      </w:r>
    </w:p>
    <w:p w14:paraId="489593F5" w14:textId="77777777" w:rsidR="00E475DC" w:rsidRDefault="00E475DC" w:rsidP="00E475DC">
      <w:pPr>
        <w:spacing w:after="0"/>
        <w:rPr>
          <w:rFonts w:ascii="Times New Roman" w:hAnsi="Times New Roman" w:cs="Times New Roman"/>
          <w:sz w:val="28"/>
          <w:szCs w:val="28"/>
        </w:rPr>
      </w:pPr>
    </w:p>
    <w:tbl>
      <w:tblPr>
        <w:tblStyle w:val="TableNormal"/>
        <w:tblpPr w:leftFromText="180" w:rightFromText="180" w:vertAnchor="text" w:horzAnchor="page" w:tblpX="1693" w:tblpY="23"/>
        <w:tblW w:w="9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50"/>
        <w:gridCol w:w="988"/>
        <w:gridCol w:w="3123"/>
        <w:gridCol w:w="1276"/>
        <w:gridCol w:w="1129"/>
        <w:gridCol w:w="2131"/>
      </w:tblGrid>
      <w:tr w:rsidR="00E475DC" w:rsidRPr="00916B3A" w14:paraId="4143BF54" w14:textId="77777777" w:rsidTr="00E475DC">
        <w:trPr>
          <w:trHeight w:val="284"/>
        </w:trPr>
        <w:tc>
          <w:tcPr>
            <w:tcW w:w="9497" w:type="dxa"/>
            <w:gridSpan w:val="6"/>
          </w:tcPr>
          <w:p w14:paraId="2F112EF8" w14:textId="77777777" w:rsidR="00E475DC" w:rsidRPr="00916B3A" w:rsidRDefault="00E475DC" w:rsidP="00E475DC">
            <w:pPr>
              <w:pStyle w:val="TableParagraph"/>
              <w:spacing w:before="0"/>
              <w:ind w:left="9"/>
              <w:jc w:val="center"/>
              <w:rPr>
                <w:rFonts w:ascii="Times New Roman" w:hAnsi="Times New Roman" w:cs="Times New Roman"/>
                <w:bCs/>
                <w:i/>
                <w:iCs/>
                <w:sz w:val="24"/>
                <w:szCs w:val="24"/>
                <w:lang w:val="ru-RU"/>
              </w:rPr>
            </w:pPr>
            <w:r w:rsidRPr="00916B3A">
              <w:rPr>
                <w:rFonts w:ascii="Times New Roman" w:hAnsi="Times New Roman" w:cs="Times New Roman"/>
                <w:bCs/>
                <w:i/>
                <w:iCs/>
                <w:color w:val="231F20"/>
                <w:spacing w:val="6"/>
                <w:sz w:val="24"/>
                <w:szCs w:val="24"/>
              </w:rPr>
              <w:t>FET</w:t>
            </w:r>
            <w:r w:rsidRPr="00916B3A">
              <w:rPr>
                <w:rFonts w:ascii="Times New Roman" w:hAnsi="Times New Roman" w:cs="Times New Roman"/>
                <w:bCs/>
                <w:i/>
                <w:iCs/>
                <w:color w:val="231F20"/>
                <w:spacing w:val="29"/>
                <w:sz w:val="24"/>
                <w:szCs w:val="24"/>
              </w:rPr>
              <w:t xml:space="preserve"> </w:t>
            </w:r>
            <w:r w:rsidRPr="00916B3A">
              <w:rPr>
                <w:rFonts w:ascii="Times New Roman" w:hAnsi="Times New Roman" w:cs="Times New Roman"/>
                <w:bCs/>
                <w:i/>
                <w:iCs/>
                <w:color w:val="231F20"/>
                <w:spacing w:val="-2"/>
                <w:sz w:val="24"/>
                <w:szCs w:val="24"/>
                <w:lang w:val="ru-RU"/>
              </w:rPr>
              <w:t>циклы</w:t>
            </w:r>
          </w:p>
        </w:tc>
      </w:tr>
      <w:tr w:rsidR="00E475DC" w:rsidRPr="00916B3A" w14:paraId="75C7D18C" w14:textId="77777777" w:rsidTr="002C05EE">
        <w:trPr>
          <w:trHeight w:val="261"/>
        </w:trPr>
        <w:tc>
          <w:tcPr>
            <w:tcW w:w="850" w:type="dxa"/>
          </w:tcPr>
          <w:p w14:paraId="5F0FCE2F" w14:textId="77777777" w:rsidR="00E475DC" w:rsidRPr="001A5AC8" w:rsidRDefault="00E475DC" w:rsidP="00E475DC">
            <w:pPr>
              <w:pStyle w:val="TableParagraph"/>
              <w:spacing w:before="0"/>
              <w:ind w:left="79" w:right="96"/>
              <w:jc w:val="center"/>
              <w:rPr>
                <w:rFonts w:ascii="Times New Roman" w:hAnsi="Times New Roman" w:cs="Times New Roman"/>
                <w:bCs/>
                <w:i/>
                <w:iCs/>
                <w:sz w:val="24"/>
                <w:szCs w:val="24"/>
                <w:lang w:val="ru-RU"/>
              </w:rPr>
            </w:pPr>
            <w:r>
              <w:rPr>
                <w:rFonts w:ascii="Times New Roman" w:hAnsi="Times New Roman" w:cs="Times New Roman"/>
                <w:bCs/>
                <w:i/>
                <w:iCs/>
                <w:sz w:val="24"/>
                <w:szCs w:val="24"/>
                <w:lang w:val="ru-RU"/>
              </w:rPr>
              <w:t>1</w:t>
            </w:r>
          </w:p>
        </w:tc>
        <w:tc>
          <w:tcPr>
            <w:tcW w:w="988" w:type="dxa"/>
          </w:tcPr>
          <w:p w14:paraId="7C65C4A7" w14:textId="77777777" w:rsidR="00E475DC" w:rsidRPr="001A5AC8" w:rsidRDefault="00E475DC" w:rsidP="00E475DC">
            <w:pPr>
              <w:pStyle w:val="TableParagraph"/>
              <w:spacing w:before="0"/>
              <w:ind w:left="79" w:right="178"/>
              <w:jc w:val="center"/>
              <w:rPr>
                <w:rFonts w:ascii="Times New Roman" w:hAnsi="Times New Roman" w:cs="Times New Roman"/>
                <w:bCs/>
                <w:i/>
                <w:iCs/>
                <w:sz w:val="24"/>
                <w:szCs w:val="24"/>
                <w:lang w:val="ru-RU"/>
              </w:rPr>
            </w:pPr>
            <w:r>
              <w:rPr>
                <w:rFonts w:ascii="Times New Roman" w:hAnsi="Times New Roman" w:cs="Times New Roman"/>
                <w:bCs/>
                <w:i/>
                <w:iCs/>
                <w:sz w:val="24"/>
                <w:szCs w:val="24"/>
                <w:lang w:val="ru-RU"/>
              </w:rPr>
              <w:t>2</w:t>
            </w:r>
          </w:p>
        </w:tc>
        <w:tc>
          <w:tcPr>
            <w:tcW w:w="3123" w:type="dxa"/>
          </w:tcPr>
          <w:p w14:paraId="673623DD" w14:textId="77777777" w:rsidR="00E475DC" w:rsidRPr="001A5AC8" w:rsidRDefault="00E475DC" w:rsidP="00E475DC">
            <w:pPr>
              <w:pStyle w:val="TableParagraph"/>
              <w:spacing w:before="0"/>
              <w:ind w:left="79"/>
              <w:jc w:val="center"/>
              <w:rPr>
                <w:rFonts w:ascii="Times New Roman" w:hAnsi="Times New Roman" w:cs="Times New Roman"/>
                <w:bCs/>
                <w:i/>
                <w:iCs/>
                <w:sz w:val="24"/>
                <w:szCs w:val="24"/>
                <w:lang w:val="ru-RU"/>
              </w:rPr>
            </w:pPr>
            <w:r>
              <w:rPr>
                <w:rFonts w:ascii="Times New Roman" w:hAnsi="Times New Roman" w:cs="Times New Roman"/>
                <w:bCs/>
                <w:i/>
                <w:iCs/>
                <w:sz w:val="24"/>
                <w:szCs w:val="24"/>
                <w:lang w:val="ru-RU"/>
              </w:rPr>
              <w:t>3</w:t>
            </w:r>
          </w:p>
        </w:tc>
        <w:tc>
          <w:tcPr>
            <w:tcW w:w="1276" w:type="dxa"/>
          </w:tcPr>
          <w:p w14:paraId="230AD664" w14:textId="77777777" w:rsidR="00E475DC" w:rsidRPr="00916B3A" w:rsidRDefault="00E475DC" w:rsidP="00E475DC">
            <w:pPr>
              <w:pStyle w:val="TableParagraph"/>
              <w:spacing w:before="0"/>
              <w:jc w:val="center"/>
              <w:rPr>
                <w:rFonts w:ascii="Times New Roman" w:hAnsi="Times New Roman" w:cs="Times New Roman"/>
                <w:bCs/>
                <w:i/>
                <w:iCs/>
                <w:sz w:val="24"/>
                <w:szCs w:val="24"/>
                <w:lang w:val="ru-RU"/>
              </w:rPr>
            </w:pPr>
            <w:r>
              <w:rPr>
                <w:rFonts w:ascii="Times New Roman" w:hAnsi="Times New Roman" w:cs="Times New Roman"/>
                <w:bCs/>
                <w:i/>
                <w:iCs/>
                <w:sz w:val="24"/>
                <w:szCs w:val="24"/>
                <w:lang w:val="ru-RU"/>
              </w:rPr>
              <w:t>4</w:t>
            </w:r>
          </w:p>
        </w:tc>
        <w:tc>
          <w:tcPr>
            <w:tcW w:w="1129" w:type="dxa"/>
          </w:tcPr>
          <w:p w14:paraId="71CF6C87" w14:textId="77777777" w:rsidR="00E475DC" w:rsidRPr="001A5AC8" w:rsidRDefault="00E475DC" w:rsidP="00E475DC">
            <w:pPr>
              <w:pStyle w:val="TableParagraph"/>
              <w:spacing w:before="0"/>
              <w:ind w:left="79" w:right="68" w:hanging="1"/>
              <w:jc w:val="center"/>
              <w:rPr>
                <w:rFonts w:ascii="Times New Roman" w:hAnsi="Times New Roman" w:cs="Times New Roman"/>
                <w:bCs/>
                <w:i/>
                <w:iCs/>
                <w:sz w:val="24"/>
                <w:szCs w:val="24"/>
                <w:lang w:val="ru-RU"/>
              </w:rPr>
            </w:pPr>
            <w:r>
              <w:rPr>
                <w:rFonts w:ascii="Times New Roman" w:hAnsi="Times New Roman" w:cs="Times New Roman"/>
                <w:bCs/>
                <w:i/>
                <w:iCs/>
                <w:sz w:val="24"/>
                <w:szCs w:val="24"/>
                <w:lang w:val="ru-RU"/>
              </w:rPr>
              <w:t>5</w:t>
            </w:r>
          </w:p>
        </w:tc>
        <w:tc>
          <w:tcPr>
            <w:tcW w:w="2131" w:type="dxa"/>
          </w:tcPr>
          <w:p w14:paraId="3D836BB5" w14:textId="77777777" w:rsidR="00E475DC" w:rsidRPr="001A5AC8" w:rsidRDefault="00E475DC" w:rsidP="00E475DC">
            <w:pPr>
              <w:pStyle w:val="TableParagraph"/>
              <w:spacing w:before="0"/>
              <w:ind w:left="79"/>
              <w:jc w:val="center"/>
              <w:rPr>
                <w:rFonts w:ascii="Times New Roman" w:hAnsi="Times New Roman" w:cs="Times New Roman"/>
                <w:bCs/>
                <w:i/>
                <w:iCs/>
                <w:sz w:val="24"/>
                <w:szCs w:val="24"/>
                <w:lang w:val="ru-RU"/>
              </w:rPr>
            </w:pPr>
            <w:r>
              <w:rPr>
                <w:rFonts w:ascii="Times New Roman" w:hAnsi="Times New Roman" w:cs="Times New Roman"/>
                <w:bCs/>
                <w:i/>
                <w:iCs/>
                <w:sz w:val="24"/>
                <w:szCs w:val="24"/>
                <w:lang w:val="ru-RU"/>
              </w:rPr>
              <w:t>6</w:t>
            </w:r>
          </w:p>
        </w:tc>
      </w:tr>
      <w:tr w:rsidR="00E475DC" w:rsidRPr="00916B3A" w14:paraId="4A02FB82" w14:textId="77777777" w:rsidTr="002C05EE">
        <w:trPr>
          <w:trHeight w:val="261"/>
        </w:trPr>
        <w:tc>
          <w:tcPr>
            <w:tcW w:w="850" w:type="dxa"/>
            <w:tcBorders>
              <w:bottom w:val="single" w:sz="4" w:space="0" w:color="231F20"/>
            </w:tcBorders>
          </w:tcPr>
          <w:p w14:paraId="0DBEDD0D" w14:textId="77777777" w:rsidR="00E475DC" w:rsidRDefault="00E475DC" w:rsidP="00E475DC">
            <w:pPr>
              <w:pStyle w:val="TableParagraph"/>
              <w:spacing w:before="0"/>
              <w:ind w:left="79" w:right="96"/>
              <w:jc w:val="center"/>
              <w:rPr>
                <w:rFonts w:ascii="Times New Roman" w:hAnsi="Times New Roman" w:cs="Times New Roman"/>
                <w:bCs/>
                <w:i/>
                <w:iCs/>
                <w:sz w:val="24"/>
                <w:szCs w:val="24"/>
                <w:lang w:val="ru-RU"/>
              </w:rPr>
            </w:pPr>
          </w:p>
        </w:tc>
        <w:tc>
          <w:tcPr>
            <w:tcW w:w="988" w:type="dxa"/>
            <w:tcBorders>
              <w:bottom w:val="single" w:sz="4" w:space="0" w:color="231F20"/>
            </w:tcBorders>
          </w:tcPr>
          <w:p w14:paraId="6E32F27E" w14:textId="77777777" w:rsidR="00E475DC" w:rsidRDefault="00E475DC" w:rsidP="00E475DC">
            <w:pPr>
              <w:pStyle w:val="TableParagraph"/>
              <w:spacing w:before="0"/>
              <w:ind w:left="79" w:right="178"/>
              <w:jc w:val="center"/>
              <w:rPr>
                <w:rFonts w:ascii="Times New Roman" w:hAnsi="Times New Roman" w:cs="Times New Roman"/>
                <w:bCs/>
                <w:i/>
                <w:iCs/>
                <w:sz w:val="24"/>
                <w:szCs w:val="24"/>
                <w:lang w:val="ru-RU"/>
              </w:rPr>
            </w:pPr>
          </w:p>
        </w:tc>
        <w:tc>
          <w:tcPr>
            <w:tcW w:w="3123" w:type="dxa"/>
            <w:tcBorders>
              <w:bottom w:val="single" w:sz="4" w:space="0" w:color="231F20"/>
            </w:tcBorders>
          </w:tcPr>
          <w:p w14:paraId="338DC383" w14:textId="77777777" w:rsidR="00E475DC" w:rsidRDefault="00E475DC" w:rsidP="00E475DC">
            <w:pPr>
              <w:pStyle w:val="TableParagraph"/>
              <w:spacing w:before="0"/>
              <w:ind w:left="79"/>
              <w:jc w:val="center"/>
              <w:rPr>
                <w:rFonts w:ascii="Times New Roman" w:hAnsi="Times New Roman" w:cs="Times New Roman"/>
                <w:bCs/>
                <w:i/>
                <w:iCs/>
                <w:sz w:val="24"/>
                <w:szCs w:val="24"/>
                <w:lang w:val="ru-RU"/>
              </w:rPr>
            </w:pPr>
            <w:r w:rsidRPr="001A5AC8">
              <w:rPr>
                <w:rFonts w:ascii="Times New Roman" w:hAnsi="Times New Roman" w:cs="Times New Roman"/>
                <w:bCs/>
                <w:sz w:val="24"/>
                <w:szCs w:val="24"/>
              </w:rPr>
              <w:t>Другие 72,12%</w:t>
            </w:r>
          </w:p>
        </w:tc>
        <w:tc>
          <w:tcPr>
            <w:tcW w:w="1276" w:type="dxa"/>
            <w:tcBorders>
              <w:bottom w:val="single" w:sz="4" w:space="0" w:color="231F20"/>
            </w:tcBorders>
          </w:tcPr>
          <w:p w14:paraId="60923641" w14:textId="77777777" w:rsidR="00E475DC" w:rsidRDefault="00E475DC" w:rsidP="00E475DC">
            <w:pPr>
              <w:pStyle w:val="TableParagraph"/>
              <w:spacing w:before="0"/>
              <w:jc w:val="center"/>
              <w:rPr>
                <w:rFonts w:ascii="Times New Roman" w:hAnsi="Times New Roman" w:cs="Times New Roman"/>
                <w:bCs/>
                <w:i/>
                <w:iCs/>
                <w:sz w:val="24"/>
                <w:szCs w:val="24"/>
                <w:lang w:val="ru-RU"/>
              </w:rPr>
            </w:pPr>
          </w:p>
        </w:tc>
        <w:tc>
          <w:tcPr>
            <w:tcW w:w="1129" w:type="dxa"/>
            <w:tcBorders>
              <w:bottom w:val="single" w:sz="4" w:space="0" w:color="231F20"/>
            </w:tcBorders>
          </w:tcPr>
          <w:p w14:paraId="64384842" w14:textId="77777777" w:rsidR="00E475DC" w:rsidRDefault="00E475DC" w:rsidP="00E475DC">
            <w:pPr>
              <w:pStyle w:val="TableParagraph"/>
              <w:spacing w:before="0"/>
              <w:ind w:left="79" w:right="68" w:hanging="1"/>
              <w:jc w:val="center"/>
              <w:rPr>
                <w:rFonts w:ascii="Times New Roman" w:hAnsi="Times New Roman" w:cs="Times New Roman"/>
                <w:bCs/>
                <w:i/>
                <w:iCs/>
                <w:sz w:val="24"/>
                <w:szCs w:val="24"/>
                <w:lang w:val="ru-RU"/>
              </w:rPr>
            </w:pPr>
          </w:p>
        </w:tc>
        <w:tc>
          <w:tcPr>
            <w:tcW w:w="2131" w:type="dxa"/>
            <w:tcBorders>
              <w:bottom w:val="single" w:sz="4" w:space="0" w:color="231F20"/>
            </w:tcBorders>
          </w:tcPr>
          <w:p w14:paraId="5E38F45A" w14:textId="50F8D0E8" w:rsidR="00E475DC" w:rsidRDefault="00E475DC" w:rsidP="00E475DC">
            <w:pPr>
              <w:pStyle w:val="TableParagraph"/>
              <w:spacing w:before="0"/>
              <w:ind w:left="79"/>
              <w:jc w:val="center"/>
              <w:rPr>
                <w:rFonts w:ascii="Times New Roman" w:hAnsi="Times New Roman" w:cs="Times New Roman"/>
                <w:bCs/>
                <w:i/>
                <w:iCs/>
                <w:sz w:val="24"/>
                <w:szCs w:val="24"/>
                <w:lang w:val="ru-RU"/>
              </w:rPr>
            </w:pPr>
          </w:p>
        </w:tc>
      </w:tr>
      <w:tr w:rsidR="00E475DC" w:rsidRPr="00916B3A" w14:paraId="7B731DD7" w14:textId="77777777" w:rsidTr="002C05EE">
        <w:trPr>
          <w:trHeight w:val="502"/>
        </w:trPr>
        <w:tc>
          <w:tcPr>
            <w:tcW w:w="850" w:type="dxa"/>
            <w:vMerge w:val="restart"/>
          </w:tcPr>
          <w:p w14:paraId="21379B4F" w14:textId="77777777" w:rsidR="00E475DC" w:rsidRDefault="00E475DC" w:rsidP="00E475DC">
            <w:pPr>
              <w:pStyle w:val="TableParagraph"/>
              <w:spacing w:before="0"/>
              <w:ind w:left="79"/>
              <w:jc w:val="center"/>
              <w:rPr>
                <w:rFonts w:ascii="Times New Roman" w:hAnsi="Times New Roman" w:cs="Times New Roman"/>
                <w:color w:val="231F20"/>
                <w:spacing w:val="-2"/>
                <w:sz w:val="24"/>
                <w:szCs w:val="24"/>
              </w:rPr>
            </w:pPr>
            <w:r w:rsidRPr="00916B3A">
              <w:rPr>
                <w:rFonts w:ascii="Times New Roman" w:hAnsi="Times New Roman" w:cs="Times New Roman"/>
                <w:color w:val="231F20"/>
                <w:spacing w:val="-2"/>
                <w:sz w:val="24"/>
                <w:szCs w:val="24"/>
              </w:rPr>
              <w:t>LBR&lt;</w:t>
            </w:r>
          </w:p>
          <w:p w14:paraId="6F7789C2" w14:textId="5BB7474F" w:rsidR="00E475DC" w:rsidRPr="00916B3A" w:rsidRDefault="00E475DC" w:rsidP="00E475DC">
            <w:pPr>
              <w:pStyle w:val="TableParagraph"/>
              <w:spacing w:before="0"/>
              <w:ind w:left="79"/>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20%</w:t>
            </w:r>
          </w:p>
        </w:tc>
        <w:tc>
          <w:tcPr>
            <w:tcW w:w="988" w:type="dxa"/>
            <w:vMerge w:val="restart"/>
          </w:tcPr>
          <w:p w14:paraId="57ECC805" w14:textId="77777777" w:rsidR="00E475DC" w:rsidRPr="00916B3A" w:rsidRDefault="00E475DC" w:rsidP="00E475DC">
            <w:pPr>
              <w:pStyle w:val="TableParagraph"/>
              <w:spacing w:before="0"/>
              <w:ind w:left="79"/>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CPR</w:t>
            </w:r>
            <w:r w:rsidRPr="00916B3A">
              <w:rPr>
                <w:rFonts w:ascii="Times New Roman" w:hAnsi="Times New Roman" w:cs="Times New Roman"/>
                <w:color w:val="231F20"/>
                <w:spacing w:val="50"/>
                <w:sz w:val="24"/>
                <w:szCs w:val="24"/>
              </w:rPr>
              <w:t xml:space="preserve"> </w:t>
            </w:r>
            <w:r w:rsidRPr="00916B3A">
              <w:rPr>
                <w:rFonts w:ascii="Times New Roman" w:hAnsi="Times New Roman" w:cs="Times New Roman"/>
                <w:color w:val="231F20"/>
                <w:spacing w:val="-4"/>
                <w:sz w:val="24"/>
                <w:szCs w:val="24"/>
              </w:rPr>
              <w:t>&lt;30%</w:t>
            </w:r>
          </w:p>
        </w:tc>
        <w:tc>
          <w:tcPr>
            <w:tcW w:w="3123" w:type="dxa"/>
          </w:tcPr>
          <w:p w14:paraId="31C23B10" w14:textId="77777777" w:rsidR="00E475DC" w:rsidRPr="00916B3A" w:rsidRDefault="00E475DC" w:rsidP="00E475DC">
            <w:pPr>
              <w:pStyle w:val="TableParagraph"/>
              <w:spacing w:before="0"/>
              <w:ind w:left="79"/>
              <w:jc w:val="center"/>
              <w:rPr>
                <w:rFonts w:ascii="Times New Roman" w:hAnsi="Times New Roman" w:cs="Times New Roman"/>
                <w:color w:val="231F20"/>
                <w:spacing w:val="-4"/>
                <w:sz w:val="24"/>
                <w:szCs w:val="24"/>
              </w:rPr>
            </w:pPr>
            <w:r w:rsidRPr="00916B3A">
              <w:rPr>
                <w:rFonts w:ascii="Times New Roman" w:hAnsi="Times New Roman" w:cs="Times New Roman"/>
                <w:color w:val="231F20"/>
                <w:spacing w:val="-4"/>
                <w:sz w:val="24"/>
                <w:szCs w:val="24"/>
              </w:rPr>
              <w:t>Хирургический аборт/эвакуация</w:t>
            </w:r>
          </w:p>
          <w:p w14:paraId="0360A716" w14:textId="77777777" w:rsidR="00E475DC" w:rsidRPr="00916B3A" w:rsidRDefault="00E475DC" w:rsidP="00E475DC">
            <w:pPr>
              <w:pStyle w:val="TableParagraph"/>
              <w:spacing w:before="0"/>
              <w:ind w:left="79"/>
              <w:jc w:val="center"/>
              <w:rPr>
                <w:rFonts w:ascii="Times New Roman" w:hAnsi="Times New Roman" w:cs="Times New Roman"/>
                <w:sz w:val="24"/>
                <w:szCs w:val="24"/>
              </w:rPr>
            </w:pPr>
            <w:r w:rsidRPr="00916B3A">
              <w:rPr>
                <w:rFonts w:ascii="Times New Roman" w:hAnsi="Times New Roman" w:cs="Times New Roman"/>
                <w:color w:val="231F20"/>
                <w:sz w:val="24"/>
                <w:szCs w:val="24"/>
              </w:rPr>
              <w:t>1.1</w:t>
            </w:r>
            <w:r w:rsidRPr="00916B3A">
              <w:rPr>
                <w:rFonts w:ascii="Times New Roman" w:hAnsi="Times New Roman" w:cs="Times New Roman"/>
                <w:color w:val="231F20"/>
                <w:spacing w:val="-5"/>
                <w:sz w:val="24"/>
                <w:szCs w:val="24"/>
              </w:rPr>
              <w:t xml:space="preserve"> </w:t>
            </w:r>
            <w:r w:rsidRPr="00916B3A">
              <w:rPr>
                <w:rFonts w:ascii="Times New Roman" w:hAnsi="Times New Roman" w:cs="Times New Roman"/>
                <w:color w:val="231F20"/>
                <w:sz w:val="24"/>
                <w:szCs w:val="24"/>
              </w:rPr>
              <w:t>±</w:t>
            </w:r>
            <w:r w:rsidRPr="00916B3A">
              <w:rPr>
                <w:rFonts w:ascii="Times New Roman" w:hAnsi="Times New Roman" w:cs="Times New Roman"/>
                <w:color w:val="231F20"/>
                <w:spacing w:val="-5"/>
                <w:sz w:val="24"/>
                <w:szCs w:val="24"/>
              </w:rPr>
              <w:t xml:space="preserve"> 1.6</w:t>
            </w:r>
          </w:p>
        </w:tc>
        <w:tc>
          <w:tcPr>
            <w:tcW w:w="1276" w:type="dxa"/>
          </w:tcPr>
          <w:p w14:paraId="2DF6BB67" w14:textId="77777777" w:rsidR="00E475DC" w:rsidRPr="00916B3A" w:rsidRDefault="00E475DC" w:rsidP="00E475DC">
            <w:pPr>
              <w:pStyle w:val="TableParagraph"/>
              <w:spacing w:before="0"/>
              <w:ind w:left="302"/>
              <w:jc w:val="center"/>
              <w:rPr>
                <w:rFonts w:ascii="Times New Roman" w:hAnsi="Times New Roman" w:cs="Times New Roman"/>
                <w:sz w:val="24"/>
                <w:szCs w:val="24"/>
              </w:rPr>
            </w:pPr>
            <w:r w:rsidRPr="00916B3A">
              <w:rPr>
                <w:rFonts w:ascii="Times New Roman" w:hAnsi="Times New Roman" w:cs="Times New Roman"/>
                <w:color w:val="231F20"/>
                <w:sz w:val="24"/>
                <w:szCs w:val="24"/>
              </w:rPr>
              <w:t>5.5</w:t>
            </w:r>
            <w:r w:rsidRPr="00916B3A">
              <w:rPr>
                <w:rFonts w:ascii="Times New Roman" w:hAnsi="Times New Roman" w:cs="Times New Roman"/>
                <w:color w:val="231F20"/>
                <w:spacing w:val="-5"/>
                <w:sz w:val="24"/>
                <w:szCs w:val="24"/>
              </w:rPr>
              <w:t xml:space="preserve"> </w:t>
            </w:r>
            <w:r w:rsidRPr="00916B3A">
              <w:rPr>
                <w:rFonts w:ascii="Times New Roman" w:hAnsi="Times New Roman" w:cs="Times New Roman"/>
                <w:color w:val="231F20"/>
                <w:sz w:val="24"/>
                <w:szCs w:val="24"/>
              </w:rPr>
              <w:t>±</w:t>
            </w:r>
            <w:r w:rsidRPr="00916B3A">
              <w:rPr>
                <w:rFonts w:ascii="Times New Roman" w:hAnsi="Times New Roman" w:cs="Times New Roman"/>
                <w:color w:val="231F20"/>
                <w:spacing w:val="-5"/>
                <w:sz w:val="24"/>
                <w:szCs w:val="24"/>
              </w:rPr>
              <w:t xml:space="preserve"> 3.8</w:t>
            </w:r>
          </w:p>
        </w:tc>
        <w:tc>
          <w:tcPr>
            <w:tcW w:w="1129" w:type="dxa"/>
          </w:tcPr>
          <w:p w14:paraId="6D803209" w14:textId="77777777" w:rsidR="00E475DC" w:rsidRPr="00916B3A" w:rsidRDefault="00E475DC" w:rsidP="00E475DC">
            <w:pPr>
              <w:pStyle w:val="TableParagraph"/>
              <w:spacing w:before="0"/>
              <w:ind w:right="6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67.3%</w:t>
            </w:r>
          </w:p>
        </w:tc>
        <w:tc>
          <w:tcPr>
            <w:tcW w:w="2131" w:type="dxa"/>
          </w:tcPr>
          <w:p w14:paraId="6A0C7861" w14:textId="1D292CC9" w:rsidR="00E475DC" w:rsidRPr="002C05EE" w:rsidRDefault="00E475DC" w:rsidP="0060156A">
            <w:pPr>
              <w:pStyle w:val="TableParagraph"/>
              <w:spacing w:before="0"/>
              <w:ind w:left="79" w:right="269"/>
              <w:rPr>
                <w:rFonts w:ascii="Times New Roman" w:hAnsi="Times New Roman" w:cs="Times New Roman"/>
                <w:sz w:val="20"/>
                <w:szCs w:val="20"/>
              </w:rPr>
            </w:pPr>
            <w:r w:rsidRPr="002C05EE">
              <w:rPr>
                <w:rFonts w:ascii="Times New Roman" w:hAnsi="Times New Roman" w:cs="Times New Roman"/>
                <w:color w:val="231F20"/>
                <w:spacing w:val="-2"/>
                <w:sz w:val="20"/>
                <w:szCs w:val="20"/>
              </w:rPr>
              <w:t>Xu</w:t>
            </w:r>
            <w:r w:rsidRPr="002C05EE">
              <w:rPr>
                <w:rFonts w:ascii="Times New Roman" w:hAnsi="Times New Roman" w:cs="Times New Roman"/>
                <w:color w:val="231F20"/>
                <w:spacing w:val="-8"/>
                <w:sz w:val="20"/>
                <w:szCs w:val="20"/>
              </w:rPr>
              <w:t xml:space="preserve"> </w:t>
            </w:r>
            <w:r w:rsidRPr="002C05EE">
              <w:rPr>
                <w:rFonts w:ascii="Times New Roman" w:hAnsi="Times New Roman" w:cs="Times New Roman"/>
                <w:color w:val="231F20"/>
                <w:spacing w:val="-2"/>
                <w:sz w:val="20"/>
                <w:szCs w:val="20"/>
              </w:rPr>
              <w:t>et</w:t>
            </w:r>
            <w:r w:rsidRPr="002C05EE">
              <w:rPr>
                <w:rFonts w:ascii="Times New Roman" w:hAnsi="Times New Roman" w:cs="Times New Roman"/>
                <w:color w:val="231F20"/>
                <w:spacing w:val="-8"/>
                <w:sz w:val="20"/>
                <w:szCs w:val="20"/>
              </w:rPr>
              <w:t xml:space="preserve"> </w:t>
            </w:r>
            <w:r w:rsidRPr="002C05EE">
              <w:rPr>
                <w:rFonts w:ascii="Times New Roman" w:hAnsi="Times New Roman" w:cs="Times New Roman"/>
                <w:color w:val="231F20"/>
                <w:spacing w:val="-2"/>
                <w:sz w:val="20"/>
                <w:szCs w:val="20"/>
              </w:rPr>
              <w:t>al.,</w:t>
            </w:r>
            <w:r w:rsidRPr="002C05EE">
              <w:rPr>
                <w:rFonts w:ascii="Times New Roman" w:hAnsi="Times New Roman" w:cs="Times New Roman"/>
                <w:color w:val="231F20"/>
                <w:spacing w:val="-8"/>
                <w:sz w:val="20"/>
                <w:szCs w:val="20"/>
              </w:rPr>
              <w:t xml:space="preserve"> </w:t>
            </w:r>
            <w:r w:rsidRPr="002C05EE">
              <w:rPr>
                <w:rFonts w:ascii="Times New Roman" w:hAnsi="Times New Roman" w:cs="Times New Roman"/>
                <w:color w:val="231F20"/>
                <w:spacing w:val="-2"/>
                <w:sz w:val="20"/>
                <w:szCs w:val="20"/>
              </w:rPr>
              <w:fldChar w:fldCharType="begin" w:fldLock="1"/>
            </w:r>
            <w:r w:rsidR="008C6800" w:rsidRPr="002C05EE">
              <w:rPr>
                <w:rFonts w:ascii="Times New Roman" w:hAnsi="Times New Roman" w:cs="Times New Roman"/>
                <w:color w:val="231F20"/>
                <w:spacing w:val="-2"/>
                <w:sz w:val="20"/>
                <w:szCs w:val="20"/>
              </w:rPr>
              <w:instrText>ADDIN CSL_CITATION {"citationItems":[{"id":"ITEM-1","itemData":{"DOI":"10.1016/j.rbmo.2014.12.006","ISSN":"14726491","PMID":"25682303","abstract":"The efficacy of two granulocyte colony-stimulating factor (G-CSF) protocols for thin endometrium were investigated. Eighty-two patients were diagnosed with thin endometrium (&lt;7mm). Thirty patients with previously cancelled embryo transfers received intrauterine G-CSF in subsequent frozen embryo transfer (FET) cycles. Patients were divided into the G-CSF only and G-CSF with endometrial scratch subgroups. Compared with previous cycles, endometrial thickness increased from 5.7 ± 0.7mm to 8.1 ± 2.1mm after G-CSF treatment (P &lt; 0.001). Endometrial thickness increases were not significantly different between the two subgroups. The G-CSF with endometrial scratch subgroup established nominally higher though non-significant clinical pregnancy and live birth rates than the G-CSF only subgroup (53.8 % versus 42.9% and 38.5% versus 28.6%, respectively). Fifty-two patients underwent FET despite edometrial thickness less than 7mm, and were included as controls. Significantly higher embryo implantation and clinical pregnancy rates were observed in the G-CSF group compared with the control group (31.5% versus 13.9%; P &lt; 0.01; 48.1% versus 25.0%; P = 0.038, respectively). Endometrial scracth did not impair G-CSF treatment for thin endometrium and favoured pregnancy and live birth rates. For patients with thin endometrium, embryo transfer cancellation and G-CSF treatment in subsequent FET cycles is beneficial.","author":[{"dropping-particle":"","family":"Xu","given":"Bin","non-dropping-particle":"","parse-names":false,"suffix":""},{"dropping-particle":"","family":"Zhang","given":"Qiong","non-dropping-particle":"","parse-names":false,"suffix":""},{"dropping-particle":"","family":"Hao","given":"Jie","non-dropping-particle":"","parse-names":false,"suffix":""},{"dropping-particle":"","family":"Xu","given":"Dabao","non-dropping-particle":"","parse-names":false,"suffix":""},{"dropping-particle":"","family":"Li","given":"Yanping","non-dropping-particle":"","parse-names":false,"suffix":""}],"container-title":"Reproductive BioMedicine Online","id":"ITEM-1","issue":"4","issued":{"date-parts":[["2015"]]},"page":"349-358","publisher":"Reproductive Healthcare Ltd.","title":"Two protocols to treat thin endometrium with granulocyte colony-stimulating factor during frozen embryo transfer cycles","type":"article-journal","volume":"30"},"uris":["http://www.mendeley.com/documents/?uuid=00abd8ad-8b31-4fa4-99f4-7f0a7580e44f"]}],"mendeley":{"formattedCitation":"[114]","plainTextFormattedCitation":"[114]","previouslyFormattedCitation":"(114)"},"properties":{"noteIndex":0},"schema":"https://github.com/citation-style-language/schema/raw/master/csl-citation.json"}</w:instrText>
            </w:r>
            <w:r w:rsidRPr="002C05EE">
              <w:rPr>
                <w:rFonts w:ascii="Times New Roman" w:hAnsi="Times New Roman" w:cs="Times New Roman"/>
                <w:color w:val="231F20"/>
                <w:spacing w:val="-2"/>
                <w:sz w:val="20"/>
                <w:szCs w:val="20"/>
              </w:rPr>
              <w:fldChar w:fldCharType="separate"/>
            </w:r>
            <w:r w:rsidR="008C6800" w:rsidRPr="002C05EE">
              <w:rPr>
                <w:rFonts w:ascii="Times New Roman" w:hAnsi="Times New Roman" w:cs="Times New Roman"/>
                <w:noProof/>
                <w:color w:val="231F20"/>
                <w:spacing w:val="-2"/>
                <w:sz w:val="20"/>
                <w:szCs w:val="20"/>
              </w:rPr>
              <w:t>[114]</w:t>
            </w:r>
            <w:r w:rsidRPr="002C05EE">
              <w:rPr>
                <w:rFonts w:ascii="Times New Roman" w:hAnsi="Times New Roman" w:cs="Times New Roman"/>
                <w:color w:val="231F20"/>
                <w:spacing w:val="-2"/>
                <w:sz w:val="20"/>
                <w:szCs w:val="20"/>
              </w:rPr>
              <w:fldChar w:fldCharType="end"/>
            </w:r>
            <w:r w:rsidRPr="002C05EE">
              <w:rPr>
                <w:rFonts w:ascii="Times New Roman" w:hAnsi="Times New Roman" w:cs="Times New Roman"/>
                <w:color w:val="231F20"/>
                <w:spacing w:val="-2"/>
                <w:sz w:val="20"/>
                <w:szCs w:val="20"/>
              </w:rPr>
              <w:t>2015</w:t>
            </w:r>
            <w:r w:rsidRPr="002C05EE">
              <w:rPr>
                <w:rFonts w:ascii="Times New Roman" w:hAnsi="Times New Roman" w:cs="Times New Roman"/>
                <w:color w:val="231F20"/>
                <w:spacing w:val="40"/>
                <w:sz w:val="20"/>
                <w:szCs w:val="20"/>
              </w:rPr>
              <w:t xml:space="preserve"> </w:t>
            </w:r>
            <w:r w:rsidRPr="002C05EE">
              <w:rPr>
                <w:rFonts w:ascii="Times New Roman" w:hAnsi="Times New Roman" w:cs="Times New Roman"/>
                <w:color w:val="231F20"/>
                <w:spacing w:val="-2"/>
                <w:sz w:val="20"/>
                <w:szCs w:val="20"/>
              </w:rPr>
              <w:t>(control)</w:t>
            </w:r>
          </w:p>
        </w:tc>
      </w:tr>
      <w:tr w:rsidR="00E475DC" w:rsidRPr="00F26644" w14:paraId="7FCC57B2" w14:textId="77777777" w:rsidTr="002C05EE">
        <w:trPr>
          <w:trHeight w:val="1382"/>
        </w:trPr>
        <w:tc>
          <w:tcPr>
            <w:tcW w:w="850" w:type="dxa"/>
            <w:vMerge/>
            <w:tcBorders>
              <w:top w:val="single" w:sz="4" w:space="0" w:color="231F20"/>
            </w:tcBorders>
          </w:tcPr>
          <w:p w14:paraId="0A4CC3EF" w14:textId="77777777" w:rsidR="00E475DC" w:rsidRPr="00916B3A" w:rsidRDefault="00E475DC" w:rsidP="00E475DC">
            <w:pPr>
              <w:jc w:val="center"/>
              <w:rPr>
                <w:rFonts w:ascii="Times New Roman" w:hAnsi="Times New Roman" w:cs="Times New Roman"/>
                <w:sz w:val="24"/>
                <w:szCs w:val="24"/>
              </w:rPr>
            </w:pPr>
          </w:p>
        </w:tc>
        <w:tc>
          <w:tcPr>
            <w:tcW w:w="988" w:type="dxa"/>
            <w:vMerge/>
            <w:tcBorders>
              <w:top w:val="single" w:sz="4" w:space="0" w:color="231F20"/>
            </w:tcBorders>
          </w:tcPr>
          <w:p w14:paraId="3E0560FF" w14:textId="77777777" w:rsidR="00E475DC" w:rsidRPr="00916B3A" w:rsidRDefault="00E475DC" w:rsidP="00E475DC">
            <w:pPr>
              <w:jc w:val="center"/>
              <w:rPr>
                <w:rFonts w:ascii="Times New Roman" w:hAnsi="Times New Roman" w:cs="Times New Roman"/>
                <w:sz w:val="24"/>
                <w:szCs w:val="24"/>
              </w:rPr>
            </w:pPr>
          </w:p>
        </w:tc>
        <w:tc>
          <w:tcPr>
            <w:tcW w:w="3123" w:type="dxa"/>
            <w:tcBorders>
              <w:top w:val="single" w:sz="4" w:space="0" w:color="231F20"/>
            </w:tcBorders>
          </w:tcPr>
          <w:p w14:paraId="6F66E0D0"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Трубный фактор 10,34%</w:t>
            </w:r>
          </w:p>
          <w:p w14:paraId="58CB8505"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Мужской фактор 27,59%</w:t>
            </w:r>
          </w:p>
          <w:p w14:paraId="12BAFB98"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СПКЯ 6,90%</w:t>
            </w:r>
          </w:p>
          <w:p w14:paraId="2A52A37A"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rPr>
            </w:pPr>
            <w:r w:rsidRPr="00916B3A">
              <w:rPr>
                <w:rFonts w:ascii="Times New Roman" w:hAnsi="Times New Roman" w:cs="Times New Roman"/>
                <w:color w:val="231F20"/>
                <w:spacing w:val="-6"/>
                <w:sz w:val="24"/>
                <w:szCs w:val="24"/>
              </w:rPr>
              <w:t>Друг</w:t>
            </w:r>
            <w:r w:rsidRPr="00916B3A">
              <w:rPr>
                <w:rFonts w:ascii="Times New Roman" w:hAnsi="Times New Roman" w:cs="Times New Roman"/>
                <w:color w:val="231F20"/>
                <w:spacing w:val="-6"/>
                <w:sz w:val="24"/>
                <w:szCs w:val="24"/>
                <w:lang w:val="ru-RU"/>
              </w:rPr>
              <w:t>ие</w:t>
            </w:r>
            <w:r w:rsidRPr="00916B3A">
              <w:rPr>
                <w:rFonts w:ascii="Times New Roman" w:hAnsi="Times New Roman" w:cs="Times New Roman"/>
                <w:color w:val="231F20"/>
                <w:spacing w:val="-6"/>
                <w:sz w:val="24"/>
                <w:szCs w:val="24"/>
              </w:rPr>
              <w:t xml:space="preserve"> 6,90%</w:t>
            </w:r>
          </w:p>
          <w:p w14:paraId="3F564E12"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rPr>
            </w:pPr>
            <w:r w:rsidRPr="00916B3A">
              <w:rPr>
                <w:rFonts w:ascii="Times New Roman" w:hAnsi="Times New Roman" w:cs="Times New Roman"/>
                <w:color w:val="231F20"/>
                <w:spacing w:val="-6"/>
                <w:sz w:val="24"/>
                <w:szCs w:val="24"/>
              </w:rPr>
              <w:t>Неуточненнего генеза 37,93%</w:t>
            </w:r>
          </w:p>
          <w:p w14:paraId="6CFDDEB4"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rPr>
            </w:pPr>
            <w:r w:rsidRPr="00916B3A">
              <w:rPr>
                <w:rFonts w:ascii="Times New Roman" w:hAnsi="Times New Roman" w:cs="Times New Roman"/>
                <w:color w:val="231F20"/>
                <w:spacing w:val="-6"/>
                <w:sz w:val="24"/>
                <w:szCs w:val="24"/>
              </w:rPr>
              <w:t>Смешанные 10,34%</w:t>
            </w:r>
          </w:p>
        </w:tc>
        <w:tc>
          <w:tcPr>
            <w:tcW w:w="1276" w:type="dxa"/>
            <w:tcBorders>
              <w:top w:val="single" w:sz="4" w:space="0" w:color="231F20"/>
            </w:tcBorders>
          </w:tcPr>
          <w:p w14:paraId="62559B3F" w14:textId="77777777" w:rsidR="00E475DC" w:rsidRPr="00916B3A" w:rsidRDefault="00E475DC" w:rsidP="00E475DC">
            <w:pPr>
              <w:pStyle w:val="TableParagraph"/>
              <w:spacing w:before="0"/>
              <w:jc w:val="center"/>
              <w:rPr>
                <w:rFonts w:ascii="Times New Roman" w:hAnsi="Times New Roman" w:cs="Times New Roman"/>
                <w:sz w:val="24"/>
                <w:szCs w:val="24"/>
              </w:rPr>
            </w:pPr>
          </w:p>
        </w:tc>
        <w:tc>
          <w:tcPr>
            <w:tcW w:w="1129" w:type="dxa"/>
            <w:tcBorders>
              <w:top w:val="single" w:sz="4" w:space="0" w:color="231F20"/>
            </w:tcBorders>
          </w:tcPr>
          <w:p w14:paraId="0931A378" w14:textId="77777777" w:rsidR="00E475DC" w:rsidRPr="00916B3A" w:rsidRDefault="00E475DC" w:rsidP="00E475DC">
            <w:pPr>
              <w:pStyle w:val="TableParagraph"/>
              <w:spacing w:before="0"/>
              <w:ind w:right="6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41.4%</w:t>
            </w:r>
          </w:p>
        </w:tc>
        <w:tc>
          <w:tcPr>
            <w:tcW w:w="2131" w:type="dxa"/>
            <w:tcBorders>
              <w:top w:val="single" w:sz="4" w:space="0" w:color="231F20"/>
            </w:tcBorders>
          </w:tcPr>
          <w:p w14:paraId="1EE154D6" w14:textId="77777777" w:rsidR="00635EAA" w:rsidRDefault="00E475DC" w:rsidP="00594CDB">
            <w:pPr>
              <w:pStyle w:val="TableParagraph"/>
              <w:spacing w:before="0"/>
              <w:ind w:left="79"/>
              <w:rPr>
                <w:rFonts w:ascii="Times New Roman" w:hAnsi="Times New Roman" w:cs="Times New Roman"/>
                <w:color w:val="231F20"/>
                <w:spacing w:val="-10"/>
                <w:sz w:val="18"/>
                <w:szCs w:val="18"/>
                <w:lang w:val="de-DE"/>
              </w:rPr>
            </w:pPr>
            <w:r w:rsidRPr="002C05EE">
              <w:rPr>
                <w:rFonts w:ascii="Times New Roman" w:hAnsi="Times New Roman" w:cs="Times New Roman"/>
                <w:color w:val="231F20"/>
                <w:sz w:val="18"/>
                <w:szCs w:val="18"/>
                <w:lang w:val="de-DE"/>
              </w:rPr>
              <w:t xml:space="preserve">Kunicki et al., </w:t>
            </w:r>
            <w:r w:rsidRPr="002C05EE">
              <w:rPr>
                <w:rFonts w:ascii="Times New Roman" w:hAnsi="Times New Roman" w:cs="Times New Roman"/>
                <w:color w:val="231F20"/>
                <w:sz w:val="18"/>
                <w:szCs w:val="18"/>
              </w:rPr>
              <w:fldChar w:fldCharType="begin" w:fldLock="1"/>
            </w:r>
            <w:r w:rsidR="008C6800" w:rsidRPr="002C05EE">
              <w:rPr>
                <w:rFonts w:ascii="Times New Roman" w:hAnsi="Times New Roman" w:cs="Times New Roman"/>
                <w:color w:val="231F20"/>
                <w:sz w:val="18"/>
                <w:szCs w:val="18"/>
                <w:lang w:val="de-DE"/>
              </w:rPr>
              <w:instrText>ADDIN CSL_CITATION {"citationItems":[{"id":"ITEM-1","itemData":{"DOI":"10.1080/19396368.2016.1251505","ISSN":"19396376","PMID":"27874292","abstract":"The aim of the study was to assess the granulocyte-colony stimulating factor (G-CSF) effect on unresponsive thin (&lt;7 mm) endometrium in women undergoing frozen-thawed embryo transfer at the blastocyst stage. A total of 62 women with thin unresponsive endometrium were included in the study, of which, 29 received a G-CSF infusion and 33 who opted out of the study served as controls. Patients in both groups had similar endometrial thickness at the time of the initial evaluation: 6.50 mm (5.50-6.80) in the G-CSF and 6.40 mm (5.50-7.0) in the control group. However, after the infusion endometrial thickness increased significantly in the G-CSF group in comparison with the controls (p=0.01), (Δ) 0.5 (0.02-1.2) (p=0.005). In the G-CSF group endometrium expanded to 7.90 mm (6.58-8.70) while in the control group to 6.90 mm (6.0-7.75). Five women in each group conceived. The clinical pregnancy rate was 5/29 (17.24%) in the G-CSF treated group and 5/33 (15.15%) in the control group (p&gt;0.05). The live birth rate was 2/29 (6.89%) in the G-CSF group and 2/33 (6.06%) in the control group (p&gt;0.05). We concluded that G-CSF infusion leads to an improvement in endometrium thickness but not to any improvement in the clinical pregnancy and live birth rates. Until more data is available G-CSF treatment should be considered to be of limited value in increasing pregnancy rate. Abbreviations: G-CSF: granulocyte colony-stimulating factor; M-CSF: macrophagecolony-stimulating factor; GM-CSF: granulocyte-macrophage colony-stimulating factor; FET: frozen embryo transfer; IVF: in vitro fertilization","author":[{"dropping-particle":"","family":"Kunicki","given":"Michał","non-dropping-particle":"","parse-names":false,"suffix":""},{"dropping-particle":"","family":"Łukaszuk","given":"Krzysztof","non-dropping-particle":"","parse-names":false,"suffix":""},{"dropping-particle":"","family":"Liss","given":"Joanna","non-dropping-particle":"","parse-names":false,"suffix":""},{"dropping-particle":"","family":"Skowrońska","given":"Patrycja","non-dropping-particle":"","parse-names":false,"suffix":""},{"dropping-particle":"","family":"Szczyptańska","given":"Joanna","non-dropping-particle":"","parse-names":false,"suffix":""}],"container-title":"Systems Biology in Reproductive Medicine","id":"ITEM-1","issue":"1","issued":{"date-parts":[["2017"]]},"page":"49-57","publisher":"Taylor &amp; Francis","title":"Granulocyte colony stimulating factor treatment of resistant thin endometrium in women with frozen-thawed blastocyst transfer","type":"article-journal","volume":"63"},"uris":["http://www.mendeley.com/documents/?uuid=5d57c9c7-8c1e-4604-b0eb-fe8d2816527c"]}],"mendeley":{"formattedCitation":"[54]","plainTextFormattedCitation":"[54]","previouslyFormattedCitation":"(54)"},"properties":{"noteIndex":0},"schema":"https://github.com/citation-style-language/schema/raw/master/csl-citation.json"}</w:instrText>
            </w:r>
            <w:r w:rsidRPr="002C05EE">
              <w:rPr>
                <w:rFonts w:ascii="Times New Roman" w:hAnsi="Times New Roman" w:cs="Times New Roman"/>
                <w:color w:val="231F20"/>
                <w:sz w:val="18"/>
                <w:szCs w:val="18"/>
              </w:rPr>
              <w:fldChar w:fldCharType="separate"/>
            </w:r>
            <w:r w:rsidR="008C6800" w:rsidRPr="002C05EE">
              <w:rPr>
                <w:rFonts w:ascii="Times New Roman" w:hAnsi="Times New Roman" w:cs="Times New Roman"/>
                <w:noProof/>
                <w:color w:val="231F20"/>
                <w:sz w:val="18"/>
                <w:szCs w:val="18"/>
                <w:lang w:val="de-DE"/>
              </w:rPr>
              <w:t>[54]</w:t>
            </w:r>
            <w:r w:rsidRPr="002C05EE">
              <w:rPr>
                <w:rFonts w:ascii="Times New Roman" w:hAnsi="Times New Roman" w:cs="Times New Roman"/>
                <w:color w:val="231F20"/>
                <w:sz w:val="18"/>
                <w:szCs w:val="18"/>
              </w:rPr>
              <w:fldChar w:fldCharType="end"/>
            </w:r>
            <w:r w:rsidRPr="002C05EE">
              <w:rPr>
                <w:rFonts w:ascii="Times New Roman" w:hAnsi="Times New Roman" w:cs="Times New Roman"/>
                <w:color w:val="231F20"/>
                <w:sz w:val="18"/>
                <w:szCs w:val="18"/>
                <w:lang w:val="de-DE"/>
              </w:rPr>
              <w:t>2017</w:t>
            </w:r>
            <w:r w:rsidRPr="002C05EE">
              <w:rPr>
                <w:rFonts w:ascii="Times New Roman" w:hAnsi="Times New Roman" w:cs="Times New Roman"/>
                <w:color w:val="231F20"/>
                <w:spacing w:val="-10"/>
                <w:sz w:val="18"/>
                <w:szCs w:val="18"/>
                <w:lang w:val="de-DE"/>
              </w:rPr>
              <w:t xml:space="preserve"> </w:t>
            </w:r>
          </w:p>
          <w:p w14:paraId="5058F56E" w14:textId="1C9518B3" w:rsidR="00E475DC" w:rsidRPr="002C05EE" w:rsidRDefault="00E475DC" w:rsidP="00594CDB">
            <w:pPr>
              <w:pStyle w:val="TableParagraph"/>
              <w:spacing w:before="0"/>
              <w:ind w:left="79"/>
              <w:rPr>
                <w:rFonts w:ascii="Times New Roman" w:hAnsi="Times New Roman" w:cs="Times New Roman"/>
                <w:sz w:val="18"/>
                <w:szCs w:val="18"/>
                <w:lang w:val="de-DE"/>
              </w:rPr>
            </w:pPr>
            <w:r w:rsidRPr="002C05EE">
              <w:rPr>
                <w:rFonts w:ascii="Times New Roman" w:hAnsi="Times New Roman" w:cs="Times New Roman"/>
                <w:color w:val="231F20"/>
                <w:sz w:val="18"/>
                <w:szCs w:val="18"/>
                <w:lang w:val="de-DE"/>
              </w:rPr>
              <w:t>(G-CSF</w:t>
            </w:r>
            <w:r w:rsidRPr="002C05EE">
              <w:rPr>
                <w:rFonts w:ascii="Times New Roman" w:hAnsi="Times New Roman" w:cs="Times New Roman"/>
                <w:color w:val="231F20"/>
                <w:spacing w:val="-10"/>
                <w:sz w:val="18"/>
                <w:szCs w:val="18"/>
                <w:lang w:val="de-DE"/>
              </w:rPr>
              <w:t xml:space="preserve"> </w:t>
            </w:r>
            <w:r w:rsidRPr="002C05EE">
              <w:rPr>
                <w:rFonts w:ascii="Times New Roman" w:hAnsi="Times New Roman" w:cs="Times New Roman"/>
                <w:color w:val="231F20"/>
                <w:sz w:val="18"/>
                <w:szCs w:val="18"/>
                <w:lang w:val="de-DE"/>
              </w:rPr>
              <w:t>group)</w:t>
            </w:r>
          </w:p>
        </w:tc>
      </w:tr>
      <w:tr w:rsidR="00E475DC" w:rsidRPr="00594CDB" w14:paraId="52837E3E" w14:textId="77777777" w:rsidTr="002C05EE">
        <w:trPr>
          <w:trHeight w:val="1602"/>
        </w:trPr>
        <w:tc>
          <w:tcPr>
            <w:tcW w:w="850" w:type="dxa"/>
            <w:vMerge/>
            <w:tcBorders>
              <w:top w:val="single" w:sz="4" w:space="0" w:color="231F20"/>
            </w:tcBorders>
          </w:tcPr>
          <w:p w14:paraId="5D4D4697" w14:textId="77777777" w:rsidR="00E475DC" w:rsidRPr="00916B3A" w:rsidRDefault="00E475DC" w:rsidP="00E475DC">
            <w:pPr>
              <w:jc w:val="center"/>
              <w:rPr>
                <w:rFonts w:ascii="Times New Roman" w:hAnsi="Times New Roman" w:cs="Times New Roman"/>
                <w:sz w:val="24"/>
                <w:szCs w:val="24"/>
                <w:lang w:val="de-DE"/>
              </w:rPr>
            </w:pPr>
          </w:p>
        </w:tc>
        <w:tc>
          <w:tcPr>
            <w:tcW w:w="988" w:type="dxa"/>
            <w:vMerge/>
            <w:tcBorders>
              <w:top w:val="single" w:sz="4" w:space="0" w:color="231F20"/>
            </w:tcBorders>
          </w:tcPr>
          <w:p w14:paraId="789A03AA" w14:textId="77777777" w:rsidR="00E475DC" w:rsidRPr="00916B3A" w:rsidRDefault="00E475DC" w:rsidP="00E475DC">
            <w:pPr>
              <w:jc w:val="center"/>
              <w:rPr>
                <w:rFonts w:ascii="Times New Roman" w:hAnsi="Times New Roman" w:cs="Times New Roman"/>
                <w:sz w:val="24"/>
                <w:szCs w:val="24"/>
                <w:lang w:val="de-DE"/>
              </w:rPr>
            </w:pPr>
          </w:p>
        </w:tc>
        <w:tc>
          <w:tcPr>
            <w:tcW w:w="3123" w:type="dxa"/>
            <w:tcBorders>
              <w:top w:val="single" w:sz="4" w:space="0" w:color="231F20"/>
            </w:tcBorders>
          </w:tcPr>
          <w:p w14:paraId="478B97C7"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Трубный фактор 9,09%</w:t>
            </w:r>
          </w:p>
          <w:p w14:paraId="514A936B"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Мужской фактор 24,24%</w:t>
            </w:r>
          </w:p>
          <w:p w14:paraId="35065FD1"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Эндометриоз 6,06%</w:t>
            </w:r>
          </w:p>
          <w:p w14:paraId="509696A3"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proofErr w:type="gramStart"/>
            <w:r w:rsidRPr="00916B3A">
              <w:rPr>
                <w:rFonts w:ascii="Times New Roman" w:hAnsi="Times New Roman" w:cs="Times New Roman"/>
                <w:color w:val="231F20"/>
                <w:spacing w:val="-6"/>
                <w:sz w:val="24"/>
                <w:szCs w:val="24"/>
                <w:lang w:val="ru-RU"/>
              </w:rPr>
              <w:t>СПКЯ  0</w:t>
            </w:r>
            <w:proofErr w:type="gramEnd"/>
            <w:r w:rsidRPr="00916B3A">
              <w:rPr>
                <w:rFonts w:ascii="Times New Roman" w:hAnsi="Times New Roman" w:cs="Times New Roman"/>
                <w:color w:val="231F20"/>
                <w:spacing w:val="-6"/>
                <w:sz w:val="24"/>
                <w:szCs w:val="24"/>
                <w:lang w:val="ru-RU"/>
              </w:rPr>
              <w:t>%</w:t>
            </w:r>
          </w:p>
          <w:p w14:paraId="3C1DD085"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Другие 6,06%</w:t>
            </w:r>
          </w:p>
          <w:p w14:paraId="5ED547F8"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Неуточненнего генеза 39,39%</w:t>
            </w:r>
          </w:p>
          <w:p w14:paraId="3736E423" w14:textId="77777777" w:rsidR="00E475DC" w:rsidRPr="00916B3A" w:rsidRDefault="00E475DC" w:rsidP="00E475DC">
            <w:pPr>
              <w:pStyle w:val="TableParagraph"/>
              <w:spacing w:before="0"/>
              <w:ind w:left="79"/>
              <w:jc w:val="center"/>
              <w:rPr>
                <w:rFonts w:ascii="Times New Roman" w:hAnsi="Times New Roman" w:cs="Times New Roman"/>
                <w:sz w:val="24"/>
                <w:szCs w:val="24"/>
                <w:lang w:val="ru-RU"/>
              </w:rPr>
            </w:pPr>
            <w:r w:rsidRPr="00916B3A">
              <w:rPr>
                <w:rFonts w:ascii="Times New Roman" w:hAnsi="Times New Roman" w:cs="Times New Roman"/>
                <w:color w:val="231F20"/>
                <w:spacing w:val="-6"/>
                <w:sz w:val="24"/>
                <w:szCs w:val="24"/>
                <w:lang w:val="ru-RU"/>
              </w:rPr>
              <w:t>Смешанный 15,5%</w:t>
            </w:r>
          </w:p>
        </w:tc>
        <w:tc>
          <w:tcPr>
            <w:tcW w:w="1276" w:type="dxa"/>
            <w:tcBorders>
              <w:top w:val="single" w:sz="4" w:space="0" w:color="231F20"/>
            </w:tcBorders>
          </w:tcPr>
          <w:p w14:paraId="4FDAF3E5" w14:textId="77777777" w:rsidR="00E475DC" w:rsidRPr="00916B3A" w:rsidRDefault="00E475DC" w:rsidP="00E475DC">
            <w:pPr>
              <w:pStyle w:val="TableParagraph"/>
              <w:spacing w:before="0"/>
              <w:jc w:val="center"/>
              <w:rPr>
                <w:rFonts w:ascii="Times New Roman" w:hAnsi="Times New Roman" w:cs="Times New Roman"/>
                <w:sz w:val="24"/>
                <w:szCs w:val="24"/>
                <w:lang w:val="ru-RU"/>
              </w:rPr>
            </w:pPr>
          </w:p>
        </w:tc>
        <w:tc>
          <w:tcPr>
            <w:tcW w:w="1129" w:type="dxa"/>
            <w:tcBorders>
              <w:top w:val="single" w:sz="4" w:space="0" w:color="231F20"/>
            </w:tcBorders>
          </w:tcPr>
          <w:p w14:paraId="1DCB8896" w14:textId="77777777" w:rsidR="00E475DC" w:rsidRPr="00916B3A" w:rsidRDefault="00E475DC" w:rsidP="00E475DC">
            <w:pPr>
              <w:pStyle w:val="TableParagraph"/>
              <w:spacing w:before="0"/>
              <w:ind w:right="6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39.4%</w:t>
            </w:r>
          </w:p>
        </w:tc>
        <w:tc>
          <w:tcPr>
            <w:tcW w:w="2131" w:type="dxa"/>
            <w:tcBorders>
              <w:top w:val="single" w:sz="4" w:space="0" w:color="231F20"/>
            </w:tcBorders>
          </w:tcPr>
          <w:p w14:paraId="2443A7A7" w14:textId="5FA23CE8" w:rsidR="00E475DC" w:rsidRPr="002C05EE" w:rsidRDefault="00594CDB" w:rsidP="00594CDB">
            <w:pPr>
              <w:pStyle w:val="TableParagraph"/>
              <w:spacing w:before="0"/>
              <w:ind w:left="79"/>
              <w:rPr>
                <w:rFonts w:ascii="Times New Roman" w:hAnsi="Times New Roman" w:cs="Times New Roman"/>
                <w:sz w:val="18"/>
                <w:szCs w:val="18"/>
                <w:lang w:val="ru-RU"/>
              </w:rPr>
            </w:pPr>
            <w:r w:rsidRPr="002C05EE">
              <w:rPr>
                <w:rFonts w:ascii="Times New Roman" w:hAnsi="Times New Roman" w:cs="Times New Roman"/>
                <w:color w:val="231F20"/>
                <w:sz w:val="18"/>
                <w:szCs w:val="18"/>
              </w:rPr>
              <w:t>Kunicki et al.,</w:t>
            </w:r>
            <w:r w:rsidR="00E475DC" w:rsidRPr="002C05EE">
              <w:rPr>
                <w:rFonts w:ascii="Times New Roman" w:hAnsi="Times New Roman" w:cs="Times New Roman"/>
                <w:color w:val="231F20"/>
                <w:sz w:val="18"/>
                <w:szCs w:val="18"/>
              </w:rPr>
              <w:fldChar w:fldCharType="begin" w:fldLock="1"/>
            </w:r>
            <w:r w:rsidR="008C6800" w:rsidRPr="002C05EE">
              <w:rPr>
                <w:rFonts w:ascii="Times New Roman" w:hAnsi="Times New Roman" w:cs="Times New Roman"/>
                <w:color w:val="231F20"/>
                <w:sz w:val="18"/>
                <w:szCs w:val="18"/>
              </w:rPr>
              <w:instrText>ADDIN CSL_CITATION {"citationItems":[{"id":"ITEM-1","itemData":{"DOI":"10.1080/19396368.2016.1251505","ISSN":"19396376","PMID":"27874292","abstract":"The aim of the study was to assess the granulocyte-colony stimulating factor (G-CSF) effect on unresponsive thin (&lt;7 mm) endometrium in women undergoing frozen-thawed embryo transfer at the blastocyst stage. A total of 62 women with thin unresponsive endometrium were included in the study, of which, 29 received a G-CSF infusion and 33 who opted out of the study served as controls. Patients in both groups had similar endometrial thickness at the time of the initial evaluation: 6.50 mm (5.50-6.80) in the G-CSF and 6.40 mm (5.50-7.0) in the control group. However, after the infusion endometrial thickness increased significantly in the G-CSF group in comparison with the controls (p=0.01), (Δ) 0.5 (0.02-1.2) (p=0.005). In the G-CSF group endometrium expanded to 7.90 mm (6.58-8.70) while in the control group to 6.90 mm (6.0-7.75). Five women in each group conceived. The clinical pregnancy rate was 5/29 (17.24%) in the G-CSF treated group and 5/33 (15.15%) in the control group (p&gt;0.05). The live birth rate was 2/29 (6.89%) in the G-CSF group and 2/33 (6.06%) in the control group (p&gt;0.05). We concluded that G-CSF infusion leads to an improvement in endometrium thickness but not to any improvement in the clinical pregnancy and live birth rates. Until more data is available G-CSF treatment should be considered to be of limited value in increasing pregnancy rate. Abbreviations</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CSF</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granulocyte</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colony</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stimulating</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factor</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M</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CSF</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macrophagecolony</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stimulating</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factor</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GM</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CSF</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granulocyte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macrophage</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colony</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stimulating</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factor</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FET</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frozen</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embryo</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transfer</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IVF</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in</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vitro</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fertilization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author</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family</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Kunicki</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given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Micha</w:instrText>
            </w:r>
            <w:r w:rsidR="008C6800" w:rsidRPr="002C05EE">
              <w:rPr>
                <w:rFonts w:ascii="Times New Roman" w:hAnsi="Times New Roman" w:cs="Times New Roman"/>
                <w:color w:val="231F20"/>
                <w:sz w:val="18"/>
                <w:szCs w:val="18"/>
                <w:lang w:val="ru-RU"/>
              </w:rPr>
              <w:instrText>ł","</w:instrText>
            </w:r>
            <w:r w:rsidR="008C6800" w:rsidRPr="002C05EE">
              <w:rPr>
                <w:rFonts w:ascii="Times New Roman" w:hAnsi="Times New Roman" w:cs="Times New Roman"/>
                <w:color w:val="231F20"/>
                <w:sz w:val="18"/>
                <w:szCs w:val="18"/>
              </w:rPr>
              <w:instrText>non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names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false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suffix</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family</w:instrText>
            </w:r>
            <w:r w:rsidR="008C6800" w:rsidRPr="002C05EE">
              <w:rPr>
                <w:rFonts w:ascii="Times New Roman" w:hAnsi="Times New Roman" w:cs="Times New Roman"/>
                <w:color w:val="231F20"/>
                <w:sz w:val="18"/>
                <w:szCs w:val="18"/>
                <w:lang w:val="ru-RU"/>
              </w:rPr>
              <w:instrText>":"Ł</w:instrText>
            </w:r>
            <w:r w:rsidR="008C6800" w:rsidRPr="002C05EE">
              <w:rPr>
                <w:rFonts w:ascii="Times New Roman" w:hAnsi="Times New Roman" w:cs="Times New Roman"/>
                <w:color w:val="231F20"/>
                <w:sz w:val="18"/>
                <w:szCs w:val="18"/>
              </w:rPr>
              <w:instrText>ukaszuk</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given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Krzysztof</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non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names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false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suffix</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family</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Liss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given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Joanna</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non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names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false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suffix</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family</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Skowro</w:instrText>
            </w:r>
            <w:r w:rsidR="008C6800" w:rsidRPr="002C05EE">
              <w:rPr>
                <w:rFonts w:ascii="Times New Roman" w:hAnsi="Times New Roman" w:cs="Times New Roman"/>
                <w:color w:val="231F20"/>
                <w:sz w:val="18"/>
                <w:szCs w:val="18"/>
                <w:lang w:val="ru-RU"/>
              </w:rPr>
              <w:instrText>ń</w:instrText>
            </w:r>
            <w:r w:rsidR="008C6800" w:rsidRPr="002C05EE">
              <w:rPr>
                <w:rFonts w:ascii="Times New Roman" w:hAnsi="Times New Roman" w:cs="Times New Roman"/>
                <w:color w:val="231F20"/>
                <w:sz w:val="18"/>
                <w:szCs w:val="18"/>
              </w:rPr>
              <w:instrText>ska</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given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Patrycja</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non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names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false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suffix</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family</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Szczypta</w:instrText>
            </w:r>
            <w:r w:rsidR="008C6800" w:rsidRPr="002C05EE">
              <w:rPr>
                <w:rFonts w:ascii="Times New Roman" w:hAnsi="Times New Roman" w:cs="Times New Roman"/>
                <w:color w:val="231F20"/>
                <w:sz w:val="18"/>
                <w:szCs w:val="18"/>
                <w:lang w:val="ru-RU"/>
              </w:rPr>
              <w:instrText>ń</w:instrText>
            </w:r>
            <w:r w:rsidR="008C6800" w:rsidRPr="002C05EE">
              <w:rPr>
                <w:rFonts w:ascii="Times New Roman" w:hAnsi="Times New Roman" w:cs="Times New Roman"/>
                <w:color w:val="231F20"/>
                <w:sz w:val="18"/>
                <w:szCs w:val="18"/>
              </w:rPr>
              <w:instrText>ska</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given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Joanna</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non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dropping</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names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false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suffix</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container</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title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Systems</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Biology</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in</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Reproductive</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Medicine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id</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ITEM</w:instrText>
            </w:r>
            <w:r w:rsidR="008C6800" w:rsidRPr="002C05EE">
              <w:rPr>
                <w:rFonts w:ascii="Times New Roman" w:hAnsi="Times New Roman" w:cs="Times New Roman"/>
                <w:color w:val="231F20"/>
                <w:sz w:val="18"/>
                <w:szCs w:val="18"/>
                <w:lang w:val="ru-RU"/>
              </w:rPr>
              <w:instrText>-1","</w:instrText>
            </w:r>
            <w:r w:rsidR="008C6800" w:rsidRPr="002C05EE">
              <w:rPr>
                <w:rFonts w:ascii="Times New Roman" w:hAnsi="Times New Roman" w:cs="Times New Roman"/>
                <w:color w:val="231F20"/>
                <w:sz w:val="18"/>
                <w:szCs w:val="18"/>
              </w:rPr>
              <w:instrText>issue</w:instrText>
            </w:r>
            <w:r w:rsidR="008C6800" w:rsidRPr="002C05EE">
              <w:rPr>
                <w:rFonts w:ascii="Times New Roman" w:hAnsi="Times New Roman" w:cs="Times New Roman"/>
                <w:color w:val="231F20"/>
                <w:sz w:val="18"/>
                <w:szCs w:val="18"/>
                <w:lang w:val="ru-RU"/>
              </w:rPr>
              <w:instrText>":"1","</w:instrText>
            </w:r>
            <w:r w:rsidR="008C6800" w:rsidRPr="002C05EE">
              <w:rPr>
                <w:rFonts w:ascii="Times New Roman" w:hAnsi="Times New Roman" w:cs="Times New Roman"/>
                <w:color w:val="231F20"/>
                <w:sz w:val="18"/>
                <w:szCs w:val="18"/>
              </w:rPr>
              <w:instrText>issued</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date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parts</w:instrText>
            </w:r>
            <w:r w:rsidR="008C6800" w:rsidRPr="002C05EE">
              <w:rPr>
                <w:rFonts w:ascii="Times New Roman" w:hAnsi="Times New Roman" w:cs="Times New Roman"/>
                <w:color w:val="231F20"/>
                <w:sz w:val="18"/>
                <w:szCs w:val="18"/>
                <w:lang w:val="ru-RU"/>
              </w:rPr>
              <w:instrText>":[["2017"]]},"</w:instrText>
            </w:r>
            <w:r w:rsidR="008C6800" w:rsidRPr="002C05EE">
              <w:rPr>
                <w:rFonts w:ascii="Times New Roman" w:hAnsi="Times New Roman" w:cs="Times New Roman"/>
                <w:color w:val="231F20"/>
                <w:sz w:val="18"/>
                <w:szCs w:val="18"/>
              </w:rPr>
              <w:instrText>page</w:instrText>
            </w:r>
            <w:r w:rsidR="008C6800" w:rsidRPr="002C05EE">
              <w:rPr>
                <w:rFonts w:ascii="Times New Roman" w:hAnsi="Times New Roman" w:cs="Times New Roman"/>
                <w:color w:val="231F20"/>
                <w:sz w:val="18"/>
                <w:szCs w:val="18"/>
                <w:lang w:val="ru-RU"/>
              </w:rPr>
              <w:instrText>":"49-57","</w:instrText>
            </w:r>
            <w:r w:rsidR="008C6800" w:rsidRPr="002C05EE">
              <w:rPr>
                <w:rFonts w:ascii="Times New Roman" w:hAnsi="Times New Roman" w:cs="Times New Roman"/>
                <w:color w:val="231F20"/>
                <w:sz w:val="18"/>
                <w:szCs w:val="18"/>
              </w:rPr>
              <w:instrText>publisher</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Taylor</w:instrText>
            </w:r>
            <w:r w:rsidR="008C6800" w:rsidRPr="002C05EE">
              <w:rPr>
                <w:rFonts w:ascii="Times New Roman" w:hAnsi="Times New Roman" w:cs="Times New Roman"/>
                <w:color w:val="231F20"/>
                <w:sz w:val="18"/>
                <w:szCs w:val="18"/>
                <w:lang w:val="ru-RU"/>
              </w:rPr>
              <w:instrText xml:space="preserve"> &amp; </w:instrText>
            </w:r>
            <w:r w:rsidR="008C6800" w:rsidRPr="002C05EE">
              <w:rPr>
                <w:rFonts w:ascii="Times New Roman" w:hAnsi="Times New Roman" w:cs="Times New Roman"/>
                <w:color w:val="231F20"/>
                <w:sz w:val="18"/>
                <w:szCs w:val="18"/>
              </w:rPr>
              <w:instrText>Francis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title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Granulocyte</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colony</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stimulating</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factor</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treatment</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of</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resistant</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thin</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endometrium</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in</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women</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with</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frozen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thawed</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blastocyst</w:instrText>
            </w:r>
            <w:r w:rsidR="008C6800" w:rsidRPr="002C05EE">
              <w:rPr>
                <w:rFonts w:ascii="Times New Roman" w:hAnsi="Times New Roman" w:cs="Times New Roman"/>
                <w:color w:val="231F20"/>
                <w:sz w:val="18"/>
                <w:szCs w:val="18"/>
                <w:lang w:val="ru-RU"/>
              </w:rPr>
              <w:instrText xml:space="preserve"> </w:instrText>
            </w:r>
            <w:r w:rsidR="008C6800" w:rsidRPr="002C05EE">
              <w:rPr>
                <w:rFonts w:ascii="Times New Roman" w:hAnsi="Times New Roman" w:cs="Times New Roman"/>
                <w:color w:val="231F20"/>
                <w:sz w:val="18"/>
                <w:szCs w:val="18"/>
              </w:rPr>
              <w:instrText>transfer</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type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article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journal</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volume</w:instrText>
            </w:r>
            <w:r w:rsidR="008C6800" w:rsidRPr="002C05EE">
              <w:rPr>
                <w:rFonts w:ascii="Times New Roman" w:hAnsi="Times New Roman" w:cs="Times New Roman"/>
                <w:color w:val="231F20"/>
                <w:sz w:val="18"/>
                <w:szCs w:val="18"/>
                <w:lang w:val="ru-RU"/>
              </w:rPr>
              <w:instrText>":"63"},"</w:instrText>
            </w:r>
            <w:r w:rsidR="008C6800" w:rsidRPr="002C05EE">
              <w:rPr>
                <w:rFonts w:ascii="Times New Roman" w:hAnsi="Times New Roman" w:cs="Times New Roman"/>
                <w:color w:val="231F20"/>
                <w:sz w:val="18"/>
                <w:szCs w:val="18"/>
              </w:rPr>
              <w:instrText>uris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http</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www</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mendeley</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com</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documents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uuid</w:instrText>
            </w:r>
            <w:r w:rsidR="008C6800" w:rsidRPr="002C05EE">
              <w:rPr>
                <w:rFonts w:ascii="Times New Roman" w:hAnsi="Times New Roman" w:cs="Times New Roman"/>
                <w:color w:val="231F20"/>
                <w:sz w:val="18"/>
                <w:szCs w:val="18"/>
                <w:lang w:val="ru-RU"/>
              </w:rPr>
              <w:instrText>=5</w:instrText>
            </w:r>
            <w:r w:rsidR="008C6800" w:rsidRPr="002C05EE">
              <w:rPr>
                <w:rFonts w:ascii="Times New Roman" w:hAnsi="Times New Roman" w:cs="Times New Roman"/>
                <w:color w:val="231F20"/>
                <w:sz w:val="18"/>
                <w:szCs w:val="18"/>
              </w:rPr>
              <w:instrText>d</w:instrText>
            </w:r>
            <w:r w:rsidR="008C6800" w:rsidRPr="002C05EE">
              <w:rPr>
                <w:rFonts w:ascii="Times New Roman" w:hAnsi="Times New Roman" w:cs="Times New Roman"/>
                <w:color w:val="231F20"/>
                <w:sz w:val="18"/>
                <w:szCs w:val="18"/>
                <w:lang w:val="ru-RU"/>
              </w:rPr>
              <w:instrText>57</w:instrText>
            </w:r>
            <w:r w:rsidR="008C6800" w:rsidRPr="002C05EE">
              <w:rPr>
                <w:rFonts w:ascii="Times New Roman" w:hAnsi="Times New Roman" w:cs="Times New Roman"/>
                <w:color w:val="231F20"/>
                <w:sz w:val="18"/>
                <w:szCs w:val="18"/>
              </w:rPr>
              <w:instrText>c</w:instrText>
            </w:r>
            <w:r w:rsidR="008C6800" w:rsidRPr="002C05EE">
              <w:rPr>
                <w:rFonts w:ascii="Times New Roman" w:hAnsi="Times New Roman" w:cs="Times New Roman"/>
                <w:color w:val="231F20"/>
                <w:sz w:val="18"/>
                <w:szCs w:val="18"/>
                <w:lang w:val="ru-RU"/>
              </w:rPr>
              <w:instrText>9</w:instrText>
            </w:r>
            <w:r w:rsidR="008C6800" w:rsidRPr="002C05EE">
              <w:rPr>
                <w:rFonts w:ascii="Times New Roman" w:hAnsi="Times New Roman" w:cs="Times New Roman"/>
                <w:color w:val="231F20"/>
                <w:sz w:val="18"/>
                <w:szCs w:val="18"/>
              </w:rPr>
              <w:instrText>c</w:instrText>
            </w:r>
            <w:r w:rsidR="008C6800" w:rsidRPr="002C05EE">
              <w:rPr>
                <w:rFonts w:ascii="Times New Roman" w:hAnsi="Times New Roman" w:cs="Times New Roman"/>
                <w:color w:val="231F20"/>
                <w:sz w:val="18"/>
                <w:szCs w:val="18"/>
                <w:lang w:val="ru-RU"/>
              </w:rPr>
              <w:instrText>7-8</w:instrText>
            </w:r>
            <w:r w:rsidR="008C6800" w:rsidRPr="002C05EE">
              <w:rPr>
                <w:rFonts w:ascii="Times New Roman" w:hAnsi="Times New Roman" w:cs="Times New Roman"/>
                <w:color w:val="231F20"/>
                <w:sz w:val="18"/>
                <w:szCs w:val="18"/>
              </w:rPr>
              <w:instrText>c</w:instrText>
            </w:r>
            <w:r w:rsidR="008C6800" w:rsidRPr="002C05EE">
              <w:rPr>
                <w:rFonts w:ascii="Times New Roman" w:hAnsi="Times New Roman" w:cs="Times New Roman"/>
                <w:color w:val="231F20"/>
                <w:sz w:val="18"/>
                <w:szCs w:val="18"/>
                <w:lang w:val="ru-RU"/>
              </w:rPr>
              <w:instrText>1</w:instrText>
            </w:r>
            <w:r w:rsidR="008C6800" w:rsidRPr="002C05EE">
              <w:rPr>
                <w:rFonts w:ascii="Times New Roman" w:hAnsi="Times New Roman" w:cs="Times New Roman"/>
                <w:color w:val="231F20"/>
                <w:sz w:val="18"/>
                <w:szCs w:val="18"/>
              </w:rPr>
              <w:instrText>e</w:instrText>
            </w:r>
            <w:r w:rsidR="008C6800" w:rsidRPr="002C05EE">
              <w:rPr>
                <w:rFonts w:ascii="Times New Roman" w:hAnsi="Times New Roman" w:cs="Times New Roman"/>
                <w:color w:val="231F20"/>
                <w:sz w:val="18"/>
                <w:szCs w:val="18"/>
                <w:lang w:val="ru-RU"/>
              </w:rPr>
              <w:instrText>-4604-</w:instrText>
            </w:r>
            <w:r w:rsidR="008C6800" w:rsidRPr="002C05EE">
              <w:rPr>
                <w:rFonts w:ascii="Times New Roman" w:hAnsi="Times New Roman" w:cs="Times New Roman"/>
                <w:color w:val="231F20"/>
                <w:sz w:val="18"/>
                <w:szCs w:val="18"/>
              </w:rPr>
              <w:instrText>b</w:instrText>
            </w:r>
            <w:r w:rsidR="008C6800" w:rsidRPr="002C05EE">
              <w:rPr>
                <w:rFonts w:ascii="Times New Roman" w:hAnsi="Times New Roman" w:cs="Times New Roman"/>
                <w:color w:val="231F20"/>
                <w:sz w:val="18"/>
                <w:szCs w:val="18"/>
                <w:lang w:val="ru-RU"/>
              </w:rPr>
              <w:instrText>0</w:instrText>
            </w:r>
            <w:r w:rsidR="008C6800" w:rsidRPr="002C05EE">
              <w:rPr>
                <w:rFonts w:ascii="Times New Roman" w:hAnsi="Times New Roman" w:cs="Times New Roman"/>
                <w:color w:val="231F20"/>
                <w:sz w:val="18"/>
                <w:szCs w:val="18"/>
              </w:rPr>
              <w:instrText>eb</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fe</w:instrText>
            </w:r>
            <w:r w:rsidR="008C6800" w:rsidRPr="002C05EE">
              <w:rPr>
                <w:rFonts w:ascii="Times New Roman" w:hAnsi="Times New Roman" w:cs="Times New Roman"/>
                <w:color w:val="231F20"/>
                <w:sz w:val="18"/>
                <w:szCs w:val="18"/>
                <w:lang w:val="ru-RU"/>
              </w:rPr>
              <w:instrText>8</w:instrText>
            </w:r>
            <w:r w:rsidR="008C6800" w:rsidRPr="002C05EE">
              <w:rPr>
                <w:rFonts w:ascii="Times New Roman" w:hAnsi="Times New Roman" w:cs="Times New Roman"/>
                <w:color w:val="231F20"/>
                <w:sz w:val="18"/>
                <w:szCs w:val="18"/>
              </w:rPr>
              <w:instrText>d</w:instrText>
            </w:r>
            <w:r w:rsidR="008C6800" w:rsidRPr="002C05EE">
              <w:rPr>
                <w:rFonts w:ascii="Times New Roman" w:hAnsi="Times New Roman" w:cs="Times New Roman"/>
                <w:color w:val="231F20"/>
                <w:sz w:val="18"/>
                <w:szCs w:val="18"/>
                <w:lang w:val="ru-RU"/>
              </w:rPr>
              <w:instrText>2816527</w:instrText>
            </w:r>
            <w:r w:rsidR="008C6800" w:rsidRPr="002C05EE">
              <w:rPr>
                <w:rFonts w:ascii="Times New Roman" w:hAnsi="Times New Roman" w:cs="Times New Roman"/>
                <w:color w:val="231F20"/>
                <w:sz w:val="18"/>
                <w:szCs w:val="18"/>
              </w:rPr>
              <w:instrText>c</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mendeley</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formattedCitation</w:instrText>
            </w:r>
            <w:r w:rsidR="008C6800" w:rsidRPr="002C05EE">
              <w:rPr>
                <w:rFonts w:ascii="Times New Roman" w:hAnsi="Times New Roman" w:cs="Times New Roman"/>
                <w:color w:val="231F20"/>
                <w:sz w:val="18"/>
                <w:szCs w:val="18"/>
                <w:lang w:val="ru-RU"/>
              </w:rPr>
              <w:instrText>":"[54]","</w:instrText>
            </w:r>
            <w:r w:rsidR="008C6800" w:rsidRPr="002C05EE">
              <w:rPr>
                <w:rFonts w:ascii="Times New Roman" w:hAnsi="Times New Roman" w:cs="Times New Roman"/>
                <w:color w:val="231F20"/>
                <w:sz w:val="18"/>
                <w:szCs w:val="18"/>
              </w:rPr>
              <w:instrText>plainTextFormattedCitation</w:instrText>
            </w:r>
            <w:r w:rsidR="008C6800" w:rsidRPr="002C05EE">
              <w:rPr>
                <w:rFonts w:ascii="Times New Roman" w:hAnsi="Times New Roman" w:cs="Times New Roman"/>
                <w:color w:val="231F20"/>
                <w:sz w:val="18"/>
                <w:szCs w:val="18"/>
                <w:lang w:val="ru-RU"/>
              </w:rPr>
              <w:instrText>":"[54]","</w:instrText>
            </w:r>
            <w:r w:rsidR="008C6800" w:rsidRPr="002C05EE">
              <w:rPr>
                <w:rFonts w:ascii="Times New Roman" w:hAnsi="Times New Roman" w:cs="Times New Roman"/>
                <w:color w:val="231F20"/>
                <w:sz w:val="18"/>
                <w:szCs w:val="18"/>
              </w:rPr>
              <w:instrText>previouslyFormattedCitation</w:instrText>
            </w:r>
            <w:r w:rsidR="008C6800" w:rsidRPr="002C05EE">
              <w:rPr>
                <w:rFonts w:ascii="Times New Roman" w:hAnsi="Times New Roman" w:cs="Times New Roman"/>
                <w:color w:val="231F20"/>
                <w:sz w:val="18"/>
                <w:szCs w:val="18"/>
                <w:lang w:val="ru-RU"/>
              </w:rPr>
              <w:instrText>":"(54)"},"</w:instrText>
            </w:r>
            <w:r w:rsidR="008C6800" w:rsidRPr="002C05EE">
              <w:rPr>
                <w:rFonts w:ascii="Times New Roman" w:hAnsi="Times New Roman" w:cs="Times New Roman"/>
                <w:color w:val="231F20"/>
                <w:sz w:val="18"/>
                <w:szCs w:val="18"/>
              </w:rPr>
              <w:instrText>properties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noteIndex</w:instrText>
            </w:r>
            <w:r w:rsidR="008C6800" w:rsidRPr="002C05EE">
              <w:rPr>
                <w:rFonts w:ascii="Times New Roman" w:hAnsi="Times New Roman" w:cs="Times New Roman"/>
                <w:color w:val="231F20"/>
                <w:sz w:val="18"/>
                <w:szCs w:val="18"/>
                <w:lang w:val="ru-RU"/>
              </w:rPr>
              <w:instrText>":0},"</w:instrText>
            </w:r>
            <w:r w:rsidR="008C6800" w:rsidRPr="002C05EE">
              <w:rPr>
                <w:rFonts w:ascii="Times New Roman" w:hAnsi="Times New Roman" w:cs="Times New Roman"/>
                <w:color w:val="231F20"/>
                <w:sz w:val="18"/>
                <w:szCs w:val="18"/>
              </w:rPr>
              <w:instrText>schema</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https</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github</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com</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citation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style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language</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schema</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raw</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master</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csl</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citation</w:instrText>
            </w:r>
            <w:r w:rsidR="008C6800" w:rsidRPr="002C05EE">
              <w:rPr>
                <w:rFonts w:ascii="Times New Roman" w:hAnsi="Times New Roman" w:cs="Times New Roman"/>
                <w:color w:val="231F20"/>
                <w:sz w:val="18"/>
                <w:szCs w:val="18"/>
                <w:lang w:val="ru-RU"/>
              </w:rPr>
              <w:instrText>.</w:instrText>
            </w:r>
            <w:r w:rsidR="008C6800" w:rsidRPr="002C05EE">
              <w:rPr>
                <w:rFonts w:ascii="Times New Roman" w:hAnsi="Times New Roman" w:cs="Times New Roman"/>
                <w:color w:val="231F20"/>
                <w:sz w:val="18"/>
                <w:szCs w:val="18"/>
              </w:rPr>
              <w:instrText>json</w:instrText>
            </w:r>
            <w:r w:rsidR="008C6800" w:rsidRPr="002C05EE">
              <w:rPr>
                <w:rFonts w:ascii="Times New Roman" w:hAnsi="Times New Roman" w:cs="Times New Roman"/>
                <w:color w:val="231F20"/>
                <w:sz w:val="18"/>
                <w:szCs w:val="18"/>
                <w:lang w:val="ru-RU"/>
              </w:rPr>
              <w:instrText>"}</w:instrText>
            </w:r>
            <w:r w:rsidR="00E475DC" w:rsidRPr="002C05EE">
              <w:rPr>
                <w:rFonts w:ascii="Times New Roman" w:hAnsi="Times New Roman" w:cs="Times New Roman"/>
                <w:color w:val="231F20"/>
                <w:sz w:val="18"/>
                <w:szCs w:val="18"/>
              </w:rPr>
              <w:fldChar w:fldCharType="separate"/>
            </w:r>
            <w:r w:rsidR="008C6800" w:rsidRPr="002C05EE">
              <w:rPr>
                <w:rFonts w:ascii="Times New Roman" w:hAnsi="Times New Roman" w:cs="Times New Roman"/>
                <w:noProof/>
                <w:color w:val="231F20"/>
                <w:sz w:val="18"/>
                <w:szCs w:val="18"/>
                <w:lang w:val="ru-RU"/>
              </w:rPr>
              <w:t>[54]</w:t>
            </w:r>
            <w:r w:rsidR="00E475DC" w:rsidRPr="002C05EE">
              <w:rPr>
                <w:rFonts w:ascii="Times New Roman" w:hAnsi="Times New Roman" w:cs="Times New Roman"/>
                <w:color w:val="231F20"/>
                <w:sz w:val="18"/>
                <w:szCs w:val="18"/>
              </w:rPr>
              <w:fldChar w:fldCharType="end"/>
            </w:r>
            <w:r w:rsidR="00E475DC" w:rsidRPr="002C05EE">
              <w:rPr>
                <w:rFonts w:ascii="Times New Roman" w:hAnsi="Times New Roman" w:cs="Times New Roman"/>
                <w:color w:val="231F20"/>
                <w:spacing w:val="40"/>
                <w:sz w:val="18"/>
                <w:szCs w:val="18"/>
                <w:lang w:val="ru-RU"/>
              </w:rPr>
              <w:t xml:space="preserve"> </w:t>
            </w:r>
            <w:r w:rsidR="00E475DC" w:rsidRPr="002C05EE">
              <w:rPr>
                <w:rFonts w:ascii="Times New Roman" w:hAnsi="Times New Roman" w:cs="Times New Roman"/>
                <w:color w:val="231F20"/>
                <w:w w:val="90"/>
                <w:sz w:val="18"/>
                <w:szCs w:val="18"/>
                <w:lang w:val="ru-RU"/>
              </w:rPr>
              <w:t>2017</w:t>
            </w:r>
            <w:r w:rsidR="00E475DC" w:rsidRPr="002C05EE">
              <w:rPr>
                <w:rFonts w:ascii="Times New Roman" w:hAnsi="Times New Roman" w:cs="Times New Roman"/>
                <w:color w:val="231F20"/>
                <w:spacing w:val="-2"/>
                <w:w w:val="90"/>
                <w:sz w:val="18"/>
                <w:szCs w:val="18"/>
                <w:lang w:val="ru-RU"/>
              </w:rPr>
              <w:t xml:space="preserve"> </w:t>
            </w:r>
            <w:r w:rsidR="00E475DC" w:rsidRPr="002C05EE">
              <w:rPr>
                <w:rFonts w:ascii="Times New Roman" w:hAnsi="Times New Roman" w:cs="Times New Roman"/>
                <w:color w:val="231F20"/>
                <w:w w:val="90"/>
                <w:sz w:val="18"/>
                <w:szCs w:val="18"/>
                <w:lang w:val="ru-RU"/>
              </w:rPr>
              <w:t>(</w:t>
            </w:r>
            <w:r w:rsidR="00E475DC" w:rsidRPr="002C05EE">
              <w:rPr>
                <w:rFonts w:ascii="Times New Roman" w:hAnsi="Times New Roman" w:cs="Times New Roman"/>
                <w:color w:val="231F20"/>
                <w:w w:val="90"/>
                <w:sz w:val="18"/>
                <w:szCs w:val="18"/>
              </w:rPr>
              <w:t>control</w:t>
            </w:r>
            <w:r w:rsidR="00E475DC" w:rsidRPr="002C05EE">
              <w:rPr>
                <w:rFonts w:ascii="Times New Roman" w:hAnsi="Times New Roman" w:cs="Times New Roman"/>
                <w:color w:val="231F20"/>
                <w:spacing w:val="-2"/>
                <w:w w:val="90"/>
                <w:sz w:val="18"/>
                <w:szCs w:val="18"/>
                <w:lang w:val="ru-RU"/>
              </w:rPr>
              <w:t xml:space="preserve"> </w:t>
            </w:r>
            <w:r w:rsidR="00E475DC" w:rsidRPr="002C05EE">
              <w:rPr>
                <w:rFonts w:ascii="Times New Roman" w:hAnsi="Times New Roman" w:cs="Times New Roman"/>
                <w:color w:val="231F20"/>
                <w:w w:val="90"/>
                <w:sz w:val="18"/>
                <w:szCs w:val="18"/>
              </w:rPr>
              <w:t>group</w:t>
            </w:r>
            <w:r w:rsidR="00E475DC" w:rsidRPr="002C05EE">
              <w:rPr>
                <w:rFonts w:ascii="Times New Roman" w:hAnsi="Times New Roman" w:cs="Times New Roman"/>
                <w:color w:val="231F20"/>
                <w:w w:val="90"/>
                <w:sz w:val="18"/>
                <w:szCs w:val="18"/>
                <w:lang w:val="ru-RU"/>
              </w:rPr>
              <w:t>)</w:t>
            </w:r>
          </w:p>
        </w:tc>
      </w:tr>
      <w:tr w:rsidR="00E475DC" w:rsidRPr="00F26644" w14:paraId="0E5309FD" w14:textId="77777777" w:rsidTr="002C05EE">
        <w:trPr>
          <w:trHeight w:val="1162"/>
        </w:trPr>
        <w:tc>
          <w:tcPr>
            <w:tcW w:w="850" w:type="dxa"/>
            <w:vMerge/>
            <w:tcBorders>
              <w:top w:val="single" w:sz="4" w:space="0" w:color="231F20"/>
            </w:tcBorders>
          </w:tcPr>
          <w:p w14:paraId="198F02CB" w14:textId="77777777" w:rsidR="00E475DC" w:rsidRPr="00F26644" w:rsidRDefault="00E475DC" w:rsidP="00E475DC">
            <w:pPr>
              <w:jc w:val="center"/>
              <w:rPr>
                <w:rFonts w:ascii="Times New Roman" w:hAnsi="Times New Roman" w:cs="Times New Roman"/>
                <w:sz w:val="24"/>
                <w:szCs w:val="24"/>
                <w:lang w:val="ru-RU"/>
              </w:rPr>
            </w:pPr>
          </w:p>
        </w:tc>
        <w:tc>
          <w:tcPr>
            <w:tcW w:w="988" w:type="dxa"/>
            <w:vMerge/>
            <w:tcBorders>
              <w:top w:val="single" w:sz="4" w:space="0" w:color="231F20"/>
            </w:tcBorders>
          </w:tcPr>
          <w:p w14:paraId="1E6AD94D" w14:textId="77777777" w:rsidR="00E475DC" w:rsidRPr="00F26644" w:rsidRDefault="00E475DC" w:rsidP="00E475DC">
            <w:pPr>
              <w:jc w:val="center"/>
              <w:rPr>
                <w:rFonts w:ascii="Times New Roman" w:hAnsi="Times New Roman" w:cs="Times New Roman"/>
                <w:sz w:val="24"/>
                <w:szCs w:val="24"/>
                <w:lang w:val="ru-RU"/>
              </w:rPr>
            </w:pPr>
          </w:p>
        </w:tc>
        <w:tc>
          <w:tcPr>
            <w:tcW w:w="3123" w:type="dxa"/>
            <w:tcBorders>
              <w:top w:val="single" w:sz="4" w:space="0" w:color="231F20"/>
            </w:tcBorders>
          </w:tcPr>
          <w:p w14:paraId="041F1141"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Трубный фактор 31,68%</w:t>
            </w:r>
          </w:p>
          <w:p w14:paraId="36E59985" w14:textId="3A2E6CC8"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Другие женские факторы 11,18%</w:t>
            </w:r>
          </w:p>
          <w:p w14:paraId="213F51EB"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мужские факторы 6,83%</w:t>
            </w:r>
          </w:p>
          <w:p w14:paraId="15366C9B"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Смешанные факторы 49,69%</w:t>
            </w:r>
          </w:p>
          <w:p w14:paraId="63F12DAE" w14:textId="77777777" w:rsidR="00E475DC" w:rsidRPr="00916B3A" w:rsidRDefault="00E475DC" w:rsidP="00E475DC">
            <w:pPr>
              <w:pStyle w:val="TableParagraph"/>
              <w:spacing w:before="0"/>
              <w:ind w:left="79"/>
              <w:jc w:val="center"/>
              <w:rPr>
                <w:rFonts w:ascii="Times New Roman" w:hAnsi="Times New Roman" w:cs="Times New Roman"/>
                <w:sz w:val="24"/>
                <w:szCs w:val="24"/>
                <w:lang w:val="ru-RU"/>
              </w:rPr>
            </w:pPr>
            <w:r w:rsidRPr="00916B3A">
              <w:rPr>
                <w:rFonts w:ascii="Times New Roman" w:hAnsi="Times New Roman" w:cs="Times New Roman"/>
                <w:color w:val="231F20"/>
                <w:spacing w:val="-6"/>
                <w:sz w:val="24"/>
                <w:szCs w:val="24"/>
                <w:lang w:val="ru-RU"/>
              </w:rPr>
              <w:t>Неизвестные факторы 0,62%</w:t>
            </w:r>
          </w:p>
        </w:tc>
        <w:tc>
          <w:tcPr>
            <w:tcW w:w="1276" w:type="dxa"/>
            <w:tcBorders>
              <w:top w:val="single" w:sz="4" w:space="0" w:color="231F20"/>
            </w:tcBorders>
          </w:tcPr>
          <w:p w14:paraId="36724EF8" w14:textId="77777777" w:rsidR="00E475DC" w:rsidRPr="00916B3A" w:rsidRDefault="00E475DC" w:rsidP="00E475DC">
            <w:pPr>
              <w:pStyle w:val="TableParagraph"/>
              <w:spacing w:before="0"/>
              <w:ind w:left="302"/>
              <w:jc w:val="center"/>
              <w:rPr>
                <w:rFonts w:ascii="Times New Roman" w:hAnsi="Times New Roman" w:cs="Times New Roman"/>
                <w:sz w:val="24"/>
                <w:szCs w:val="24"/>
                <w:lang w:val="ru-RU"/>
              </w:rPr>
            </w:pPr>
            <w:r w:rsidRPr="00916B3A">
              <w:rPr>
                <w:rFonts w:ascii="Times New Roman" w:hAnsi="Times New Roman" w:cs="Times New Roman"/>
                <w:color w:val="231F20"/>
                <w:sz w:val="24"/>
                <w:szCs w:val="24"/>
                <w:lang w:val="ru-RU"/>
              </w:rPr>
              <w:t>5.0</w:t>
            </w:r>
            <w:r w:rsidRPr="00916B3A">
              <w:rPr>
                <w:rFonts w:ascii="Times New Roman" w:hAnsi="Times New Roman" w:cs="Times New Roman"/>
                <w:color w:val="231F20"/>
                <w:spacing w:val="-5"/>
                <w:sz w:val="24"/>
                <w:szCs w:val="24"/>
                <w:lang w:val="ru-RU"/>
              </w:rPr>
              <w:t xml:space="preserve"> </w:t>
            </w:r>
            <w:r w:rsidRPr="00916B3A">
              <w:rPr>
                <w:rFonts w:ascii="Times New Roman" w:hAnsi="Times New Roman" w:cs="Times New Roman"/>
                <w:color w:val="231F20"/>
                <w:sz w:val="24"/>
                <w:szCs w:val="24"/>
                <w:lang w:val="ru-RU"/>
              </w:rPr>
              <w:t>±</w:t>
            </w:r>
            <w:r w:rsidRPr="00916B3A">
              <w:rPr>
                <w:rFonts w:ascii="Times New Roman" w:hAnsi="Times New Roman" w:cs="Times New Roman"/>
                <w:color w:val="231F20"/>
                <w:spacing w:val="-5"/>
                <w:sz w:val="24"/>
                <w:szCs w:val="24"/>
                <w:lang w:val="ru-RU"/>
              </w:rPr>
              <w:t xml:space="preserve"> 3.3</w:t>
            </w:r>
          </w:p>
        </w:tc>
        <w:tc>
          <w:tcPr>
            <w:tcW w:w="1129" w:type="dxa"/>
            <w:tcBorders>
              <w:top w:val="single" w:sz="4" w:space="0" w:color="231F20"/>
            </w:tcBorders>
          </w:tcPr>
          <w:p w14:paraId="5A4C4301" w14:textId="77777777" w:rsidR="00E475DC" w:rsidRPr="00916B3A" w:rsidRDefault="00E475DC" w:rsidP="00E475DC">
            <w:pPr>
              <w:pStyle w:val="TableParagraph"/>
              <w:spacing w:before="0"/>
              <w:ind w:right="60"/>
              <w:jc w:val="center"/>
              <w:rPr>
                <w:rFonts w:ascii="Times New Roman" w:hAnsi="Times New Roman" w:cs="Times New Roman"/>
                <w:sz w:val="24"/>
                <w:szCs w:val="24"/>
                <w:lang w:val="ru-RU"/>
              </w:rPr>
            </w:pPr>
            <w:r w:rsidRPr="00916B3A">
              <w:rPr>
                <w:rFonts w:ascii="Times New Roman" w:hAnsi="Times New Roman" w:cs="Times New Roman"/>
                <w:color w:val="231F20"/>
                <w:spacing w:val="-2"/>
                <w:sz w:val="24"/>
                <w:szCs w:val="24"/>
                <w:lang w:val="ru-RU"/>
              </w:rPr>
              <w:t>79.5%</w:t>
            </w:r>
          </w:p>
        </w:tc>
        <w:tc>
          <w:tcPr>
            <w:tcW w:w="2131" w:type="dxa"/>
            <w:tcBorders>
              <w:top w:val="single" w:sz="4" w:space="0" w:color="231F20"/>
            </w:tcBorders>
          </w:tcPr>
          <w:p w14:paraId="3AB35F12" w14:textId="405830CD" w:rsidR="00E475DC" w:rsidRPr="00594CDB" w:rsidRDefault="00E475DC" w:rsidP="002C05EE">
            <w:pPr>
              <w:pStyle w:val="TableParagraph"/>
              <w:spacing w:before="0"/>
              <w:ind w:left="79" w:right="152"/>
              <w:rPr>
                <w:rFonts w:ascii="Times New Roman" w:hAnsi="Times New Roman" w:cs="Times New Roman"/>
                <w:sz w:val="20"/>
                <w:szCs w:val="20"/>
              </w:rPr>
            </w:pPr>
            <w:r w:rsidRPr="00594CDB">
              <w:rPr>
                <w:rFonts w:ascii="Times New Roman" w:hAnsi="Times New Roman" w:cs="Times New Roman"/>
                <w:color w:val="231F20"/>
                <w:spacing w:val="-2"/>
                <w:sz w:val="20"/>
                <w:szCs w:val="20"/>
              </w:rPr>
              <w:t>Mao</w:t>
            </w:r>
            <w:r w:rsidRPr="00F26644">
              <w:rPr>
                <w:rFonts w:ascii="Times New Roman" w:hAnsi="Times New Roman" w:cs="Times New Roman"/>
                <w:color w:val="231F20"/>
                <w:spacing w:val="-8"/>
                <w:sz w:val="20"/>
                <w:szCs w:val="20"/>
              </w:rPr>
              <w:t xml:space="preserve"> </w:t>
            </w:r>
            <w:r w:rsidRPr="00594CDB">
              <w:rPr>
                <w:rFonts w:ascii="Times New Roman" w:hAnsi="Times New Roman" w:cs="Times New Roman"/>
                <w:color w:val="231F20"/>
                <w:spacing w:val="-2"/>
                <w:sz w:val="20"/>
                <w:szCs w:val="20"/>
              </w:rPr>
              <w:t>et</w:t>
            </w:r>
            <w:r w:rsidRPr="00F26644">
              <w:rPr>
                <w:rFonts w:ascii="Times New Roman" w:hAnsi="Times New Roman" w:cs="Times New Roman"/>
                <w:color w:val="231F20"/>
                <w:spacing w:val="-8"/>
                <w:sz w:val="20"/>
                <w:szCs w:val="20"/>
              </w:rPr>
              <w:t xml:space="preserve"> </w:t>
            </w:r>
            <w:r w:rsidRPr="00594CDB">
              <w:rPr>
                <w:rFonts w:ascii="Times New Roman" w:hAnsi="Times New Roman" w:cs="Times New Roman"/>
                <w:color w:val="231F20"/>
                <w:spacing w:val="-2"/>
                <w:sz w:val="20"/>
                <w:szCs w:val="20"/>
              </w:rPr>
              <w:t>al</w:t>
            </w:r>
            <w:r w:rsidRPr="00F26644">
              <w:rPr>
                <w:rFonts w:ascii="Times New Roman" w:hAnsi="Times New Roman" w:cs="Times New Roman"/>
                <w:color w:val="231F20"/>
                <w:spacing w:val="-2"/>
                <w:sz w:val="20"/>
                <w:szCs w:val="20"/>
              </w:rPr>
              <w:t>.,</w:t>
            </w:r>
            <w:r w:rsidRPr="00F26644">
              <w:rPr>
                <w:rFonts w:ascii="Times New Roman" w:hAnsi="Times New Roman" w:cs="Times New Roman"/>
                <w:color w:val="231F20"/>
                <w:spacing w:val="-8"/>
                <w:sz w:val="20"/>
                <w:szCs w:val="20"/>
              </w:rPr>
              <w:t xml:space="preserve"> </w:t>
            </w:r>
            <w:r w:rsidRPr="00594CDB">
              <w:rPr>
                <w:rFonts w:ascii="Times New Roman" w:hAnsi="Times New Roman" w:cs="Times New Roman"/>
                <w:color w:val="231F20"/>
                <w:spacing w:val="-2"/>
                <w:sz w:val="20"/>
                <w:szCs w:val="20"/>
              </w:rPr>
              <w:fldChar w:fldCharType="begin" w:fldLock="1"/>
            </w:r>
            <w:r w:rsidR="008C6800" w:rsidRPr="00594CDB">
              <w:rPr>
                <w:rFonts w:ascii="Times New Roman" w:hAnsi="Times New Roman" w:cs="Times New Roman"/>
                <w:color w:val="231F20"/>
                <w:spacing w:val="-2"/>
                <w:sz w:val="20"/>
                <w:szCs w:val="20"/>
              </w:rPr>
              <w:instrText>ADDIN</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CSL</w:instrText>
            </w:r>
            <w:r w:rsidR="008C6800" w:rsidRPr="00F26644">
              <w:rPr>
                <w:rFonts w:ascii="Times New Roman" w:hAnsi="Times New Roman" w:cs="Times New Roman"/>
                <w:color w:val="231F20"/>
                <w:spacing w:val="-2"/>
                <w:sz w:val="20"/>
                <w:szCs w:val="20"/>
              </w:rPr>
              <w:instrText>_</w:instrText>
            </w:r>
            <w:r w:rsidR="008C6800" w:rsidRPr="00594CDB">
              <w:rPr>
                <w:rFonts w:ascii="Times New Roman" w:hAnsi="Times New Roman" w:cs="Times New Roman"/>
                <w:color w:val="231F20"/>
                <w:spacing w:val="-2"/>
                <w:sz w:val="20"/>
                <w:szCs w:val="20"/>
              </w:rPr>
              <w:instrText>CITATION</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citationItems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id</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ITEM</w:instrText>
            </w:r>
            <w:r w:rsidR="008C6800" w:rsidRPr="00F26644">
              <w:rPr>
                <w:rFonts w:ascii="Times New Roman" w:hAnsi="Times New Roman" w:cs="Times New Roman"/>
                <w:color w:val="231F20"/>
                <w:spacing w:val="-2"/>
                <w:sz w:val="20"/>
                <w:szCs w:val="20"/>
              </w:rPr>
              <w:instrText>-1","</w:instrText>
            </w:r>
            <w:r w:rsidR="008C6800" w:rsidRPr="00594CDB">
              <w:rPr>
                <w:rFonts w:ascii="Times New Roman" w:hAnsi="Times New Roman" w:cs="Times New Roman"/>
                <w:color w:val="231F20"/>
                <w:spacing w:val="-2"/>
                <w:sz w:val="20"/>
                <w:szCs w:val="20"/>
              </w:rPr>
              <w:instrText>itemData</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ISSN</w:instrText>
            </w:r>
            <w:r w:rsidR="008C6800" w:rsidRPr="00F26644">
              <w:rPr>
                <w:rFonts w:ascii="Times New Roman" w:hAnsi="Times New Roman" w:cs="Times New Roman"/>
                <w:color w:val="231F20"/>
                <w:spacing w:val="-2"/>
                <w:sz w:val="20"/>
                <w:szCs w:val="20"/>
              </w:rPr>
              <w:instrText>":"0020-7292","</w:instrText>
            </w:r>
            <w:r w:rsidR="008C6800" w:rsidRPr="00594CDB">
              <w:rPr>
                <w:rFonts w:ascii="Times New Roman" w:hAnsi="Times New Roman" w:cs="Times New Roman"/>
                <w:color w:val="231F20"/>
                <w:spacing w:val="-2"/>
                <w:sz w:val="20"/>
                <w:szCs w:val="20"/>
              </w:rPr>
              <w:instrText>author</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family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Mao</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given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Xiaoyan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non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names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false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suffix</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family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Zhang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given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Jie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non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names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false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suffix</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family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Cai</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given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Renfei</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non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names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false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suffix</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family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Tao</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given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Yu</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non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names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false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suffix</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family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Gao</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given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Hongyuan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non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names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false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suffix</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family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Kuang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given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Yanping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non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names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false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suffix</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family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Zhang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given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Shaozhen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non</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dropping</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names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false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suffix</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container</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title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International</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Journal</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of</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Gynecology</w:instrText>
            </w:r>
            <w:r w:rsidR="008C6800" w:rsidRPr="00F26644">
              <w:rPr>
                <w:rFonts w:ascii="Times New Roman" w:hAnsi="Times New Roman" w:cs="Times New Roman"/>
                <w:color w:val="231F20"/>
                <w:spacing w:val="-2"/>
                <w:sz w:val="20"/>
                <w:szCs w:val="20"/>
              </w:rPr>
              <w:instrText xml:space="preserve"> &amp; </w:instrText>
            </w:r>
            <w:r w:rsidR="008C6800" w:rsidRPr="00594CDB">
              <w:rPr>
                <w:rFonts w:ascii="Times New Roman" w:hAnsi="Times New Roman" w:cs="Times New Roman"/>
                <w:color w:val="231F20"/>
                <w:spacing w:val="-2"/>
                <w:sz w:val="20"/>
                <w:szCs w:val="20"/>
              </w:rPr>
              <w:instrText>Obstetrics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id</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ITEM</w:instrText>
            </w:r>
            <w:r w:rsidR="008C6800" w:rsidRPr="00F26644">
              <w:rPr>
                <w:rFonts w:ascii="Times New Roman" w:hAnsi="Times New Roman" w:cs="Times New Roman"/>
                <w:color w:val="231F20"/>
                <w:spacing w:val="-2"/>
                <w:sz w:val="20"/>
                <w:szCs w:val="20"/>
              </w:rPr>
              <w:instrText>-1","</w:instrText>
            </w:r>
            <w:r w:rsidR="008C6800" w:rsidRPr="00594CDB">
              <w:rPr>
                <w:rFonts w:ascii="Times New Roman" w:hAnsi="Times New Roman" w:cs="Times New Roman"/>
                <w:color w:val="231F20"/>
                <w:spacing w:val="-2"/>
                <w:sz w:val="20"/>
                <w:szCs w:val="20"/>
              </w:rPr>
              <w:instrText>issue</w:instrText>
            </w:r>
            <w:r w:rsidR="008C6800" w:rsidRPr="00F26644">
              <w:rPr>
                <w:rFonts w:ascii="Times New Roman" w:hAnsi="Times New Roman" w:cs="Times New Roman"/>
                <w:color w:val="231F20"/>
                <w:spacing w:val="-2"/>
                <w:sz w:val="20"/>
                <w:szCs w:val="20"/>
              </w:rPr>
              <w:instrText>":"2","</w:instrText>
            </w:r>
            <w:r w:rsidR="008C6800" w:rsidRPr="00594CDB">
              <w:rPr>
                <w:rFonts w:ascii="Times New Roman" w:hAnsi="Times New Roman" w:cs="Times New Roman"/>
                <w:color w:val="231F20"/>
                <w:spacing w:val="-2"/>
                <w:sz w:val="20"/>
                <w:szCs w:val="20"/>
              </w:rPr>
              <w:instrText>issued</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date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parts</w:instrText>
            </w:r>
            <w:r w:rsidR="008C6800" w:rsidRPr="00F26644">
              <w:rPr>
                <w:rFonts w:ascii="Times New Roman" w:hAnsi="Times New Roman" w:cs="Times New Roman"/>
                <w:color w:val="231F20"/>
                <w:spacing w:val="-2"/>
                <w:sz w:val="20"/>
                <w:szCs w:val="20"/>
              </w:rPr>
              <w:instrText>":[["2020"]]},"</w:instrText>
            </w:r>
            <w:r w:rsidR="008C6800" w:rsidRPr="00594CDB">
              <w:rPr>
                <w:rFonts w:ascii="Times New Roman" w:hAnsi="Times New Roman" w:cs="Times New Roman"/>
                <w:color w:val="231F20"/>
                <w:spacing w:val="-2"/>
                <w:sz w:val="20"/>
                <w:szCs w:val="20"/>
              </w:rPr>
              <w:instrText>page</w:instrText>
            </w:r>
            <w:r w:rsidR="008C6800" w:rsidRPr="00F26644">
              <w:rPr>
                <w:rFonts w:ascii="Times New Roman" w:hAnsi="Times New Roman" w:cs="Times New Roman"/>
                <w:color w:val="231F20"/>
                <w:spacing w:val="-2"/>
                <w:sz w:val="20"/>
                <w:szCs w:val="20"/>
              </w:rPr>
              <w:instrText>":"194-199","</w:instrText>
            </w:r>
            <w:r w:rsidR="008C6800" w:rsidRPr="00594CDB">
              <w:rPr>
                <w:rFonts w:ascii="Times New Roman" w:hAnsi="Times New Roman" w:cs="Times New Roman"/>
                <w:color w:val="231F20"/>
                <w:spacing w:val="-2"/>
                <w:sz w:val="20"/>
                <w:szCs w:val="20"/>
              </w:rPr>
              <w:instrText>publisher</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Wiley</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Online</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Library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title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Therapeutic</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role</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of</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granulocyte</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macrophage</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colony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stimulating</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factor</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GM</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CSF</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in</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patients</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with</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persistent</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thin</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endometrium</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A</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prospective</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and</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randomized</w:instrText>
            </w:r>
            <w:r w:rsidR="008C6800" w:rsidRPr="00F26644">
              <w:rPr>
                <w:rFonts w:ascii="Times New Roman" w:hAnsi="Times New Roman" w:cs="Times New Roman"/>
                <w:color w:val="231F20"/>
                <w:spacing w:val="-2"/>
                <w:sz w:val="20"/>
                <w:szCs w:val="20"/>
              </w:rPr>
              <w:instrText xml:space="preserve"> </w:instrText>
            </w:r>
            <w:r w:rsidR="008C6800" w:rsidRPr="00594CDB">
              <w:rPr>
                <w:rFonts w:ascii="Times New Roman" w:hAnsi="Times New Roman" w:cs="Times New Roman"/>
                <w:color w:val="231F20"/>
                <w:spacing w:val="-2"/>
                <w:sz w:val="20"/>
                <w:szCs w:val="20"/>
              </w:rPr>
              <w:instrText>study</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type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article</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journal</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volume</w:instrText>
            </w:r>
            <w:r w:rsidR="008C6800" w:rsidRPr="00F26644">
              <w:rPr>
                <w:rFonts w:ascii="Times New Roman" w:hAnsi="Times New Roman" w:cs="Times New Roman"/>
                <w:color w:val="231F20"/>
                <w:spacing w:val="-2"/>
                <w:sz w:val="20"/>
                <w:szCs w:val="20"/>
              </w:rPr>
              <w:instrText>":"150"},"</w:instrText>
            </w:r>
            <w:r w:rsidR="008C6800" w:rsidRPr="00594CDB">
              <w:rPr>
                <w:rFonts w:ascii="Times New Roman" w:hAnsi="Times New Roman" w:cs="Times New Roman"/>
                <w:color w:val="231F20"/>
                <w:spacing w:val="-2"/>
                <w:sz w:val="20"/>
                <w:szCs w:val="20"/>
              </w:rPr>
              <w:instrText>uris</w:instrText>
            </w:r>
            <w:r w:rsidR="008C6800" w:rsidRPr="00F26644">
              <w:rPr>
                <w:rFonts w:ascii="Times New Roman" w:hAnsi="Times New Roman" w:cs="Times New Roman"/>
                <w:color w:val="231F20"/>
                <w:spacing w:val="-2"/>
                <w:sz w:val="20"/>
                <w:szCs w:val="20"/>
              </w:rPr>
              <w:instrText>":["</w:instrText>
            </w:r>
            <w:r w:rsidR="008C6800" w:rsidRPr="00594CDB">
              <w:rPr>
                <w:rFonts w:ascii="Times New Roman" w:hAnsi="Times New Roman" w:cs="Times New Roman"/>
                <w:color w:val="231F20"/>
                <w:spacing w:val="-2"/>
                <w:sz w:val="20"/>
                <w:szCs w:val="20"/>
              </w:rPr>
              <w:instrText>http://www.mendeley.com/documents/?uuid=f43847f8-8d2d-470f-8eb3-fe5ae5dd5cca"]}],"mendeley":{"formattedCitation":"[119]","plainTextFormattedCitation":"[119]","previouslyFormattedCitation":"(119)"},"properties":{"noteIndex":0},"schema":"https://github.com/citation-style-language/schema/raw/master/csl-citation.json"}</w:instrText>
            </w:r>
            <w:r w:rsidRPr="00594CDB">
              <w:rPr>
                <w:rFonts w:ascii="Times New Roman" w:hAnsi="Times New Roman" w:cs="Times New Roman"/>
                <w:color w:val="231F20"/>
                <w:spacing w:val="-2"/>
                <w:sz w:val="20"/>
                <w:szCs w:val="20"/>
              </w:rPr>
              <w:fldChar w:fldCharType="separate"/>
            </w:r>
            <w:r w:rsidR="008C6800" w:rsidRPr="00594CDB">
              <w:rPr>
                <w:rFonts w:ascii="Times New Roman" w:hAnsi="Times New Roman" w:cs="Times New Roman"/>
                <w:noProof/>
                <w:color w:val="231F20"/>
                <w:spacing w:val="-2"/>
                <w:sz w:val="20"/>
                <w:szCs w:val="20"/>
              </w:rPr>
              <w:t>[119]</w:t>
            </w:r>
            <w:r w:rsidRPr="00594CDB">
              <w:rPr>
                <w:rFonts w:ascii="Times New Roman" w:hAnsi="Times New Roman" w:cs="Times New Roman"/>
                <w:color w:val="231F20"/>
                <w:spacing w:val="-2"/>
                <w:sz w:val="20"/>
                <w:szCs w:val="20"/>
              </w:rPr>
              <w:fldChar w:fldCharType="end"/>
            </w:r>
            <w:r w:rsidRPr="00594CDB">
              <w:rPr>
                <w:rFonts w:ascii="Times New Roman" w:hAnsi="Times New Roman" w:cs="Times New Roman"/>
                <w:color w:val="231F20"/>
                <w:spacing w:val="-2"/>
                <w:sz w:val="20"/>
                <w:szCs w:val="20"/>
              </w:rPr>
              <w:t>2020</w:t>
            </w:r>
            <w:r w:rsidRPr="00594CDB">
              <w:rPr>
                <w:rFonts w:ascii="Times New Roman" w:hAnsi="Times New Roman" w:cs="Times New Roman"/>
                <w:color w:val="231F20"/>
                <w:spacing w:val="40"/>
                <w:sz w:val="20"/>
                <w:szCs w:val="20"/>
              </w:rPr>
              <w:t xml:space="preserve"> </w:t>
            </w:r>
            <w:r w:rsidRPr="00594CDB">
              <w:rPr>
                <w:rFonts w:ascii="Times New Roman" w:hAnsi="Times New Roman" w:cs="Times New Roman"/>
                <w:color w:val="231F20"/>
                <w:sz w:val="20"/>
                <w:szCs w:val="20"/>
              </w:rPr>
              <w:t>(GM-CSF group)</w:t>
            </w:r>
          </w:p>
        </w:tc>
      </w:tr>
      <w:tr w:rsidR="00E475DC" w:rsidRPr="00F26644" w14:paraId="43CB5087" w14:textId="77777777" w:rsidTr="002C05EE">
        <w:trPr>
          <w:trHeight w:val="1162"/>
        </w:trPr>
        <w:tc>
          <w:tcPr>
            <w:tcW w:w="850" w:type="dxa"/>
            <w:vMerge/>
            <w:tcBorders>
              <w:top w:val="single" w:sz="4" w:space="0" w:color="231F20"/>
            </w:tcBorders>
          </w:tcPr>
          <w:p w14:paraId="22B2D739" w14:textId="77777777" w:rsidR="00E475DC" w:rsidRPr="00916B3A" w:rsidRDefault="00E475DC" w:rsidP="00E475DC">
            <w:pPr>
              <w:jc w:val="center"/>
              <w:rPr>
                <w:rFonts w:ascii="Times New Roman" w:hAnsi="Times New Roman" w:cs="Times New Roman"/>
                <w:sz w:val="24"/>
                <w:szCs w:val="24"/>
              </w:rPr>
            </w:pPr>
          </w:p>
        </w:tc>
        <w:tc>
          <w:tcPr>
            <w:tcW w:w="988" w:type="dxa"/>
            <w:vMerge/>
            <w:tcBorders>
              <w:top w:val="single" w:sz="4" w:space="0" w:color="231F20"/>
            </w:tcBorders>
          </w:tcPr>
          <w:p w14:paraId="41F774E8" w14:textId="77777777" w:rsidR="00E475DC" w:rsidRPr="00916B3A" w:rsidRDefault="00E475DC" w:rsidP="00E475DC">
            <w:pPr>
              <w:jc w:val="center"/>
              <w:rPr>
                <w:rFonts w:ascii="Times New Roman" w:hAnsi="Times New Roman" w:cs="Times New Roman"/>
                <w:sz w:val="24"/>
                <w:szCs w:val="24"/>
              </w:rPr>
            </w:pPr>
          </w:p>
        </w:tc>
        <w:tc>
          <w:tcPr>
            <w:tcW w:w="3123" w:type="dxa"/>
            <w:tcBorders>
              <w:top w:val="single" w:sz="4" w:space="0" w:color="231F20"/>
            </w:tcBorders>
          </w:tcPr>
          <w:p w14:paraId="4D4CC1E5"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Трубный фактор 30,07%</w:t>
            </w:r>
          </w:p>
          <w:p w14:paraId="14B75153" w14:textId="2210056E"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Другие женские факторы 5,59%</w:t>
            </w:r>
          </w:p>
          <w:p w14:paraId="57B79C8A"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Мужской фактор 4,90%</w:t>
            </w:r>
          </w:p>
          <w:p w14:paraId="39FD4D99" w14:textId="77777777" w:rsidR="00E475DC" w:rsidRPr="00916B3A"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916B3A">
              <w:rPr>
                <w:rFonts w:ascii="Times New Roman" w:hAnsi="Times New Roman" w:cs="Times New Roman"/>
                <w:color w:val="231F20"/>
                <w:spacing w:val="-6"/>
                <w:sz w:val="24"/>
                <w:szCs w:val="24"/>
                <w:lang w:val="ru-RU"/>
              </w:rPr>
              <w:t>Смешанные факторы 59,44%</w:t>
            </w:r>
          </w:p>
          <w:p w14:paraId="4596BCE6" w14:textId="77777777" w:rsidR="00E475DC" w:rsidRPr="00916B3A" w:rsidRDefault="00E475DC" w:rsidP="00E475DC">
            <w:pPr>
              <w:pStyle w:val="TableParagraph"/>
              <w:spacing w:before="0"/>
              <w:ind w:left="79"/>
              <w:jc w:val="center"/>
              <w:rPr>
                <w:rFonts w:ascii="Times New Roman" w:hAnsi="Times New Roman" w:cs="Times New Roman"/>
                <w:sz w:val="24"/>
                <w:szCs w:val="24"/>
                <w:lang w:val="ru-RU"/>
              </w:rPr>
            </w:pPr>
            <w:r w:rsidRPr="00916B3A">
              <w:rPr>
                <w:rFonts w:ascii="Times New Roman" w:hAnsi="Times New Roman" w:cs="Times New Roman"/>
                <w:color w:val="231F20"/>
                <w:spacing w:val="-6"/>
                <w:sz w:val="24"/>
                <w:szCs w:val="24"/>
                <w:lang w:val="ru-RU"/>
              </w:rPr>
              <w:t>Неизвестные факторы 0%</w:t>
            </w:r>
          </w:p>
        </w:tc>
        <w:tc>
          <w:tcPr>
            <w:tcW w:w="1276" w:type="dxa"/>
            <w:tcBorders>
              <w:top w:val="single" w:sz="4" w:space="0" w:color="231F20"/>
            </w:tcBorders>
          </w:tcPr>
          <w:p w14:paraId="42D9A6FC" w14:textId="77777777" w:rsidR="00E475DC" w:rsidRPr="00916B3A" w:rsidRDefault="00E475DC" w:rsidP="00E475DC">
            <w:pPr>
              <w:pStyle w:val="TableParagraph"/>
              <w:spacing w:before="0"/>
              <w:ind w:left="302"/>
              <w:jc w:val="center"/>
              <w:rPr>
                <w:rFonts w:ascii="Times New Roman" w:hAnsi="Times New Roman" w:cs="Times New Roman"/>
                <w:sz w:val="24"/>
                <w:szCs w:val="24"/>
              </w:rPr>
            </w:pPr>
            <w:r w:rsidRPr="00916B3A">
              <w:rPr>
                <w:rFonts w:ascii="Times New Roman" w:hAnsi="Times New Roman" w:cs="Times New Roman"/>
                <w:color w:val="231F20"/>
                <w:sz w:val="24"/>
                <w:szCs w:val="24"/>
              </w:rPr>
              <w:t>3.9</w:t>
            </w:r>
            <w:r w:rsidRPr="00916B3A">
              <w:rPr>
                <w:rFonts w:ascii="Times New Roman" w:hAnsi="Times New Roman" w:cs="Times New Roman"/>
                <w:color w:val="231F20"/>
                <w:spacing w:val="-5"/>
                <w:sz w:val="24"/>
                <w:szCs w:val="24"/>
              </w:rPr>
              <w:t xml:space="preserve"> </w:t>
            </w:r>
            <w:r w:rsidRPr="00916B3A">
              <w:rPr>
                <w:rFonts w:ascii="Times New Roman" w:hAnsi="Times New Roman" w:cs="Times New Roman"/>
                <w:color w:val="231F20"/>
                <w:sz w:val="24"/>
                <w:szCs w:val="24"/>
              </w:rPr>
              <w:t>±</w:t>
            </w:r>
            <w:r w:rsidRPr="00916B3A">
              <w:rPr>
                <w:rFonts w:ascii="Times New Roman" w:hAnsi="Times New Roman" w:cs="Times New Roman"/>
                <w:color w:val="231F20"/>
                <w:spacing w:val="-5"/>
                <w:sz w:val="24"/>
                <w:szCs w:val="24"/>
              </w:rPr>
              <w:t xml:space="preserve"> 2.6</w:t>
            </w:r>
          </w:p>
        </w:tc>
        <w:tc>
          <w:tcPr>
            <w:tcW w:w="1129" w:type="dxa"/>
            <w:tcBorders>
              <w:top w:val="single" w:sz="4" w:space="0" w:color="231F20"/>
            </w:tcBorders>
          </w:tcPr>
          <w:p w14:paraId="32E7ECD0" w14:textId="77777777" w:rsidR="00E475DC" w:rsidRPr="00916B3A" w:rsidRDefault="00E475DC" w:rsidP="00E475DC">
            <w:pPr>
              <w:pStyle w:val="TableParagraph"/>
              <w:spacing w:before="0"/>
              <w:ind w:right="60"/>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69.9%</w:t>
            </w:r>
          </w:p>
        </w:tc>
        <w:tc>
          <w:tcPr>
            <w:tcW w:w="2131" w:type="dxa"/>
            <w:tcBorders>
              <w:top w:val="single" w:sz="4" w:space="0" w:color="231F20"/>
            </w:tcBorders>
          </w:tcPr>
          <w:p w14:paraId="0674A42F" w14:textId="65972B8B" w:rsidR="00E475DC" w:rsidRPr="00594CDB" w:rsidRDefault="00E475DC" w:rsidP="002C05EE">
            <w:pPr>
              <w:pStyle w:val="TableParagraph"/>
              <w:spacing w:before="0"/>
              <w:ind w:left="79" w:right="143"/>
              <w:rPr>
                <w:rFonts w:ascii="Times New Roman" w:hAnsi="Times New Roman" w:cs="Times New Roman"/>
                <w:sz w:val="20"/>
                <w:szCs w:val="20"/>
              </w:rPr>
            </w:pPr>
            <w:r w:rsidRPr="00594CDB">
              <w:rPr>
                <w:rFonts w:ascii="Times New Roman" w:hAnsi="Times New Roman" w:cs="Times New Roman"/>
                <w:color w:val="231F20"/>
                <w:spacing w:val="-2"/>
                <w:sz w:val="20"/>
                <w:szCs w:val="20"/>
              </w:rPr>
              <w:t>Mao</w:t>
            </w:r>
            <w:r w:rsidRPr="00594CDB">
              <w:rPr>
                <w:rFonts w:ascii="Times New Roman" w:hAnsi="Times New Roman" w:cs="Times New Roman"/>
                <w:color w:val="231F20"/>
                <w:spacing w:val="-8"/>
                <w:sz w:val="20"/>
                <w:szCs w:val="20"/>
              </w:rPr>
              <w:t xml:space="preserve"> </w:t>
            </w:r>
            <w:r w:rsidRPr="00594CDB">
              <w:rPr>
                <w:rFonts w:ascii="Times New Roman" w:hAnsi="Times New Roman" w:cs="Times New Roman"/>
                <w:color w:val="231F20"/>
                <w:spacing w:val="-2"/>
                <w:sz w:val="20"/>
                <w:szCs w:val="20"/>
              </w:rPr>
              <w:t>et</w:t>
            </w:r>
            <w:r w:rsidRPr="00594CDB">
              <w:rPr>
                <w:rFonts w:ascii="Times New Roman" w:hAnsi="Times New Roman" w:cs="Times New Roman"/>
                <w:color w:val="231F20"/>
                <w:spacing w:val="-8"/>
                <w:sz w:val="20"/>
                <w:szCs w:val="20"/>
              </w:rPr>
              <w:t xml:space="preserve"> </w:t>
            </w:r>
            <w:r w:rsidRPr="00594CDB">
              <w:rPr>
                <w:rFonts w:ascii="Times New Roman" w:hAnsi="Times New Roman" w:cs="Times New Roman"/>
                <w:color w:val="231F20"/>
                <w:spacing w:val="-2"/>
                <w:sz w:val="20"/>
                <w:szCs w:val="20"/>
              </w:rPr>
              <w:t>al.,</w:t>
            </w:r>
            <w:r w:rsidRPr="00594CDB">
              <w:rPr>
                <w:rFonts w:ascii="Times New Roman" w:hAnsi="Times New Roman" w:cs="Times New Roman"/>
                <w:color w:val="231F20"/>
                <w:spacing w:val="-8"/>
                <w:sz w:val="20"/>
                <w:szCs w:val="20"/>
              </w:rPr>
              <w:t xml:space="preserve"> </w:t>
            </w:r>
            <w:r w:rsidRPr="00594CDB">
              <w:rPr>
                <w:rFonts w:ascii="Times New Roman" w:hAnsi="Times New Roman" w:cs="Times New Roman"/>
                <w:color w:val="231F20"/>
                <w:spacing w:val="-2"/>
                <w:sz w:val="20"/>
                <w:szCs w:val="20"/>
              </w:rPr>
              <w:fldChar w:fldCharType="begin" w:fldLock="1"/>
            </w:r>
            <w:r w:rsidR="008C6800" w:rsidRPr="00594CDB">
              <w:rPr>
                <w:rFonts w:ascii="Times New Roman" w:hAnsi="Times New Roman" w:cs="Times New Roman"/>
                <w:color w:val="231F20"/>
                <w:spacing w:val="-2"/>
                <w:sz w:val="20"/>
                <w:szCs w:val="20"/>
              </w:rPr>
              <w:instrText>ADDIN CSL_CITATION {"citationItems":[{"id":"ITEM-1","itemData":{"ISSN":"0020-7292","author":[{"dropping-particle":"","family":"Mao","given":"Xiaoyan","non-dropping-particle":"","parse-names":false,"suffix":""},{"dropping-particle":"","family":"Zhang","given":"Jie","non-dropping-particle":"","parse-names":false,"suffix":""},{"dropping-particle":"","family":"Cai","given":"Renfei","non-dropping-particle":"","parse-names":false,"suffix":""},{"dropping-particle":"","family":"Tao","given":"Yu","non-dropping-particle":"","parse-names":false,"suffix":""},{"dropping-particle":"","family":"Gao","given":"Hongyuan","non-dropping-particle":"","parse-names":false,"suffix":""},{"dropping-particle":"","family":"Kuang","given":"Yanping","non-dropping-particle":"","parse-names":false,"suffix":""},{"dropping-particle":"","family":"Zhang","given":"Shaozhen","non-dropping-particle":"","parse-names":false,"suffix":""}],"container-title":"International Journal of Gynecology &amp; Obstetrics","id":"ITEM-1","issue":"2","issued":{"date-parts":[["2020"]]},"page":"194-199","publisher":"Wiley Online Library","title":"Therapeutic role of granulocyte macrophage colony‐stimulating factor (GM‐CSF) in patients with persistent thin endometrium: A prospective and randomized study","type":"article-journal","volume":"150"},"uris":["http://www.mendeley.com/documents/?uuid=f43847f8-8d2d-470f-8eb3-fe5ae5dd5cca"]}],"mendeley":{"formattedCitation":"[119]","plainTextFormattedCitation":"[119]","previouslyFormattedCitation":"(119)"},"properties":{"noteIndex":0},"schema":"https://github.com/citation-style-language/schema/raw/master/csl-citation.json"}</w:instrText>
            </w:r>
            <w:r w:rsidRPr="00594CDB">
              <w:rPr>
                <w:rFonts w:ascii="Times New Roman" w:hAnsi="Times New Roman" w:cs="Times New Roman"/>
                <w:color w:val="231F20"/>
                <w:spacing w:val="-2"/>
                <w:sz w:val="20"/>
                <w:szCs w:val="20"/>
              </w:rPr>
              <w:fldChar w:fldCharType="separate"/>
            </w:r>
            <w:r w:rsidR="008C6800" w:rsidRPr="00594CDB">
              <w:rPr>
                <w:rFonts w:ascii="Times New Roman" w:hAnsi="Times New Roman" w:cs="Times New Roman"/>
                <w:noProof/>
                <w:color w:val="231F20"/>
                <w:spacing w:val="-2"/>
                <w:sz w:val="20"/>
                <w:szCs w:val="20"/>
              </w:rPr>
              <w:t>[119]</w:t>
            </w:r>
            <w:r w:rsidRPr="00594CDB">
              <w:rPr>
                <w:rFonts w:ascii="Times New Roman" w:hAnsi="Times New Roman" w:cs="Times New Roman"/>
                <w:color w:val="231F20"/>
                <w:spacing w:val="-2"/>
                <w:sz w:val="20"/>
                <w:szCs w:val="20"/>
              </w:rPr>
              <w:fldChar w:fldCharType="end"/>
            </w:r>
            <w:r w:rsidRPr="00594CDB">
              <w:rPr>
                <w:rFonts w:ascii="Times New Roman" w:hAnsi="Times New Roman" w:cs="Times New Roman"/>
                <w:color w:val="231F20"/>
                <w:spacing w:val="-2"/>
                <w:sz w:val="20"/>
                <w:szCs w:val="20"/>
              </w:rPr>
              <w:t>2020</w:t>
            </w:r>
            <w:r w:rsidRPr="00594CDB">
              <w:rPr>
                <w:rFonts w:ascii="Times New Roman" w:hAnsi="Times New Roman" w:cs="Times New Roman"/>
                <w:color w:val="231F20"/>
                <w:spacing w:val="40"/>
                <w:sz w:val="20"/>
                <w:szCs w:val="20"/>
              </w:rPr>
              <w:t xml:space="preserve"> </w:t>
            </w:r>
            <w:r w:rsidRPr="00594CDB">
              <w:rPr>
                <w:rFonts w:ascii="Times New Roman" w:hAnsi="Times New Roman" w:cs="Times New Roman"/>
                <w:color w:val="231F20"/>
                <w:sz w:val="20"/>
                <w:szCs w:val="20"/>
              </w:rPr>
              <w:t>(control group)</w:t>
            </w:r>
          </w:p>
        </w:tc>
      </w:tr>
      <w:tr w:rsidR="00E475DC" w:rsidRPr="00916B3A" w14:paraId="18F0390D" w14:textId="77777777" w:rsidTr="002C05EE">
        <w:trPr>
          <w:trHeight w:val="722"/>
        </w:trPr>
        <w:tc>
          <w:tcPr>
            <w:tcW w:w="850" w:type="dxa"/>
            <w:vMerge/>
            <w:tcBorders>
              <w:top w:val="single" w:sz="4" w:space="0" w:color="231F20"/>
            </w:tcBorders>
          </w:tcPr>
          <w:p w14:paraId="69DD2062" w14:textId="77777777" w:rsidR="00E475DC" w:rsidRPr="00916B3A" w:rsidRDefault="00E475DC" w:rsidP="00E475DC">
            <w:pPr>
              <w:jc w:val="center"/>
              <w:rPr>
                <w:rFonts w:ascii="Times New Roman" w:hAnsi="Times New Roman" w:cs="Times New Roman"/>
                <w:sz w:val="24"/>
                <w:szCs w:val="24"/>
              </w:rPr>
            </w:pPr>
          </w:p>
        </w:tc>
        <w:tc>
          <w:tcPr>
            <w:tcW w:w="988" w:type="dxa"/>
            <w:vMerge/>
            <w:tcBorders>
              <w:top w:val="single" w:sz="4" w:space="0" w:color="231F20"/>
            </w:tcBorders>
          </w:tcPr>
          <w:p w14:paraId="63304B88" w14:textId="77777777" w:rsidR="00E475DC" w:rsidRPr="00916B3A" w:rsidRDefault="00E475DC" w:rsidP="00E475DC">
            <w:pPr>
              <w:jc w:val="center"/>
              <w:rPr>
                <w:rFonts w:ascii="Times New Roman" w:hAnsi="Times New Roman" w:cs="Times New Roman"/>
                <w:sz w:val="24"/>
                <w:szCs w:val="24"/>
              </w:rPr>
            </w:pPr>
          </w:p>
        </w:tc>
        <w:tc>
          <w:tcPr>
            <w:tcW w:w="3123" w:type="dxa"/>
            <w:tcBorders>
              <w:top w:val="single" w:sz="4" w:space="0" w:color="231F20"/>
            </w:tcBorders>
          </w:tcPr>
          <w:p w14:paraId="4ECE8AE1" w14:textId="77777777" w:rsidR="00E475DC" w:rsidRPr="00916B3A" w:rsidRDefault="00E475DC" w:rsidP="00E475DC">
            <w:pPr>
              <w:pStyle w:val="TableParagraph"/>
              <w:spacing w:before="0"/>
              <w:ind w:left="79"/>
              <w:jc w:val="center"/>
              <w:rPr>
                <w:rFonts w:ascii="Times New Roman" w:hAnsi="Times New Roman" w:cs="Times New Roman"/>
                <w:sz w:val="24"/>
                <w:szCs w:val="24"/>
                <w:lang w:val="ru-RU"/>
              </w:rPr>
            </w:pPr>
            <w:r w:rsidRPr="00916B3A">
              <w:rPr>
                <w:rFonts w:ascii="Times New Roman" w:hAnsi="Times New Roman" w:cs="Times New Roman"/>
                <w:color w:val="231F20"/>
                <w:sz w:val="24"/>
                <w:szCs w:val="24"/>
                <w:lang w:val="ru-RU"/>
              </w:rPr>
              <w:t>Бесплодие, не связанное с эндометриальными изменениями при гистероскопии 100%</w:t>
            </w:r>
          </w:p>
        </w:tc>
        <w:tc>
          <w:tcPr>
            <w:tcW w:w="1276" w:type="dxa"/>
            <w:tcBorders>
              <w:top w:val="single" w:sz="4" w:space="0" w:color="231F20"/>
            </w:tcBorders>
          </w:tcPr>
          <w:p w14:paraId="64B2B7D9" w14:textId="77777777" w:rsidR="00E475DC" w:rsidRPr="00916B3A" w:rsidRDefault="00E475DC" w:rsidP="00E475DC">
            <w:pPr>
              <w:pStyle w:val="TableParagraph"/>
              <w:spacing w:before="0"/>
              <w:ind w:left="302"/>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7.9±4.6</w:t>
            </w:r>
          </w:p>
        </w:tc>
        <w:tc>
          <w:tcPr>
            <w:tcW w:w="1129" w:type="dxa"/>
            <w:tcBorders>
              <w:top w:val="single" w:sz="4" w:space="0" w:color="231F20"/>
            </w:tcBorders>
          </w:tcPr>
          <w:p w14:paraId="3743DF11" w14:textId="77777777" w:rsidR="00E475DC" w:rsidRPr="00916B3A" w:rsidRDefault="00E475DC" w:rsidP="00E475DC">
            <w:pPr>
              <w:pStyle w:val="TableParagraph"/>
              <w:spacing w:before="0"/>
              <w:jc w:val="center"/>
              <w:rPr>
                <w:rFonts w:ascii="Times New Roman" w:hAnsi="Times New Roman" w:cs="Times New Roman"/>
                <w:sz w:val="24"/>
                <w:szCs w:val="24"/>
              </w:rPr>
            </w:pPr>
          </w:p>
        </w:tc>
        <w:tc>
          <w:tcPr>
            <w:tcW w:w="2131" w:type="dxa"/>
            <w:tcBorders>
              <w:top w:val="single" w:sz="4" w:space="0" w:color="231F20"/>
            </w:tcBorders>
          </w:tcPr>
          <w:p w14:paraId="41D163D8" w14:textId="15F33D43" w:rsidR="00E475DC" w:rsidRPr="002C05EE" w:rsidRDefault="002C05EE" w:rsidP="00594CDB">
            <w:pPr>
              <w:pStyle w:val="TableParagraph"/>
              <w:spacing w:before="0"/>
              <w:ind w:right="434"/>
              <w:rPr>
                <w:rFonts w:ascii="Times New Roman" w:hAnsi="Times New Roman" w:cs="Times New Roman"/>
                <w:sz w:val="18"/>
                <w:szCs w:val="18"/>
              </w:rPr>
            </w:pPr>
            <w:r>
              <w:rPr>
                <w:rFonts w:ascii="Times New Roman" w:hAnsi="Times New Roman" w:cs="Times New Roman"/>
                <w:color w:val="231F20"/>
                <w:spacing w:val="-2"/>
                <w:sz w:val="18"/>
                <w:szCs w:val="18"/>
                <w:lang w:val="ru-RU"/>
              </w:rPr>
              <w:t xml:space="preserve"> </w:t>
            </w:r>
            <w:r w:rsidR="00E475DC" w:rsidRPr="002C05EE">
              <w:rPr>
                <w:rFonts w:ascii="Times New Roman" w:hAnsi="Times New Roman" w:cs="Times New Roman"/>
                <w:color w:val="231F20"/>
                <w:spacing w:val="-2"/>
                <w:sz w:val="18"/>
                <w:szCs w:val="18"/>
              </w:rPr>
              <w:t>Dogra</w:t>
            </w:r>
            <w:r w:rsidR="00E475DC" w:rsidRPr="002C05EE">
              <w:rPr>
                <w:rFonts w:ascii="Times New Roman" w:hAnsi="Times New Roman" w:cs="Times New Roman"/>
                <w:color w:val="231F20"/>
                <w:spacing w:val="-8"/>
                <w:sz w:val="18"/>
                <w:szCs w:val="18"/>
              </w:rPr>
              <w:t xml:space="preserve"> </w:t>
            </w:r>
            <w:r w:rsidR="00E475DC" w:rsidRPr="002C05EE">
              <w:rPr>
                <w:rFonts w:ascii="Times New Roman" w:hAnsi="Times New Roman" w:cs="Times New Roman"/>
                <w:color w:val="231F20"/>
                <w:spacing w:val="-2"/>
                <w:sz w:val="18"/>
                <w:szCs w:val="18"/>
              </w:rPr>
              <w:t>et</w:t>
            </w:r>
            <w:r w:rsidR="00594CDB" w:rsidRPr="002C05EE">
              <w:rPr>
                <w:rFonts w:ascii="Times New Roman" w:hAnsi="Times New Roman" w:cs="Times New Roman"/>
                <w:color w:val="231F20"/>
                <w:spacing w:val="-8"/>
                <w:sz w:val="18"/>
                <w:szCs w:val="18"/>
                <w:lang w:val="ru-RU"/>
              </w:rPr>
              <w:t xml:space="preserve"> </w:t>
            </w:r>
            <w:r w:rsidR="00E475DC" w:rsidRPr="002C05EE">
              <w:rPr>
                <w:rFonts w:ascii="Times New Roman" w:hAnsi="Times New Roman" w:cs="Times New Roman"/>
                <w:color w:val="231F20"/>
                <w:spacing w:val="-2"/>
                <w:sz w:val="18"/>
                <w:szCs w:val="18"/>
              </w:rPr>
              <w:t>al.,</w:t>
            </w:r>
            <w:r w:rsidR="00E475DC" w:rsidRPr="002C05EE">
              <w:rPr>
                <w:rFonts w:ascii="Times New Roman" w:hAnsi="Times New Roman" w:cs="Times New Roman"/>
                <w:sz w:val="18"/>
                <w:szCs w:val="18"/>
              </w:rPr>
              <w:fldChar w:fldCharType="begin" w:fldLock="1"/>
            </w:r>
            <w:r w:rsidR="008C6800" w:rsidRPr="002C05EE">
              <w:rPr>
                <w:rFonts w:ascii="Times New Roman" w:hAnsi="Times New Roman" w:cs="Times New Roman"/>
                <w:sz w:val="18"/>
                <w:szCs w:val="18"/>
              </w:rPr>
              <w:instrText>ADDIN CSL_CITATION {"citationItems":[{"id":"ITEM-1","itemData":{"author":[{"dropping-particle":"","family":"Dogra","given":"Yogita","non-dropping-particle":"","parse-names":false,"suffix":""},{"dropping-particle":"","family":"Singh","given":"Neeta","non-dropping-particle":"","parse-names":false,"suffix":""},{"dropping-particle":"","family":"Vanamail","given":"Perumal","non-dropping-particle":"","parse-names":false,"suffix":""}],"container-title":"JBRA Assisted Reproduction","id":"ITEM-1","issue":"1","issued":{"date-parts":[["2022"]]},"page":"13","publisher":"Brazilian Society of Assisted Reproduction","title":"Autologous platelet-rich plasma optimizes endometrial thickness and pregnancy outcomes in women with refractory thin endometrium of varied aetiology during fresh and frozen-thawed embryo transfer cycles","type":"article-journal","volume":"26"},"uris":["http://www.mendeley.com/documents/?uuid=9767fce3-7146-409a-83c3-b6dd14c80646"]}],"mendeley":{"formattedCitation":"[110]","plainTextFormattedCitation":"[110]","previouslyFormattedCitation":"(110)"},"properties":{"noteIndex":0},"schema":"https://github.com/citation-style-language/schema/raw/master/csl-citation.json"}</w:instrText>
            </w:r>
            <w:r w:rsidR="00E475DC" w:rsidRPr="002C05EE">
              <w:rPr>
                <w:rFonts w:ascii="Times New Roman" w:hAnsi="Times New Roman" w:cs="Times New Roman"/>
                <w:sz w:val="18"/>
                <w:szCs w:val="18"/>
              </w:rPr>
              <w:fldChar w:fldCharType="separate"/>
            </w:r>
            <w:r w:rsidR="008C6800" w:rsidRPr="002C05EE">
              <w:rPr>
                <w:rFonts w:ascii="Times New Roman" w:hAnsi="Times New Roman" w:cs="Times New Roman"/>
                <w:sz w:val="18"/>
                <w:szCs w:val="18"/>
              </w:rPr>
              <w:t>[110]</w:t>
            </w:r>
            <w:r w:rsidR="00E475DC" w:rsidRPr="002C05EE">
              <w:rPr>
                <w:rFonts w:ascii="Times New Roman" w:hAnsi="Times New Roman" w:cs="Times New Roman"/>
                <w:sz w:val="18"/>
                <w:szCs w:val="18"/>
              </w:rPr>
              <w:fldChar w:fldCharType="end"/>
            </w:r>
            <w:r w:rsidR="00E475DC" w:rsidRPr="002C05EE">
              <w:rPr>
                <w:rFonts w:ascii="Times New Roman" w:hAnsi="Times New Roman" w:cs="Times New Roman"/>
                <w:sz w:val="18"/>
                <w:szCs w:val="18"/>
              </w:rPr>
              <w:t>2022</w:t>
            </w:r>
          </w:p>
        </w:tc>
      </w:tr>
      <w:tr w:rsidR="00E475DC" w:rsidRPr="00916B3A" w14:paraId="0C0CC1E9" w14:textId="77777777" w:rsidTr="002C05EE">
        <w:trPr>
          <w:trHeight w:val="1382"/>
        </w:trPr>
        <w:tc>
          <w:tcPr>
            <w:tcW w:w="850" w:type="dxa"/>
            <w:vMerge/>
            <w:tcBorders>
              <w:top w:val="single" w:sz="4" w:space="0" w:color="231F20"/>
              <w:bottom w:val="nil"/>
            </w:tcBorders>
          </w:tcPr>
          <w:p w14:paraId="52C96A8F" w14:textId="77777777" w:rsidR="00E475DC" w:rsidRPr="00916B3A" w:rsidRDefault="00E475DC" w:rsidP="00E475DC">
            <w:pPr>
              <w:jc w:val="center"/>
              <w:rPr>
                <w:rFonts w:ascii="Times New Roman" w:hAnsi="Times New Roman" w:cs="Times New Roman"/>
                <w:sz w:val="24"/>
                <w:szCs w:val="24"/>
              </w:rPr>
            </w:pPr>
          </w:p>
        </w:tc>
        <w:tc>
          <w:tcPr>
            <w:tcW w:w="988" w:type="dxa"/>
            <w:vMerge/>
            <w:tcBorders>
              <w:top w:val="single" w:sz="4" w:space="0" w:color="231F20"/>
              <w:bottom w:val="nil"/>
            </w:tcBorders>
          </w:tcPr>
          <w:p w14:paraId="1409CAB1" w14:textId="77777777" w:rsidR="00E475DC" w:rsidRPr="00916B3A" w:rsidRDefault="00E475DC" w:rsidP="00E475DC">
            <w:pPr>
              <w:jc w:val="center"/>
              <w:rPr>
                <w:rFonts w:ascii="Times New Roman" w:hAnsi="Times New Roman" w:cs="Times New Roman"/>
                <w:sz w:val="24"/>
                <w:szCs w:val="24"/>
              </w:rPr>
            </w:pPr>
          </w:p>
        </w:tc>
        <w:tc>
          <w:tcPr>
            <w:tcW w:w="3123" w:type="dxa"/>
            <w:tcBorders>
              <w:top w:val="single" w:sz="4" w:space="0" w:color="231F20"/>
              <w:bottom w:val="nil"/>
            </w:tcBorders>
          </w:tcPr>
          <w:p w14:paraId="56B19A80" w14:textId="5BAD1F75" w:rsidR="00E475DC" w:rsidRPr="00916B3A" w:rsidRDefault="00E475DC" w:rsidP="00E475DC">
            <w:pPr>
              <w:pStyle w:val="TableParagraph"/>
              <w:spacing w:before="0"/>
              <w:ind w:left="79" w:right="206"/>
              <w:jc w:val="center"/>
              <w:rPr>
                <w:rFonts w:ascii="Times New Roman" w:hAnsi="Times New Roman" w:cs="Times New Roman"/>
                <w:color w:val="231F20"/>
                <w:spacing w:val="-2"/>
                <w:sz w:val="24"/>
                <w:szCs w:val="24"/>
                <w:lang w:val="ru-RU"/>
              </w:rPr>
            </w:pPr>
            <w:r w:rsidRPr="00916B3A">
              <w:rPr>
                <w:rFonts w:ascii="Times New Roman" w:hAnsi="Times New Roman" w:cs="Times New Roman"/>
                <w:color w:val="231F20"/>
                <w:spacing w:val="-2"/>
                <w:sz w:val="24"/>
                <w:szCs w:val="24"/>
                <w:lang w:val="ru-RU"/>
              </w:rPr>
              <w:t>Плохой овариальный резерв 51,35%</w:t>
            </w:r>
          </w:p>
          <w:p w14:paraId="76811529" w14:textId="77777777" w:rsidR="00E475DC" w:rsidRPr="00916B3A" w:rsidRDefault="00E475DC" w:rsidP="00E475DC">
            <w:pPr>
              <w:pStyle w:val="TableParagraph"/>
              <w:spacing w:before="0"/>
              <w:ind w:left="79" w:right="206"/>
              <w:jc w:val="center"/>
              <w:rPr>
                <w:rFonts w:ascii="Times New Roman" w:hAnsi="Times New Roman" w:cs="Times New Roman"/>
                <w:color w:val="231F20"/>
                <w:spacing w:val="-2"/>
                <w:sz w:val="24"/>
                <w:szCs w:val="24"/>
                <w:lang w:val="ru-RU"/>
              </w:rPr>
            </w:pPr>
            <w:r w:rsidRPr="00916B3A">
              <w:rPr>
                <w:rFonts w:ascii="Times New Roman" w:hAnsi="Times New Roman" w:cs="Times New Roman"/>
                <w:color w:val="231F20"/>
                <w:spacing w:val="-2"/>
                <w:sz w:val="24"/>
                <w:szCs w:val="24"/>
                <w:lang w:val="ru-RU"/>
              </w:rPr>
              <w:t>Повторные потери беременности 21,62% Преклонный репродуктивный возраст 29,73% Болезнь Ашермана 10,81%</w:t>
            </w:r>
          </w:p>
          <w:p w14:paraId="5115BEFA" w14:textId="77777777" w:rsidR="00E475DC" w:rsidRPr="00916B3A" w:rsidRDefault="00E475DC" w:rsidP="00E475DC">
            <w:pPr>
              <w:pStyle w:val="TableParagraph"/>
              <w:spacing w:before="0"/>
              <w:ind w:left="79" w:right="206"/>
              <w:jc w:val="center"/>
              <w:rPr>
                <w:rFonts w:ascii="Times New Roman" w:hAnsi="Times New Roman" w:cs="Times New Roman"/>
                <w:color w:val="231F20"/>
                <w:spacing w:val="-2"/>
                <w:sz w:val="24"/>
                <w:szCs w:val="24"/>
              </w:rPr>
            </w:pPr>
            <w:r w:rsidRPr="00916B3A">
              <w:rPr>
                <w:rFonts w:ascii="Times New Roman" w:hAnsi="Times New Roman" w:cs="Times New Roman"/>
                <w:color w:val="231F20"/>
                <w:spacing w:val="-2"/>
                <w:sz w:val="24"/>
                <w:szCs w:val="24"/>
              </w:rPr>
              <w:t>Фиброиды 10,81%</w:t>
            </w:r>
          </w:p>
          <w:p w14:paraId="4A4C6B0A" w14:textId="77777777" w:rsidR="00E475DC" w:rsidRPr="00916B3A" w:rsidRDefault="00E475DC" w:rsidP="00E475DC">
            <w:pPr>
              <w:pStyle w:val="TableParagraph"/>
              <w:spacing w:before="0"/>
              <w:ind w:left="79"/>
              <w:jc w:val="center"/>
              <w:rPr>
                <w:rFonts w:ascii="Times New Roman" w:hAnsi="Times New Roman" w:cs="Times New Roman"/>
                <w:sz w:val="24"/>
                <w:szCs w:val="24"/>
              </w:rPr>
            </w:pPr>
            <w:r w:rsidRPr="00916B3A">
              <w:rPr>
                <w:rFonts w:ascii="Times New Roman" w:hAnsi="Times New Roman" w:cs="Times New Roman"/>
                <w:color w:val="231F20"/>
                <w:spacing w:val="-2"/>
                <w:sz w:val="24"/>
                <w:szCs w:val="24"/>
              </w:rPr>
              <w:t>Другие диагнозы 27,03%</w:t>
            </w:r>
          </w:p>
        </w:tc>
        <w:tc>
          <w:tcPr>
            <w:tcW w:w="1276" w:type="dxa"/>
            <w:tcBorders>
              <w:top w:val="single" w:sz="4" w:space="0" w:color="231F20"/>
              <w:bottom w:val="nil"/>
            </w:tcBorders>
          </w:tcPr>
          <w:p w14:paraId="70B33FE3" w14:textId="77777777" w:rsidR="00E475DC" w:rsidRPr="00916B3A" w:rsidRDefault="00E475DC" w:rsidP="00E475DC">
            <w:pPr>
              <w:pStyle w:val="TableParagraph"/>
              <w:spacing w:before="0"/>
              <w:ind w:left="302"/>
              <w:jc w:val="center"/>
              <w:rPr>
                <w:rFonts w:ascii="Times New Roman" w:hAnsi="Times New Roman" w:cs="Times New Roman"/>
                <w:sz w:val="24"/>
                <w:szCs w:val="24"/>
              </w:rPr>
            </w:pPr>
            <w:r w:rsidRPr="00916B3A">
              <w:rPr>
                <w:rFonts w:ascii="Times New Roman" w:hAnsi="Times New Roman" w:cs="Times New Roman"/>
                <w:color w:val="231F20"/>
                <w:sz w:val="24"/>
                <w:szCs w:val="24"/>
              </w:rPr>
              <w:t>2.0</w:t>
            </w:r>
            <w:r w:rsidRPr="00916B3A">
              <w:rPr>
                <w:rFonts w:ascii="Times New Roman" w:hAnsi="Times New Roman" w:cs="Times New Roman"/>
                <w:color w:val="231F20"/>
                <w:spacing w:val="-5"/>
                <w:sz w:val="24"/>
                <w:szCs w:val="24"/>
              </w:rPr>
              <w:t xml:space="preserve"> </w:t>
            </w:r>
            <w:r w:rsidRPr="00916B3A">
              <w:rPr>
                <w:rFonts w:ascii="Times New Roman" w:hAnsi="Times New Roman" w:cs="Times New Roman"/>
                <w:color w:val="231F20"/>
                <w:sz w:val="24"/>
                <w:szCs w:val="24"/>
              </w:rPr>
              <w:t>±</w:t>
            </w:r>
            <w:r w:rsidRPr="00916B3A">
              <w:rPr>
                <w:rFonts w:ascii="Times New Roman" w:hAnsi="Times New Roman" w:cs="Times New Roman"/>
                <w:color w:val="231F20"/>
                <w:spacing w:val="-5"/>
                <w:sz w:val="24"/>
                <w:szCs w:val="24"/>
              </w:rPr>
              <w:t xml:space="preserve"> 2.0</w:t>
            </w:r>
          </w:p>
        </w:tc>
        <w:tc>
          <w:tcPr>
            <w:tcW w:w="1129" w:type="dxa"/>
            <w:tcBorders>
              <w:top w:val="single" w:sz="4" w:space="0" w:color="231F20"/>
              <w:bottom w:val="nil"/>
            </w:tcBorders>
          </w:tcPr>
          <w:p w14:paraId="27A6DED4" w14:textId="77777777" w:rsidR="00E475DC" w:rsidRPr="00916B3A" w:rsidRDefault="00E475DC" w:rsidP="00E475DC">
            <w:pPr>
              <w:pStyle w:val="TableParagraph"/>
              <w:spacing w:before="0"/>
              <w:jc w:val="center"/>
              <w:rPr>
                <w:rFonts w:ascii="Times New Roman" w:hAnsi="Times New Roman" w:cs="Times New Roman"/>
                <w:sz w:val="24"/>
                <w:szCs w:val="24"/>
              </w:rPr>
            </w:pPr>
          </w:p>
        </w:tc>
        <w:tc>
          <w:tcPr>
            <w:tcW w:w="2131" w:type="dxa"/>
            <w:tcBorders>
              <w:top w:val="single" w:sz="4" w:space="0" w:color="231F20"/>
              <w:bottom w:val="nil"/>
            </w:tcBorders>
          </w:tcPr>
          <w:p w14:paraId="47BF2C21" w14:textId="3570178D" w:rsidR="00E475DC" w:rsidRPr="002C05EE" w:rsidRDefault="002C05EE" w:rsidP="002C05EE">
            <w:pPr>
              <w:pStyle w:val="TableParagraph"/>
              <w:spacing w:before="0"/>
              <w:ind w:right="380"/>
              <w:rPr>
                <w:rFonts w:ascii="Times New Roman" w:hAnsi="Times New Roman" w:cs="Times New Roman"/>
                <w:sz w:val="18"/>
                <w:szCs w:val="18"/>
              </w:rPr>
            </w:pPr>
            <w:r>
              <w:rPr>
                <w:rFonts w:ascii="Times New Roman" w:hAnsi="Times New Roman" w:cs="Times New Roman"/>
                <w:color w:val="231F20"/>
                <w:spacing w:val="-4"/>
                <w:sz w:val="18"/>
                <w:szCs w:val="18"/>
                <w:lang w:val="ru-RU"/>
              </w:rPr>
              <w:t xml:space="preserve"> </w:t>
            </w:r>
            <w:r w:rsidR="00E475DC" w:rsidRPr="002C05EE">
              <w:rPr>
                <w:rFonts w:ascii="Times New Roman" w:hAnsi="Times New Roman" w:cs="Times New Roman"/>
                <w:color w:val="231F20"/>
                <w:spacing w:val="-4"/>
                <w:sz w:val="18"/>
                <w:szCs w:val="18"/>
              </w:rPr>
              <w:t>Russell</w:t>
            </w:r>
            <w:r w:rsidR="00E475DC" w:rsidRPr="002C05EE">
              <w:rPr>
                <w:rFonts w:ascii="Times New Roman" w:hAnsi="Times New Roman" w:cs="Times New Roman"/>
                <w:color w:val="231F20"/>
                <w:spacing w:val="-6"/>
                <w:sz w:val="18"/>
                <w:szCs w:val="18"/>
              </w:rPr>
              <w:t xml:space="preserve"> </w:t>
            </w:r>
            <w:r w:rsidR="00E475DC" w:rsidRPr="002C05EE">
              <w:rPr>
                <w:rFonts w:ascii="Times New Roman" w:hAnsi="Times New Roman" w:cs="Times New Roman"/>
                <w:color w:val="231F20"/>
                <w:spacing w:val="-4"/>
                <w:sz w:val="18"/>
                <w:szCs w:val="18"/>
              </w:rPr>
              <w:t>et</w:t>
            </w:r>
            <w:r w:rsidR="00E475DC" w:rsidRPr="002C05EE">
              <w:rPr>
                <w:rFonts w:ascii="Times New Roman" w:hAnsi="Times New Roman" w:cs="Times New Roman"/>
                <w:color w:val="231F20"/>
                <w:spacing w:val="-6"/>
                <w:sz w:val="18"/>
                <w:szCs w:val="18"/>
              </w:rPr>
              <w:t xml:space="preserve"> </w:t>
            </w:r>
            <w:r w:rsidR="00E475DC" w:rsidRPr="002C05EE">
              <w:rPr>
                <w:rFonts w:ascii="Times New Roman" w:hAnsi="Times New Roman" w:cs="Times New Roman"/>
                <w:color w:val="231F20"/>
                <w:spacing w:val="-4"/>
                <w:sz w:val="18"/>
                <w:szCs w:val="18"/>
              </w:rPr>
              <w:t>al.,</w:t>
            </w:r>
            <w:r w:rsidR="00E475DC" w:rsidRPr="002C05EE">
              <w:rPr>
                <w:rFonts w:ascii="Times New Roman" w:hAnsi="Times New Roman" w:cs="Times New Roman"/>
                <w:color w:val="231F20"/>
                <w:spacing w:val="-6"/>
                <w:sz w:val="18"/>
                <w:szCs w:val="18"/>
              </w:rPr>
              <w:t xml:space="preserve"> </w:t>
            </w:r>
            <w:r w:rsidR="00E475DC" w:rsidRPr="002C05EE">
              <w:rPr>
                <w:rFonts w:ascii="Times New Roman" w:hAnsi="Times New Roman" w:cs="Times New Roman"/>
                <w:color w:val="231F20"/>
                <w:spacing w:val="-4"/>
                <w:sz w:val="18"/>
                <w:szCs w:val="18"/>
              </w:rPr>
              <w:fldChar w:fldCharType="begin" w:fldLock="1"/>
            </w:r>
            <w:r w:rsidR="008C6800" w:rsidRPr="002C05EE">
              <w:rPr>
                <w:rFonts w:ascii="Times New Roman" w:hAnsi="Times New Roman" w:cs="Times New Roman"/>
                <w:color w:val="231F20"/>
                <w:spacing w:val="-4"/>
                <w:sz w:val="18"/>
                <w:szCs w:val="18"/>
              </w:rPr>
              <w:instrText>ADDIN CSL_CITATION {"citationItems":[{"id":"ITEM-1","itemData":{"DOI":"10.1007/s10815-022-02505-0","ISBN":"0123456789","ISSN":"15737330","PMID":"35508692","abstract":"Purpose: The aim of this study was to evaluate the effects of intrauterine platelet-rich plasma (PRP) infusion on endometrial thickness and pregnancy outcomes in a population of patients with either recurrent implantation failure (RIF), thin endometrium (TE), or both (RIF + TE) Methods: This retrospective study included patients attending the CReATe Fertility Centre between October 2018 and July 2021 who received intrauterine PRP infusion to prepare the endometrium for frozen embryo transfer. PRP was prepared from 21 cc of whole blood using the 2-step centrifugation method to yield 0.5–0.75 cc of concentrated platelets. Endometrial thickness was measured before infusion and within 72 h after infusion. All embryos transferred were tested for genetic abnormalities using next-generation sequencing. Results: A total of 85 patients, 133 cycles, and 211 infusions were included. The majority of patients (56.5%) were diagnosed with RIF, some with TE (27.0%), and the remainder with both RIF and TE (16.5%). The majority of patients received one PRP infusion per cycle (55%). The endometrial thickness significantly increased across all diagnoses with a significant increase of 1.0 mm (0.5–1.7), which was also significantly greater than in previous cycles. The clinical pregnancy rate per embryo transfer after intrauterine PRP infusion was significantly greater compared to previous cycles (37% vs 20%, odds ratio 2.2) as was the live birth rate (19% vs 2%, odds ratio 11.6). Conclusion: Our study suggests that PRP should be considered a noninvasive front-line therapy for improving endometrial thickness and implantation in patients with RIF, a TE, or both.","author":[{"dropping-particle":"","family":"Russell","given":"Stewart J.","non-dropping-particle":"","parse-names":false,"suffix":""},{"dropping-particle":"","family":"Kwok","given":"Yat Sze Sheila","non-dropping-particle":"","parse-names":false,"suffix":""},{"dropping-particle":"","family":"Nguyen","given":"Tina Tu Thu Ngoc","non-dropping-particle":"","parse-names":false,"suffix":""},{"dropping-particle":"","family":"Librach","given":"Clifford","non-dropping-particle":"","parse-names":false,"suffix":""}],"container-title":"Journal of Assisted Reproduction and Genetics","id":"ITEM-1","issue":"6","issued":{"date-parts":[["2022"]]},"page":"1305-1312","publisher":"Springer US","title":"Autologous platelet-rich plasma improves the endometrial thickness and live birth rate in patients with recurrent implantation failure and thin endometrium","type":"article-journal","volume":"39"},"uris":["http://www.mendeley.com/documents/?uuid=2bd5018b-8a1c-4ee8-8b01-26a4aad9bd7f"]}],"mendeley":{"formattedCitation":"[123]","plainTextFormattedCitation":"[123]","previouslyFormattedCitation":"(123)"},"properties":{"noteIndex":0},"schema":"https://github.com/citation-style-language/schema/raw/master/csl-citation.json"}</w:instrText>
            </w:r>
            <w:r w:rsidR="00E475DC" w:rsidRPr="002C05EE">
              <w:rPr>
                <w:rFonts w:ascii="Times New Roman" w:hAnsi="Times New Roman" w:cs="Times New Roman"/>
                <w:color w:val="231F20"/>
                <w:spacing w:val="-4"/>
                <w:sz w:val="18"/>
                <w:szCs w:val="18"/>
              </w:rPr>
              <w:fldChar w:fldCharType="separate"/>
            </w:r>
            <w:r w:rsidR="008C6800" w:rsidRPr="002C05EE">
              <w:rPr>
                <w:rFonts w:ascii="Times New Roman" w:hAnsi="Times New Roman" w:cs="Times New Roman"/>
                <w:noProof/>
                <w:color w:val="231F20"/>
                <w:spacing w:val="-4"/>
                <w:sz w:val="18"/>
                <w:szCs w:val="18"/>
              </w:rPr>
              <w:t>[123]</w:t>
            </w:r>
            <w:r w:rsidR="00E475DC" w:rsidRPr="002C05EE">
              <w:rPr>
                <w:rFonts w:ascii="Times New Roman" w:hAnsi="Times New Roman" w:cs="Times New Roman"/>
                <w:color w:val="231F20"/>
                <w:spacing w:val="-4"/>
                <w:sz w:val="18"/>
                <w:szCs w:val="18"/>
              </w:rPr>
              <w:fldChar w:fldCharType="end"/>
            </w:r>
            <w:r w:rsidR="00E475DC" w:rsidRPr="002C05EE">
              <w:rPr>
                <w:rFonts w:ascii="Times New Roman" w:hAnsi="Times New Roman" w:cs="Times New Roman"/>
                <w:color w:val="231F20"/>
                <w:spacing w:val="-4"/>
                <w:sz w:val="18"/>
                <w:szCs w:val="18"/>
              </w:rPr>
              <w:t>2022</w:t>
            </w:r>
          </w:p>
        </w:tc>
      </w:tr>
    </w:tbl>
    <w:p w14:paraId="1D91644A" w14:textId="55D8BCA8" w:rsidR="00E475DC" w:rsidRDefault="00E475DC"/>
    <w:p w14:paraId="76CA62C1" w14:textId="4D3B6B44" w:rsidR="00E475DC" w:rsidRDefault="00E475DC"/>
    <w:p w14:paraId="270EC209" w14:textId="69D2F9B6" w:rsidR="00E475DC" w:rsidRDefault="00E475DC" w:rsidP="00E475DC">
      <w:pPr>
        <w:spacing w:after="0" w:line="240" w:lineRule="auto"/>
        <w:rPr>
          <w:rFonts w:ascii="Times New Roman" w:hAnsi="Times New Roman" w:cs="Times New Roman"/>
          <w:sz w:val="28"/>
          <w:szCs w:val="28"/>
        </w:rPr>
      </w:pPr>
      <w:r w:rsidRPr="001A5AC8">
        <w:rPr>
          <w:rFonts w:ascii="Times New Roman" w:hAnsi="Times New Roman" w:cs="Times New Roman"/>
          <w:sz w:val="28"/>
          <w:szCs w:val="28"/>
        </w:rPr>
        <w:t>Продолжение таблицы 4</w:t>
      </w:r>
    </w:p>
    <w:p w14:paraId="76F3BAA2" w14:textId="77777777" w:rsidR="00E475DC" w:rsidRPr="00E475DC" w:rsidRDefault="00E475DC" w:rsidP="00E475DC">
      <w:pPr>
        <w:spacing w:after="0" w:line="240" w:lineRule="auto"/>
        <w:rPr>
          <w:rFonts w:ascii="Times New Roman" w:hAnsi="Times New Roman" w:cs="Times New Roman"/>
          <w:sz w:val="28"/>
          <w:szCs w:val="28"/>
        </w:rPr>
      </w:pPr>
    </w:p>
    <w:tbl>
      <w:tblPr>
        <w:tblStyle w:val="TableNormal"/>
        <w:tblpPr w:leftFromText="180" w:rightFromText="180" w:vertAnchor="text" w:horzAnchor="page" w:tblpX="1693" w:tblpY="23"/>
        <w:tblW w:w="94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50"/>
        <w:gridCol w:w="988"/>
        <w:gridCol w:w="3123"/>
        <w:gridCol w:w="1276"/>
        <w:gridCol w:w="1276"/>
        <w:gridCol w:w="1980"/>
      </w:tblGrid>
      <w:tr w:rsidR="00E475DC" w:rsidRPr="00916B3A" w14:paraId="53C3E147" w14:textId="77777777" w:rsidTr="00E475DC">
        <w:trPr>
          <w:trHeight w:val="279"/>
        </w:trPr>
        <w:tc>
          <w:tcPr>
            <w:tcW w:w="850" w:type="dxa"/>
            <w:tcBorders>
              <w:top w:val="single" w:sz="4" w:space="0" w:color="auto"/>
            </w:tcBorders>
          </w:tcPr>
          <w:p w14:paraId="083A8A75" w14:textId="77777777" w:rsidR="00E475DC" w:rsidRPr="00E475DC" w:rsidRDefault="00E475DC" w:rsidP="00E475DC">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88" w:type="dxa"/>
          </w:tcPr>
          <w:p w14:paraId="48DE6878" w14:textId="3046A8F9" w:rsidR="00E475DC" w:rsidRPr="00E475DC" w:rsidRDefault="00E475DC" w:rsidP="00E475DC">
            <w:pPr>
              <w:pStyle w:val="TableParagraph"/>
              <w:spacing w:before="0"/>
              <w:ind w:left="79"/>
              <w:jc w:val="center"/>
              <w:rPr>
                <w:rFonts w:ascii="Times New Roman" w:hAnsi="Times New Roman" w:cs="Times New Roman"/>
                <w:color w:val="231F20"/>
                <w:spacing w:val="2"/>
                <w:sz w:val="24"/>
                <w:szCs w:val="24"/>
                <w:lang w:val="ru-RU"/>
              </w:rPr>
            </w:pPr>
            <w:r>
              <w:rPr>
                <w:rFonts w:ascii="Times New Roman" w:hAnsi="Times New Roman" w:cs="Times New Roman"/>
                <w:color w:val="231F20"/>
                <w:spacing w:val="2"/>
                <w:sz w:val="24"/>
                <w:szCs w:val="24"/>
                <w:lang w:val="ru-RU"/>
              </w:rPr>
              <w:t>2</w:t>
            </w:r>
          </w:p>
        </w:tc>
        <w:tc>
          <w:tcPr>
            <w:tcW w:w="3123" w:type="dxa"/>
          </w:tcPr>
          <w:p w14:paraId="175AA5C1" w14:textId="21CD26C2" w:rsidR="00E475DC" w:rsidRPr="00916B3A" w:rsidRDefault="00E475DC" w:rsidP="00E475DC">
            <w:pPr>
              <w:pStyle w:val="TableParagraph"/>
              <w:spacing w:before="0"/>
              <w:ind w:left="79"/>
              <w:jc w:val="center"/>
              <w:rPr>
                <w:rFonts w:ascii="Times New Roman" w:hAnsi="Times New Roman" w:cs="Times New Roman"/>
                <w:color w:val="231F20"/>
                <w:w w:val="90"/>
                <w:sz w:val="24"/>
                <w:szCs w:val="24"/>
                <w:lang w:val="ru-RU"/>
              </w:rPr>
            </w:pPr>
            <w:r>
              <w:rPr>
                <w:rFonts w:ascii="Times New Roman" w:hAnsi="Times New Roman" w:cs="Times New Roman"/>
                <w:color w:val="231F20"/>
                <w:w w:val="90"/>
                <w:sz w:val="24"/>
                <w:szCs w:val="24"/>
                <w:lang w:val="ru-RU"/>
              </w:rPr>
              <w:t>3</w:t>
            </w:r>
          </w:p>
        </w:tc>
        <w:tc>
          <w:tcPr>
            <w:tcW w:w="1276" w:type="dxa"/>
          </w:tcPr>
          <w:p w14:paraId="0B958EA5" w14:textId="5654B332" w:rsidR="00E475DC" w:rsidRPr="00E475DC" w:rsidRDefault="00E475DC" w:rsidP="00E475DC">
            <w:pPr>
              <w:pStyle w:val="TableParagraph"/>
              <w:spacing w:before="0"/>
              <w:ind w:left="302"/>
              <w:jc w:val="center"/>
              <w:rPr>
                <w:rFonts w:ascii="Times New Roman" w:hAnsi="Times New Roman" w:cs="Times New Roman"/>
                <w:color w:val="231F20"/>
                <w:spacing w:val="-2"/>
                <w:sz w:val="24"/>
                <w:szCs w:val="24"/>
                <w:lang w:val="ru-RU"/>
              </w:rPr>
            </w:pPr>
            <w:r>
              <w:rPr>
                <w:rFonts w:ascii="Times New Roman" w:hAnsi="Times New Roman" w:cs="Times New Roman"/>
                <w:color w:val="231F20"/>
                <w:spacing w:val="-2"/>
                <w:sz w:val="24"/>
                <w:szCs w:val="24"/>
                <w:lang w:val="ru-RU"/>
              </w:rPr>
              <w:t>4</w:t>
            </w:r>
          </w:p>
        </w:tc>
        <w:tc>
          <w:tcPr>
            <w:tcW w:w="1276" w:type="dxa"/>
          </w:tcPr>
          <w:p w14:paraId="038E05E5" w14:textId="0A6B7363" w:rsidR="00E475DC" w:rsidRPr="00E475DC" w:rsidRDefault="00E475DC" w:rsidP="00E475DC">
            <w:pPr>
              <w:pStyle w:val="TableParagraph"/>
              <w:spacing w:before="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980" w:type="dxa"/>
          </w:tcPr>
          <w:p w14:paraId="7A84CD46" w14:textId="573657DB" w:rsidR="00E475DC" w:rsidRPr="00E475DC" w:rsidRDefault="00E475DC" w:rsidP="00E475DC">
            <w:pPr>
              <w:pStyle w:val="TableParagraph"/>
              <w:spacing w:before="0"/>
              <w:ind w:left="78"/>
              <w:jc w:val="center"/>
              <w:rPr>
                <w:rFonts w:ascii="Times New Roman" w:hAnsi="Times New Roman" w:cs="Times New Roman"/>
                <w:color w:val="231F20"/>
                <w:sz w:val="24"/>
                <w:szCs w:val="24"/>
                <w:lang w:val="ru-RU"/>
              </w:rPr>
            </w:pPr>
            <w:r>
              <w:rPr>
                <w:rFonts w:ascii="Times New Roman" w:hAnsi="Times New Roman" w:cs="Times New Roman"/>
                <w:color w:val="231F20"/>
                <w:sz w:val="24"/>
                <w:szCs w:val="24"/>
                <w:lang w:val="ru-RU"/>
              </w:rPr>
              <w:t>6</w:t>
            </w:r>
          </w:p>
        </w:tc>
      </w:tr>
      <w:tr w:rsidR="00E475DC" w:rsidRPr="00916B3A" w14:paraId="2B70C05F" w14:textId="77777777" w:rsidTr="00E475DC">
        <w:trPr>
          <w:trHeight w:val="2403"/>
        </w:trPr>
        <w:tc>
          <w:tcPr>
            <w:tcW w:w="850" w:type="dxa"/>
            <w:tcBorders>
              <w:top w:val="single" w:sz="4" w:space="0" w:color="auto"/>
            </w:tcBorders>
          </w:tcPr>
          <w:p w14:paraId="7EF99877" w14:textId="77777777" w:rsidR="00E475DC" w:rsidRDefault="00E475DC" w:rsidP="00E475DC">
            <w:pPr>
              <w:jc w:val="center"/>
              <w:rPr>
                <w:rFonts w:ascii="Times New Roman" w:hAnsi="Times New Roman" w:cs="Times New Roman"/>
                <w:sz w:val="24"/>
                <w:szCs w:val="24"/>
              </w:rPr>
            </w:pPr>
          </w:p>
        </w:tc>
        <w:tc>
          <w:tcPr>
            <w:tcW w:w="988" w:type="dxa"/>
          </w:tcPr>
          <w:p w14:paraId="485B06D7" w14:textId="10E5F61A" w:rsidR="00E475DC" w:rsidRDefault="00E475DC" w:rsidP="00E475DC">
            <w:pPr>
              <w:pStyle w:val="TableParagraph"/>
              <w:spacing w:before="0"/>
              <w:ind w:left="79"/>
              <w:jc w:val="center"/>
              <w:rPr>
                <w:rFonts w:ascii="Times New Roman" w:hAnsi="Times New Roman" w:cs="Times New Roman"/>
                <w:color w:val="231F20"/>
                <w:spacing w:val="2"/>
                <w:sz w:val="24"/>
                <w:szCs w:val="24"/>
                <w:lang w:val="ru-RU"/>
              </w:rPr>
            </w:pPr>
            <w:r w:rsidRPr="00916B3A">
              <w:rPr>
                <w:rFonts w:ascii="Times New Roman" w:hAnsi="Times New Roman" w:cs="Times New Roman"/>
                <w:color w:val="231F20"/>
                <w:spacing w:val="2"/>
                <w:sz w:val="24"/>
                <w:szCs w:val="24"/>
              </w:rPr>
              <w:t>CPR</w:t>
            </w:r>
            <w:r w:rsidRPr="00916B3A">
              <w:rPr>
                <w:rFonts w:ascii="Times New Roman" w:hAnsi="Times New Roman" w:cs="Times New Roman"/>
                <w:color w:val="231F20"/>
                <w:spacing w:val="50"/>
                <w:sz w:val="24"/>
                <w:szCs w:val="24"/>
              </w:rPr>
              <w:t xml:space="preserve"> </w:t>
            </w:r>
            <w:r w:rsidRPr="00916B3A">
              <w:rPr>
                <w:rFonts w:ascii="Times New Roman" w:hAnsi="Times New Roman" w:cs="Times New Roman"/>
                <w:color w:val="231F20"/>
                <w:spacing w:val="-4"/>
                <w:sz w:val="24"/>
                <w:szCs w:val="24"/>
              </w:rPr>
              <w:t>&gt;30%</w:t>
            </w:r>
          </w:p>
        </w:tc>
        <w:tc>
          <w:tcPr>
            <w:tcW w:w="3123" w:type="dxa"/>
          </w:tcPr>
          <w:p w14:paraId="611F04B5" w14:textId="77777777" w:rsidR="00E475DC" w:rsidRPr="00E475DC"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E475DC">
              <w:rPr>
                <w:rFonts w:ascii="Times New Roman" w:hAnsi="Times New Roman" w:cs="Times New Roman"/>
                <w:color w:val="231F20"/>
                <w:spacing w:val="-6"/>
                <w:sz w:val="24"/>
                <w:szCs w:val="24"/>
                <w:lang w:val="ru-RU"/>
              </w:rPr>
              <w:t>Тазовый/трубный фактор 78,65%</w:t>
            </w:r>
          </w:p>
          <w:p w14:paraId="7E04759B" w14:textId="77777777" w:rsidR="00E475DC" w:rsidRPr="00E475DC"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E475DC">
              <w:rPr>
                <w:rFonts w:ascii="Times New Roman" w:hAnsi="Times New Roman" w:cs="Times New Roman"/>
                <w:color w:val="231F20"/>
                <w:spacing w:val="-6"/>
                <w:sz w:val="24"/>
                <w:szCs w:val="24"/>
                <w:lang w:val="ru-RU"/>
              </w:rPr>
              <w:t>Эндометриоз 9,74%</w:t>
            </w:r>
          </w:p>
          <w:p w14:paraId="0C20C40E" w14:textId="77777777" w:rsidR="00E475DC" w:rsidRPr="00E475DC"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E475DC">
              <w:rPr>
                <w:rFonts w:ascii="Times New Roman" w:hAnsi="Times New Roman" w:cs="Times New Roman"/>
                <w:color w:val="231F20"/>
                <w:spacing w:val="-6"/>
                <w:sz w:val="24"/>
                <w:szCs w:val="24"/>
                <w:lang w:val="ru-RU"/>
              </w:rPr>
              <w:t>Мужской фактор 4,42%</w:t>
            </w:r>
          </w:p>
          <w:p w14:paraId="600E1398" w14:textId="77777777" w:rsidR="00E475DC" w:rsidRPr="00E475DC"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E475DC">
              <w:rPr>
                <w:rFonts w:ascii="Times New Roman" w:hAnsi="Times New Roman" w:cs="Times New Roman"/>
                <w:color w:val="231F20"/>
                <w:spacing w:val="-6"/>
                <w:sz w:val="24"/>
                <w:szCs w:val="24"/>
                <w:lang w:val="ru-RU"/>
              </w:rPr>
              <w:t>СПКЯ 24,78%</w:t>
            </w:r>
          </w:p>
          <w:p w14:paraId="17128523" w14:textId="77777777" w:rsidR="00E475DC" w:rsidRPr="00E475DC" w:rsidRDefault="00E475DC" w:rsidP="00E475DC">
            <w:pPr>
              <w:pStyle w:val="TableParagraph"/>
              <w:spacing w:before="0"/>
              <w:ind w:left="79"/>
              <w:jc w:val="center"/>
              <w:rPr>
                <w:rFonts w:ascii="Times New Roman" w:hAnsi="Times New Roman" w:cs="Times New Roman"/>
                <w:color w:val="231F20"/>
                <w:spacing w:val="-6"/>
                <w:sz w:val="24"/>
                <w:szCs w:val="24"/>
                <w:lang w:val="ru-RU"/>
              </w:rPr>
            </w:pPr>
            <w:r w:rsidRPr="00E475DC">
              <w:rPr>
                <w:rFonts w:ascii="Times New Roman" w:hAnsi="Times New Roman" w:cs="Times New Roman"/>
                <w:color w:val="231F20"/>
                <w:spacing w:val="-6"/>
                <w:sz w:val="24"/>
                <w:szCs w:val="24"/>
                <w:lang w:val="ru-RU"/>
              </w:rPr>
              <w:t>Необъяснимый 1,32%</w:t>
            </w:r>
          </w:p>
          <w:p w14:paraId="67223873" w14:textId="3C8A5E2A" w:rsidR="00E475DC" w:rsidRDefault="00E475DC" w:rsidP="00E475DC">
            <w:pPr>
              <w:pStyle w:val="TableParagraph"/>
              <w:spacing w:before="0"/>
              <w:ind w:left="79"/>
              <w:jc w:val="center"/>
              <w:rPr>
                <w:rFonts w:ascii="Times New Roman" w:hAnsi="Times New Roman" w:cs="Times New Roman"/>
                <w:color w:val="231F20"/>
                <w:w w:val="90"/>
                <w:sz w:val="24"/>
                <w:szCs w:val="24"/>
                <w:lang w:val="ru-RU"/>
              </w:rPr>
            </w:pPr>
            <w:r w:rsidRPr="00E475DC">
              <w:rPr>
                <w:rFonts w:ascii="Times New Roman" w:hAnsi="Times New Roman" w:cs="Times New Roman"/>
                <w:color w:val="231F20"/>
                <w:spacing w:val="-6"/>
                <w:sz w:val="24"/>
                <w:szCs w:val="24"/>
                <w:lang w:val="ru-RU"/>
              </w:rPr>
              <w:t>Внутриматочная спайка15,04% Кюретаж матки 62,39%</w:t>
            </w:r>
          </w:p>
        </w:tc>
        <w:tc>
          <w:tcPr>
            <w:tcW w:w="1276" w:type="dxa"/>
          </w:tcPr>
          <w:p w14:paraId="26DC8585" w14:textId="234B51EB" w:rsidR="00E475DC" w:rsidRDefault="00E475DC" w:rsidP="00E475DC">
            <w:pPr>
              <w:pStyle w:val="TableParagraph"/>
              <w:spacing w:before="0"/>
              <w:ind w:left="302"/>
              <w:jc w:val="center"/>
              <w:rPr>
                <w:rFonts w:ascii="Times New Roman" w:hAnsi="Times New Roman" w:cs="Times New Roman"/>
                <w:color w:val="231F20"/>
                <w:spacing w:val="-2"/>
                <w:sz w:val="24"/>
                <w:szCs w:val="24"/>
                <w:lang w:val="ru-RU"/>
              </w:rPr>
            </w:pPr>
            <w:r w:rsidRPr="00916B3A">
              <w:rPr>
                <w:rFonts w:ascii="Times New Roman" w:hAnsi="Times New Roman" w:cs="Times New Roman"/>
                <w:color w:val="231F20"/>
                <w:spacing w:val="-2"/>
                <w:sz w:val="24"/>
                <w:szCs w:val="24"/>
              </w:rPr>
              <w:t>3.0</w:t>
            </w:r>
            <w:r w:rsidRPr="00916B3A">
              <w:rPr>
                <w:rFonts w:ascii="Times New Roman" w:hAnsi="Times New Roman" w:cs="Times New Roman"/>
                <w:color w:val="231F20"/>
                <w:spacing w:val="-5"/>
                <w:sz w:val="24"/>
                <w:szCs w:val="24"/>
              </w:rPr>
              <w:t xml:space="preserve"> </w:t>
            </w:r>
            <w:r w:rsidRPr="00916B3A">
              <w:rPr>
                <w:rFonts w:ascii="Times New Roman" w:hAnsi="Times New Roman" w:cs="Times New Roman"/>
                <w:color w:val="231F20"/>
                <w:spacing w:val="-2"/>
                <w:sz w:val="24"/>
                <w:szCs w:val="24"/>
              </w:rPr>
              <w:t>(2.0-</w:t>
            </w:r>
            <w:r w:rsidRPr="00916B3A">
              <w:rPr>
                <w:rFonts w:ascii="Times New Roman" w:hAnsi="Times New Roman" w:cs="Times New Roman"/>
                <w:color w:val="231F20"/>
                <w:spacing w:val="-4"/>
                <w:sz w:val="24"/>
                <w:szCs w:val="24"/>
              </w:rPr>
              <w:t>5.0)</w:t>
            </w:r>
          </w:p>
        </w:tc>
        <w:tc>
          <w:tcPr>
            <w:tcW w:w="1276" w:type="dxa"/>
          </w:tcPr>
          <w:p w14:paraId="74FB0ED0" w14:textId="77777777" w:rsidR="00E475DC" w:rsidRDefault="00E475DC" w:rsidP="00E475DC">
            <w:pPr>
              <w:pStyle w:val="TableParagraph"/>
              <w:spacing w:before="0"/>
              <w:jc w:val="center"/>
              <w:rPr>
                <w:rFonts w:ascii="Times New Roman" w:hAnsi="Times New Roman" w:cs="Times New Roman"/>
                <w:sz w:val="24"/>
                <w:szCs w:val="24"/>
                <w:lang w:val="ru-RU"/>
              </w:rPr>
            </w:pPr>
          </w:p>
        </w:tc>
        <w:tc>
          <w:tcPr>
            <w:tcW w:w="1980" w:type="dxa"/>
          </w:tcPr>
          <w:p w14:paraId="5E74370C" w14:textId="7EBEFDCC" w:rsidR="00E475DC" w:rsidRDefault="00E475DC" w:rsidP="00E475DC">
            <w:pPr>
              <w:pStyle w:val="TableParagraph"/>
              <w:spacing w:before="0"/>
              <w:ind w:left="78"/>
              <w:jc w:val="center"/>
              <w:rPr>
                <w:rFonts w:ascii="Times New Roman" w:hAnsi="Times New Roman" w:cs="Times New Roman"/>
                <w:color w:val="231F20"/>
                <w:sz w:val="24"/>
                <w:szCs w:val="24"/>
                <w:lang w:val="ru-RU"/>
              </w:rPr>
            </w:pPr>
            <w:r w:rsidRPr="00916B3A">
              <w:rPr>
                <w:rFonts w:ascii="Times New Roman" w:hAnsi="Times New Roman" w:cs="Times New Roman"/>
                <w:color w:val="231F20"/>
                <w:sz w:val="24"/>
                <w:szCs w:val="24"/>
              </w:rPr>
              <w:t>Ke</w:t>
            </w:r>
            <w:r w:rsidRPr="00916B3A">
              <w:rPr>
                <w:rFonts w:ascii="Times New Roman" w:hAnsi="Times New Roman" w:cs="Times New Roman"/>
                <w:color w:val="231F20"/>
                <w:spacing w:val="-10"/>
                <w:sz w:val="24"/>
                <w:szCs w:val="24"/>
              </w:rPr>
              <w:t xml:space="preserve"> </w:t>
            </w:r>
            <w:r w:rsidRPr="00916B3A">
              <w:rPr>
                <w:rFonts w:ascii="Times New Roman" w:hAnsi="Times New Roman" w:cs="Times New Roman"/>
                <w:color w:val="231F20"/>
                <w:sz w:val="24"/>
                <w:szCs w:val="24"/>
              </w:rPr>
              <w:t>et</w:t>
            </w:r>
            <w:r w:rsidRPr="00916B3A">
              <w:rPr>
                <w:rFonts w:ascii="Times New Roman" w:hAnsi="Times New Roman" w:cs="Times New Roman"/>
                <w:color w:val="231F20"/>
                <w:spacing w:val="-8"/>
                <w:sz w:val="24"/>
                <w:szCs w:val="24"/>
              </w:rPr>
              <w:t xml:space="preserve"> </w:t>
            </w:r>
            <w:r w:rsidRPr="00916B3A">
              <w:rPr>
                <w:rFonts w:ascii="Times New Roman" w:hAnsi="Times New Roman" w:cs="Times New Roman"/>
                <w:color w:val="231F20"/>
                <w:sz w:val="24"/>
                <w:szCs w:val="24"/>
              </w:rPr>
              <w:t>al.,</w:t>
            </w:r>
            <w:r w:rsidRPr="00916B3A">
              <w:rPr>
                <w:rFonts w:ascii="Times New Roman" w:hAnsi="Times New Roman" w:cs="Times New Roman"/>
                <w:color w:val="231F20"/>
                <w:spacing w:val="-10"/>
                <w:sz w:val="24"/>
                <w:szCs w:val="24"/>
              </w:rPr>
              <w:t xml:space="preserve"> </w:t>
            </w:r>
            <w:r w:rsidRPr="00916B3A">
              <w:rPr>
                <w:rFonts w:ascii="Times New Roman" w:hAnsi="Times New Roman" w:cs="Times New Roman"/>
                <w:color w:val="231F20"/>
                <w:sz w:val="24"/>
                <w:szCs w:val="24"/>
              </w:rPr>
              <w:fldChar w:fldCharType="begin" w:fldLock="1"/>
            </w:r>
            <w:r w:rsidR="008C6800">
              <w:rPr>
                <w:rFonts w:ascii="Times New Roman" w:hAnsi="Times New Roman" w:cs="Times New Roman"/>
                <w:color w:val="231F20"/>
                <w:sz w:val="24"/>
                <w:szCs w:val="24"/>
              </w:rPr>
              <w:instrText>ADDIN CSL_CITATION {"citationItems":[{"id":"ITEM-1","itemData":{"DOI":"10.1177/1933719117698580","ISBN":"1933719117","ISSN":"19337205","PMID":"28345485","abstract":"Tamoxifen has played a vital role in endocrine therapy for the treatment of estrogen receptor–positive breast cancer. We examined the effect of tamoxifen in patients with a thin endometrium in frozen–thawed embryo transfer (FET) cycles and compared the improvement in endometrial thickness (EMT) and pregnancy outcomes stratified by different etiologies of thin endometrium. A total of 226 women were recruited for a new tamoxifen protocol; all had an EMT of less than 7.5 mm in previous cycles, including natural cycle (NC), hormone replacement treatment (HRT), and ovulation induction (OI) cycles. Compared with previous cycles, tamoxifen cycles showed a significantly increased EMT (from 6.11 ± 0.98 mm to 7.87 ± 1.48 mm in the NC group, from 6.24 ± 1.01 mm to 8.22 ± 1.67 mm in the HRT group, and from 6.34 ± 1.03 mm to 8.05 ± 1.58 mm in the OI group; all P &lt;.001). Patients were further divided into 3 groups based on the causes of their thin endometrium: (1) history of intrauterine adhesion (n = 34), (2) history of uterine curettage (n = 141), and (3) polycystic ovary syndrome (PCOS; n = 51). Patients with PCOS obtained the thickest EMT (9.31 ± 1.55 mm), the lowest cycle cancellation rate (11.76%), and the highest rate of clinical pregnancy (60%) and live birth (55.56%) per transfer (P &lt;.001). Multivariable regression analysis showed that EMT was related to live birth (odds ratio: 1.487; 95% confidence interval: 1.1</w:instrText>
            </w:r>
            <w:r w:rsidR="008C6800" w:rsidRPr="008C6800">
              <w:rPr>
                <w:rFonts w:ascii="Times New Roman" w:hAnsi="Times New Roman" w:cs="Times New Roman"/>
                <w:color w:val="231F20"/>
                <w:sz w:val="24"/>
                <w:szCs w:val="24"/>
                <w:lang w:val="ru-RU"/>
              </w:rPr>
              <w:instrText xml:space="preserve">72-1.887). </w:instrText>
            </w:r>
            <w:r w:rsidR="008C6800">
              <w:rPr>
                <w:rFonts w:ascii="Times New Roman" w:hAnsi="Times New Roman" w:cs="Times New Roman"/>
                <w:color w:val="231F20"/>
                <w:sz w:val="24"/>
                <w:szCs w:val="24"/>
              </w:rPr>
              <w:instrText>A</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tamoxifen</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protocol</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improves</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EMT</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in</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patients</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after</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NC</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HRT</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and</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OI</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cycles</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during</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FET</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Patients</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with</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PCOS</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show</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the</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most</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benefit</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from</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tamoxifen</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and</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achieve</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better</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pregnancy</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outcomes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author</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family</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Ke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given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Hanni</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non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names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false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suffix</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family</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Jiang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given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Jingjing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non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names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false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suffix</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family</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Xia</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given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Mingdi</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non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names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false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suffix</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family</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Tang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given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Rong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non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names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false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suffix</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family</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Qin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given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Yingying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non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names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false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suffix</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family</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Chen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given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Zi</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Jiang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non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dropping</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names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false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suffix</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container</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title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Reproductive</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Sciences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id</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ITEM</w:instrText>
            </w:r>
            <w:r w:rsidR="008C6800" w:rsidRPr="008C6800">
              <w:rPr>
                <w:rFonts w:ascii="Times New Roman" w:hAnsi="Times New Roman" w:cs="Times New Roman"/>
                <w:color w:val="231F20"/>
                <w:sz w:val="24"/>
                <w:szCs w:val="24"/>
                <w:lang w:val="ru-RU"/>
              </w:rPr>
              <w:instrText>-1","</w:instrText>
            </w:r>
            <w:r w:rsidR="008C6800">
              <w:rPr>
                <w:rFonts w:ascii="Times New Roman" w:hAnsi="Times New Roman" w:cs="Times New Roman"/>
                <w:color w:val="231F20"/>
                <w:sz w:val="24"/>
                <w:szCs w:val="24"/>
              </w:rPr>
              <w:instrText>issue</w:instrText>
            </w:r>
            <w:r w:rsidR="008C6800" w:rsidRPr="008C6800">
              <w:rPr>
                <w:rFonts w:ascii="Times New Roman" w:hAnsi="Times New Roman" w:cs="Times New Roman"/>
                <w:color w:val="231F20"/>
                <w:sz w:val="24"/>
                <w:szCs w:val="24"/>
                <w:lang w:val="ru-RU"/>
              </w:rPr>
              <w:instrText>":"6","</w:instrText>
            </w:r>
            <w:r w:rsidR="008C6800">
              <w:rPr>
                <w:rFonts w:ascii="Times New Roman" w:hAnsi="Times New Roman" w:cs="Times New Roman"/>
                <w:color w:val="231F20"/>
                <w:sz w:val="24"/>
                <w:szCs w:val="24"/>
              </w:rPr>
              <w:instrText>issued</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date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parts</w:instrText>
            </w:r>
            <w:r w:rsidR="008C6800" w:rsidRPr="008C6800">
              <w:rPr>
                <w:rFonts w:ascii="Times New Roman" w:hAnsi="Times New Roman" w:cs="Times New Roman"/>
                <w:color w:val="231F20"/>
                <w:sz w:val="24"/>
                <w:szCs w:val="24"/>
                <w:lang w:val="ru-RU"/>
              </w:rPr>
              <w:instrText>":[["2018"]]},"</w:instrText>
            </w:r>
            <w:r w:rsidR="008C6800">
              <w:rPr>
                <w:rFonts w:ascii="Times New Roman" w:hAnsi="Times New Roman" w:cs="Times New Roman"/>
                <w:color w:val="231F20"/>
                <w:sz w:val="24"/>
                <w:szCs w:val="24"/>
              </w:rPr>
              <w:instrText>page</w:instrText>
            </w:r>
            <w:r w:rsidR="008C6800" w:rsidRPr="008C6800">
              <w:rPr>
                <w:rFonts w:ascii="Times New Roman" w:hAnsi="Times New Roman" w:cs="Times New Roman"/>
                <w:color w:val="231F20"/>
                <w:sz w:val="24"/>
                <w:szCs w:val="24"/>
                <w:lang w:val="ru-RU"/>
              </w:rPr>
              <w:instrText>":"861-866","</w:instrText>
            </w:r>
            <w:r w:rsidR="008C6800">
              <w:rPr>
                <w:rFonts w:ascii="Times New Roman" w:hAnsi="Times New Roman" w:cs="Times New Roman"/>
                <w:color w:val="231F20"/>
                <w:sz w:val="24"/>
                <w:szCs w:val="24"/>
              </w:rPr>
              <w:instrText>title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The</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Effect</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of</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Tamoxifen</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on</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Thin</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Endometrium</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in</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Patients</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Undergoing</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Frozen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Thawed</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Embryo</w:instrText>
            </w:r>
            <w:r w:rsidR="008C6800" w:rsidRPr="008C6800">
              <w:rPr>
                <w:rFonts w:ascii="Times New Roman" w:hAnsi="Times New Roman" w:cs="Times New Roman"/>
                <w:color w:val="231F20"/>
                <w:sz w:val="24"/>
                <w:szCs w:val="24"/>
                <w:lang w:val="ru-RU"/>
              </w:rPr>
              <w:instrText xml:space="preserve"> </w:instrText>
            </w:r>
            <w:r w:rsidR="008C6800">
              <w:rPr>
                <w:rFonts w:ascii="Times New Roman" w:hAnsi="Times New Roman" w:cs="Times New Roman"/>
                <w:color w:val="231F20"/>
                <w:sz w:val="24"/>
                <w:szCs w:val="24"/>
              </w:rPr>
              <w:instrText>Transfer</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type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article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journal</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volume</w:instrText>
            </w:r>
            <w:r w:rsidR="008C6800" w:rsidRPr="008C6800">
              <w:rPr>
                <w:rFonts w:ascii="Times New Roman" w:hAnsi="Times New Roman" w:cs="Times New Roman"/>
                <w:color w:val="231F20"/>
                <w:sz w:val="24"/>
                <w:szCs w:val="24"/>
                <w:lang w:val="ru-RU"/>
              </w:rPr>
              <w:instrText>":"25"},"</w:instrText>
            </w:r>
            <w:r w:rsidR="008C6800">
              <w:rPr>
                <w:rFonts w:ascii="Times New Roman" w:hAnsi="Times New Roman" w:cs="Times New Roman"/>
                <w:color w:val="231F20"/>
                <w:sz w:val="24"/>
                <w:szCs w:val="24"/>
              </w:rPr>
              <w:instrText>uris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http</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www</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mendeley</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com</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documents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uuid</w:instrText>
            </w:r>
            <w:r w:rsidR="008C6800" w:rsidRPr="008C6800">
              <w:rPr>
                <w:rFonts w:ascii="Times New Roman" w:hAnsi="Times New Roman" w:cs="Times New Roman"/>
                <w:color w:val="231F20"/>
                <w:sz w:val="24"/>
                <w:szCs w:val="24"/>
                <w:lang w:val="ru-RU"/>
              </w:rPr>
              <w:instrText>=175</w:instrText>
            </w:r>
            <w:r w:rsidR="008C6800">
              <w:rPr>
                <w:rFonts w:ascii="Times New Roman" w:hAnsi="Times New Roman" w:cs="Times New Roman"/>
                <w:color w:val="231F20"/>
                <w:sz w:val="24"/>
                <w:szCs w:val="24"/>
              </w:rPr>
              <w:instrText>fb</w:instrText>
            </w:r>
            <w:r w:rsidR="008C6800" w:rsidRPr="008C6800">
              <w:rPr>
                <w:rFonts w:ascii="Times New Roman" w:hAnsi="Times New Roman" w:cs="Times New Roman"/>
                <w:color w:val="231F20"/>
                <w:sz w:val="24"/>
                <w:szCs w:val="24"/>
                <w:lang w:val="ru-RU"/>
              </w:rPr>
              <w:instrText>14</w:instrText>
            </w:r>
            <w:r w:rsidR="008C6800">
              <w:rPr>
                <w:rFonts w:ascii="Times New Roman" w:hAnsi="Times New Roman" w:cs="Times New Roman"/>
                <w:color w:val="231F20"/>
                <w:sz w:val="24"/>
                <w:szCs w:val="24"/>
              </w:rPr>
              <w:instrText>b</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e</w:instrText>
            </w:r>
            <w:r w:rsidR="008C6800" w:rsidRPr="008C6800">
              <w:rPr>
                <w:rFonts w:ascii="Times New Roman" w:hAnsi="Times New Roman" w:cs="Times New Roman"/>
                <w:color w:val="231F20"/>
                <w:sz w:val="24"/>
                <w:szCs w:val="24"/>
                <w:lang w:val="ru-RU"/>
              </w:rPr>
              <w:instrText>031-40</w:instrText>
            </w:r>
            <w:r w:rsidR="008C6800">
              <w:rPr>
                <w:rFonts w:ascii="Times New Roman" w:hAnsi="Times New Roman" w:cs="Times New Roman"/>
                <w:color w:val="231F20"/>
                <w:sz w:val="24"/>
                <w:szCs w:val="24"/>
              </w:rPr>
              <w:instrText>ea</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aee</w:instrText>
            </w:r>
            <w:r w:rsidR="008C6800" w:rsidRPr="008C6800">
              <w:rPr>
                <w:rFonts w:ascii="Times New Roman" w:hAnsi="Times New Roman" w:cs="Times New Roman"/>
                <w:color w:val="231F20"/>
                <w:sz w:val="24"/>
                <w:szCs w:val="24"/>
                <w:lang w:val="ru-RU"/>
              </w:rPr>
              <w:instrText>7-</w:instrText>
            </w:r>
            <w:r w:rsidR="008C6800">
              <w:rPr>
                <w:rFonts w:ascii="Times New Roman" w:hAnsi="Times New Roman" w:cs="Times New Roman"/>
                <w:color w:val="231F20"/>
                <w:sz w:val="24"/>
                <w:szCs w:val="24"/>
              </w:rPr>
              <w:instrText>a</w:instrText>
            </w:r>
            <w:r w:rsidR="008C6800" w:rsidRPr="008C6800">
              <w:rPr>
                <w:rFonts w:ascii="Times New Roman" w:hAnsi="Times New Roman" w:cs="Times New Roman"/>
                <w:color w:val="231F20"/>
                <w:sz w:val="24"/>
                <w:szCs w:val="24"/>
                <w:lang w:val="ru-RU"/>
              </w:rPr>
              <w:instrText>69</w:instrText>
            </w:r>
            <w:r w:rsidR="008C6800">
              <w:rPr>
                <w:rFonts w:ascii="Times New Roman" w:hAnsi="Times New Roman" w:cs="Times New Roman"/>
                <w:color w:val="231F20"/>
                <w:sz w:val="24"/>
                <w:szCs w:val="24"/>
              </w:rPr>
              <w:instrText>c</w:instrText>
            </w:r>
            <w:r w:rsidR="008C6800" w:rsidRPr="008C6800">
              <w:rPr>
                <w:rFonts w:ascii="Times New Roman" w:hAnsi="Times New Roman" w:cs="Times New Roman"/>
                <w:color w:val="231F20"/>
                <w:sz w:val="24"/>
                <w:szCs w:val="24"/>
                <w:lang w:val="ru-RU"/>
              </w:rPr>
              <w:instrText>58201</w:instrText>
            </w:r>
            <w:r w:rsidR="008C6800">
              <w:rPr>
                <w:rFonts w:ascii="Times New Roman" w:hAnsi="Times New Roman" w:cs="Times New Roman"/>
                <w:color w:val="231F20"/>
                <w:sz w:val="24"/>
                <w:szCs w:val="24"/>
              </w:rPr>
              <w:instrText>be</w:instrText>
            </w:r>
            <w:r w:rsidR="008C6800" w:rsidRPr="008C6800">
              <w:rPr>
                <w:rFonts w:ascii="Times New Roman" w:hAnsi="Times New Roman" w:cs="Times New Roman"/>
                <w:color w:val="231F20"/>
                <w:sz w:val="24"/>
                <w:szCs w:val="24"/>
                <w:lang w:val="ru-RU"/>
              </w:rPr>
              <w:instrText>7"]}],"</w:instrText>
            </w:r>
            <w:r w:rsidR="008C6800">
              <w:rPr>
                <w:rFonts w:ascii="Times New Roman" w:hAnsi="Times New Roman" w:cs="Times New Roman"/>
                <w:color w:val="231F20"/>
                <w:sz w:val="24"/>
                <w:szCs w:val="24"/>
              </w:rPr>
              <w:instrText>mendeley</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formattedCitation</w:instrText>
            </w:r>
            <w:r w:rsidR="008C6800" w:rsidRPr="008C6800">
              <w:rPr>
                <w:rFonts w:ascii="Times New Roman" w:hAnsi="Times New Roman" w:cs="Times New Roman"/>
                <w:color w:val="231F20"/>
                <w:sz w:val="24"/>
                <w:szCs w:val="24"/>
                <w:lang w:val="ru-RU"/>
              </w:rPr>
              <w:instrText>":"[116]","</w:instrText>
            </w:r>
            <w:r w:rsidR="008C6800">
              <w:rPr>
                <w:rFonts w:ascii="Times New Roman" w:hAnsi="Times New Roman" w:cs="Times New Roman"/>
                <w:color w:val="231F20"/>
                <w:sz w:val="24"/>
                <w:szCs w:val="24"/>
              </w:rPr>
              <w:instrText>plainTextFormattedCitation</w:instrText>
            </w:r>
            <w:r w:rsidR="008C6800" w:rsidRPr="008C6800">
              <w:rPr>
                <w:rFonts w:ascii="Times New Roman" w:hAnsi="Times New Roman" w:cs="Times New Roman"/>
                <w:color w:val="231F20"/>
                <w:sz w:val="24"/>
                <w:szCs w:val="24"/>
                <w:lang w:val="ru-RU"/>
              </w:rPr>
              <w:instrText>":"[116]","</w:instrText>
            </w:r>
            <w:r w:rsidR="008C6800">
              <w:rPr>
                <w:rFonts w:ascii="Times New Roman" w:hAnsi="Times New Roman" w:cs="Times New Roman"/>
                <w:color w:val="231F20"/>
                <w:sz w:val="24"/>
                <w:szCs w:val="24"/>
              </w:rPr>
              <w:instrText>previouslyFormattedCitation</w:instrText>
            </w:r>
            <w:r w:rsidR="008C6800" w:rsidRPr="008C6800">
              <w:rPr>
                <w:rFonts w:ascii="Times New Roman" w:hAnsi="Times New Roman" w:cs="Times New Roman"/>
                <w:color w:val="231F20"/>
                <w:sz w:val="24"/>
                <w:szCs w:val="24"/>
                <w:lang w:val="ru-RU"/>
              </w:rPr>
              <w:instrText>":"(116)"},"</w:instrText>
            </w:r>
            <w:r w:rsidR="008C6800">
              <w:rPr>
                <w:rFonts w:ascii="Times New Roman" w:hAnsi="Times New Roman" w:cs="Times New Roman"/>
                <w:color w:val="231F20"/>
                <w:sz w:val="24"/>
                <w:szCs w:val="24"/>
              </w:rPr>
              <w:instrText>properties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noteIndex</w:instrText>
            </w:r>
            <w:r w:rsidR="008C6800" w:rsidRPr="008C6800">
              <w:rPr>
                <w:rFonts w:ascii="Times New Roman" w:hAnsi="Times New Roman" w:cs="Times New Roman"/>
                <w:color w:val="231F20"/>
                <w:sz w:val="24"/>
                <w:szCs w:val="24"/>
                <w:lang w:val="ru-RU"/>
              </w:rPr>
              <w:instrText>":0},"</w:instrText>
            </w:r>
            <w:r w:rsidR="008C6800">
              <w:rPr>
                <w:rFonts w:ascii="Times New Roman" w:hAnsi="Times New Roman" w:cs="Times New Roman"/>
                <w:color w:val="231F20"/>
                <w:sz w:val="24"/>
                <w:szCs w:val="24"/>
              </w:rPr>
              <w:instrText>schema</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https</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github</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com</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citation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style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language</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schema</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raw</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master</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csl</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citation</w:instrText>
            </w:r>
            <w:r w:rsidR="008C6800" w:rsidRPr="008C6800">
              <w:rPr>
                <w:rFonts w:ascii="Times New Roman" w:hAnsi="Times New Roman" w:cs="Times New Roman"/>
                <w:color w:val="231F20"/>
                <w:sz w:val="24"/>
                <w:szCs w:val="24"/>
                <w:lang w:val="ru-RU"/>
              </w:rPr>
              <w:instrText>.</w:instrText>
            </w:r>
            <w:r w:rsidR="008C6800">
              <w:rPr>
                <w:rFonts w:ascii="Times New Roman" w:hAnsi="Times New Roman" w:cs="Times New Roman"/>
                <w:color w:val="231F20"/>
                <w:sz w:val="24"/>
                <w:szCs w:val="24"/>
              </w:rPr>
              <w:instrText>json</w:instrText>
            </w:r>
            <w:r w:rsidR="008C6800" w:rsidRPr="008C6800">
              <w:rPr>
                <w:rFonts w:ascii="Times New Roman" w:hAnsi="Times New Roman" w:cs="Times New Roman"/>
                <w:color w:val="231F20"/>
                <w:sz w:val="24"/>
                <w:szCs w:val="24"/>
                <w:lang w:val="ru-RU"/>
              </w:rPr>
              <w:instrText>"}</w:instrText>
            </w:r>
            <w:r w:rsidRPr="00916B3A">
              <w:rPr>
                <w:rFonts w:ascii="Times New Roman" w:hAnsi="Times New Roman" w:cs="Times New Roman"/>
                <w:color w:val="231F20"/>
                <w:sz w:val="24"/>
                <w:szCs w:val="24"/>
              </w:rPr>
              <w:fldChar w:fldCharType="separate"/>
            </w:r>
            <w:r w:rsidR="008C6800" w:rsidRPr="008C6800">
              <w:rPr>
                <w:rFonts w:ascii="Times New Roman" w:hAnsi="Times New Roman" w:cs="Times New Roman"/>
                <w:noProof/>
                <w:color w:val="231F20"/>
                <w:sz w:val="24"/>
                <w:szCs w:val="24"/>
                <w:lang w:val="ru-RU"/>
              </w:rPr>
              <w:t>[116]</w:t>
            </w:r>
            <w:r w:rsidRPr="00916B3A">
              <w:rPr>
                <w:rFonts w:ascii="Times New Roman" w:hAnsi="Times New Roman" w:cs="Times New Roman"/>
                <w:color w:val="231F20"/>
                <w:sz w:val="24"/>
                <w:szCs w:val="24"/>
              </w:rPr>
              <w:fldChar w:fldCharType="end"/>
            </w:r>
            <w:r w:rsidRPr="00916B3A">
              <w:rPr>
                <w:rFonts w:ascii="Times New Roman" w:hAnsi="Times New Roman" w:cs="Times New Roman"/>
                <w:color w:val="231F20"/>
                <w:spacing w:val="-4"/>
                <w:sz w:val="24"/>
                <w:szCs w:val="24"/>
                <w:lang w:val="ru-RU"/>
              </w:rPr>
              <w:t>2018</w:t>
            </w:r>
          </w:p>
        </w:tc>
      </w:tr>
      <w:tr w:rsidR="00E475DC" w:rsidRPr="00916B3A" w14:paraId="69D56271" w14:textId="77777777" w:rsidTr="00E475DC">
        <w:trPr>
          <w:trHeight w:val="1602"/>
        </w:trPr>
        <w:tc>
          <w:tcPr>
            <w:tcW w:w="9493" w:type="dxa"/>
            <w:gridSpan w:val="6"/>
            <w:tcBorders>
              <w:top w:val="nil"/>
            </w:tcBorders>
          </w:tcPr>
          <w:p w14:paraId="78838D6C" w14:textId="571735CA" w:rsidR="00E475DC" w:rsidRPr="00E475DC" w:rsidRDefault="00E475DC" w:rsidP="00E475DC">
            <w:pPr>
              <w:tabs>
                <w:tab w:val="left" w:pos="1290"/>
                <w:tab w:val="left" w:pos="8931"/>
                <w:tab w:val="left" w:pos="9072"/>
              </w:tabs>
              <w:ind w:firstLine="567"/>
              <w:jc w:val="both"/>
              <w:rPr>
                <w:lang w:val="ru-RU"/>
              </w:rPr>
            </w:pPr>
            <w:r w:rsidRPr="00E475DC">
              <w:rPr>
                <w:rFonts w:ascii="Times New Roman" w:hAnsi="Times New Roman" w:cs="Times New Roman"/>
                <w:sz w:val="24"/>
                <w:szCs w:val="24"/>
                <w:lang w:val="ru-RU"/>
              </w:rPr>
              <w:t xml:space="preserve">Сокращения: </w:t>
            </w:r>
            <w:r w:rsidRPr="00E475DC">
              <w:rPr>
                <w:rFonts w:ascii="Times New Roman" w:hAnsi="Times New Roman" w:cs="Times New Roman"/>
                <w:sz w:val="24"/>
                <w:szCs w:val="24"/>
              </w:rPr>
              <w:t>CPR</w:t>
            </w:r>
            <w:r w:rsidRPr="00E475DC">
              <w:rPr>
                <w:rFonts w:ascii="Times New Roman" w:hAnsi="Times New Roman" w:cs="Times New Roman"/>
                <w:sz w:val="24"/>
                <w:szCs w:val="24"/>
                <w:lang w:val="ru-RU"/>
              </w:rPr>
              <w:t xml:space="preserve"> – клиническая частота наступления беременности; </w:t>
            </w:r>
            <w:r w:rsidRPr="00E475DC">
              <w:rPr>
                <w:rFonts w:ascii="Times New Roman" w:hAnsi="Times New Roman" w:cs="Times New Roman"/>
                <w:sz w:val="24"/>
                <w:szCs w:val="24"/>
              </w:rPr>
              <w:t>ET</w:t>
            </w:r>
            <w:r w:rsidRPr="00E475DC">
              <w:rPr>
                <w:rFonts w:ascii="Times New Roman" w:hAnsi="Times New Roman" w:cs="Times New Roman"/>
                <w:sz w:val="24"/>
                <w:szCs w:val="24"/>
                <w:lang w:val="ru-RU"/>
              </w:rPr>
              <w:t xml:space="preserve"> – толщина эндометрия; </w:t>
            </w:r>
            <w:r w:rsidRPr="00E475DC">
              <w:rPr>
                <w:rFonts w:ascii="Times New Roman" w:hAnsi="Times New Roman" w:cs="Times New Roman"/>
                <w:sz w:val="24"/>
                <w:szCs w:val="24"/>
              </w:rPr>
              <w:t>FET</w:t>
            </w:r>
            <w:r w:rsidRPr="00E475DC">
              <w:rPr>
                <w:rFonts w:ascii="Times New Roman" w:hAnsi="Times New Roman" w:cs="Times New Roman"/>
                <w:sz w:val="24"/>
                <w:szCs w:val="24"/>
                <w:lang w:val="ru-RU"/>
              </w:rPr>
              <w:t xml:space="preserve"> – перенос замороженных эмбрионов; </w:t>
            </w:r>
            <w:r w:rsidRPr="00E475DC">
              <w:rPr>
                <w:rFonts w:ascii="Times New Roman" w:hAnsi="Times New Roman" w:cs="Times New Roman"/>
                <w:sz w:val="24"/>
                <w:szCs w:val="24"/>
              </w:rPr>
              <w:t>FSH</w:t>
            </w:r>
            <w:r w:rsidRPr="00E475DC">
              <w:rPr>
                <w:rFonts w:ascii="Times New Roman" w:hAnsi="Times New Roman" w:cs="Times New Roman"/>
                <w:sz w:val="24"/>
                <w:szCs w:val="24"/>
                <w:lang w:val="ru-RU"/>
              </w:rPr>
              <w:t xml:space="preserve"> - фолликулостимулирующий гормон; </w:t>
            </w:r>
            <w:r w:rsidRPr="00E475DC">
              <w:rPr>
                <w:rFonts w:ascii="Times New Roman" w:hAnsi="Times New Roman" w:cs="Times New Roman"/>
                <w:sz w:val="24"/>
                <w:szCs w:val="24"/>
              </w:rPr>
              <w:t>G</w:t>
            </w:r>
            <w:r w:rsidRPr="00E475DC">
              <w:rPr>
                <w:rFonts w:ascii="Times New Roman" w:hAnsi="Times New Roman" w:cs="Times New Roman"/>
                <w:sz w:val="24"/>
                <w:szCs w:val="24"/>
                <w:lang w:val="ru-RU"/>
              </w:rPr>
              <w:t>-</w:t>
            </w:r>
            <w:r w:rsidRPr="00E475DC">
              <w:rPr>
                <w:rFonts w:ascii="Times New Roman" w:hAnsi="Times New Roman" w:cs="Times New Roman"/>
                <w:sz w:val="24"/>
                <w:szCs w:val="24"/>
              </w:rPr>
              <w:t>CSF</w:t>
            </w:r>
            <w:r w:rsidRPr="00E475DC">
              <w:rPr>
                <w:rFonts w:ascii="Times New Roman" w:hAnsi="Times New Roman" w:cs="Times New Roman"/>
                <w:sz w:val="24"/>
                <w:szCs w:val="24"/>
                <w:lang w:val="ru-RU"/>
              </w:rPr>
              <w:t xml:space="preserve"> - гранулоцитарный колониестимулирующий фактор; </w:t>
            </w:r>
            <w:r w:rsidRPr="00E475DC">
              <w:rPr>
                <w:rFonts w:ascii="Times New Roman" w:hAnsi="Times New Roman" w:cs="Times New Roman"/>
                <w:sz w:val="24"/>
                <w:szCs w:val="24"/>
              </w:rPr>
              <w:t>GnRH</w:t>
            </w:r>
            <w:r w:rsidRPr="00E475DC">
              <w:rPr>
                <w:rFonts w:ascii="Times New Roman" w:hAnsi="Times New Roman" w:cs="Times New Roman"/>
                <w:sz w:val="24"/>
                <w:szCs w:val="24"/>
                <w:lang w:val="ru-RU"/>
              </w:rPr>
              <w:t>-</w:t>
            </w:r>
            <w:r w:rsidRPr="00E475DC">
              <w:rPr>
                <w:rFonts w:ascii="Times New Roman" w:hAnsi="Times New Roman" w:cs="Times New Roman"/>
                <w:sz w:val="24"/>
                <w:szCs w:val="24"/>
              </w:rPr>
              <w:t>a</w:t>
            </w:r>
            <w:r w:rsidRPr="00E475DC">
              <w:rPr>
                <w:rFonts w:ascii="Times New Roman" w:hAnsi="Times New Roman" w:cs="Times New Roman"/>
                <w:sz w:val="24"/>
                <w:szCs w:val="24"/>
                <w:lang w:val="ru-RU"/>
              </w:rPr>
              <w:t xml:space="preserve"> - агонист гонадотропин-рилизинг-гормона; ХГЧ – хорионический гонадотропин человека; </w:t>
            </w:r>
            <w:r w:rsidRPr="00E475DC">
              <w:rPr>
                <w:rFonts w:ascii="Times New Roman" w:hAnsi="Times New Roman" w:cs="Times New Roman"/>
                <w:sz w:val="24"/>
                <w:szCs w:val="24"/>
              </w:rPr>
              <w:t>LBR</w:t>
            </w:r>
            <w:r w:rsidRPr="00E475DC">
              <w:rPr>
                <w:rFonts w:ascii="Times New Roman" w:hAnsi="Times New Roman" w:cs="Times New Roman"/>
                <w:sz w:val="24"/>
                <w:szCs w:val="24"/>
                <w:lang w:val="ru-RU"/>
              </w:rPr>
              <w:t xml:space="preserve"> – коэффициент живорождения; </w:t>
            </w:r>
            <w:r w:rsidRPr="00E475DC">
              <w:rPr>
                <w:rFonts w:ascii="Times New Roman" w:hAnsi="Times New Roman" w:cs="Times New Roman"/>
                <w:sz w:val="24"/>
                <w:szCs w:val="24"/>
              </w:rPr>
              <w:t>N</w:t>
            </w:r>
            <w:r w:rsidRPr="00E475DC">
              <w:rPr>
                <w:rFonts w:ascii="Times New Roman" w:hAnsi="Times New Roman" w:cs="Times New Roman"/>
                <w:sz w:val="24"/>
                <w:szCs w:val="24"/>
                <w:lang w:val="ru-RU"/>
              </w:rPr>
              <w:t xml:space="preserve"> - число; СПКЯ - синдром поликистозных яичников; </w:t>
            </w:r>
            <w:r w:rsidRPr="00E475DC">
              <w:rPr>
                <w:rFonts w:ascii="Times New Roman" w:hAnsi="Times New Roman" w:cs="Times New Roman"/>
                <w:sz w:val="24"/>
                <w:szCs w:val="24"/>
              </w:rPr>
              <w:t>PGD</w:t>
            </w:r>
            <w:r w:rsidRPr="00E475DC">
              <w:rPr>
                <w:rFonts w:ascii="Times New Roman" w:hAnsi="Times New Roman" w:cs="Times New Roman"/>
                <w:sz w:val="24"/>
                <w:szCs w:val="24"/>
                <w:lang w:val="ru-RU"/>
              </w:rPr>
              <w:t xml:space="preserve"> – предимплантационный генетический диагноз; </w:t>
            </w:r>
            <w:r w:rsidRPr="00E475DC">
              <w:rPr>
                <w:rFonts w:ascii="Times New Roman" w:hAnsi="Times New Roman" w:cs="Times New Roman"/>
                <w:sz w:val="24"/>
                <w:szCs w:val="24"/>
              </w:rPr>
              <w:t>SD</w:t>
            </w:r>
            <w:r w:rsidRPr="00E475DC">
              <w:rPr>
                <w:rFonts w:ascii="Times New Roman" w:hAnsi="Times New Roman" w:cs="Times New Roman"/>
                <w:sz w:val="24"/>
                <w:szCs w:val="24"/>
                <w:lang w:val="ru-RU"/>
              </w:rPr>
              <w:t xml:space="preserve"> - стандартное отклонение</w:t>
            </w:r>
            <w:r>
              <w:rPr>
                <w:rFonts w:ascii="Times New Roman" w:hAnsi="Times New Roman" w:cs="Times New Roman"/>
                <w:sz w:val="24"/>
                <w:szCs w:val="24"/>
                <w:lang w:val="ru-RU"/>
              </w:rPr>
              <w:t>.</w:t>
            </w:r>
          </w:p>
        </w:tc>
      </w:tr>
    </w:tbl>
    <w:p w14:paraId="06DBFC69" w14:textId="4B9C1F6D" w:rsidR="00E475DC" w:rsidRPr="00E475DC" w:rsidRDefault="00E475DC" w:rsidP="00E475DC">
      <w:pPr>
        <w:spacing w:after="0" w:line="240" w:lineRule="auto"/>
        <w:jc w:val="both"/>
        <w:rPr>
          <w:rFonts w:ascii="Times New Roman" w:hAnsi="Times New Roman" w:cs="Times New Roman"/>
          <w:sz w:val="24"/>
          <w:szCs w:val="24"/>
        </w:rPr>
      </w:pPr>
      <w:bookmarkStart w:id="20" w:name="_Hlk128135022"/>
      <w:bookmarkStart w:id="21" w:name="_Hlk130835529"/>
      <w:bookmarkEnd w:id="18"/>
      <w:bookmarkEnd w:id="19"/>
    </w:p>
    <w:p w14:paraId="716C7012" w14:textId="6C6647E7" w:rsidR="00C11A77" w:rsidRPr="00916B3A" w:rsidRDefault="00C11A77" w:rsidP="00E475DC">
      <w:pPr>
        <w:spacing w:after="0" w:line="240" w:lineRule="auto"/>
        <w:ind w:firstLine="709"/>
        <w:jc w:val="both"/>
        <w:rPr>
          <w:rFonts w:ascii="Times New Roman" w:eastAsia="Calibri" w:hAnsi="Times New Roman" w:cs="Times New Roman"/>
          <w:sz w:val="28"/>
          <w:szCs w:val="28"/>
        </w:rPr>
      </w:pPr>
      <w:r w:rsidRPr="00916B3A">
        <w:rPr>
          <w:rFonts w:ascii="Times New Roman" w:hAnsi="Times New Roman" w:cs="Times New Roman"/>
          <w:sz w:val="28"/>
          <w:szCs w:val="28"/>
        </w:rPr>
        <w:t>Процент живорождения колебался от 4,80% до 48,99% в циклах свежих эмбрионов и от 6,06% до 39,19% в циклах внутриутробного развития в целом. К</w:t>
      </w:r>
      <w:bookmarkEnd w:id="20"/>
      <w:r w:rsidRPr="00916B3A">
        <w:rPr>
          <w:rFonts w:ascii="Times New Roman" w:hAnsi="Times New Roman" w:cs="Times New Roman"/>
          <w:sz w:val="28"/>
          <w:szCs w:val="28"/>
        </w:rPr>
        <w:t xml:space="preserve">линической беременности варьировалась от 9,09% до 61,49% в циклах переноса свежих эмбрионов и от 13,3% до 79,31% в </w:t>
      </w:r>
      <w:r w:rsidRPr="00916B3A">
        <w:rPr>
          <w:rFonts w:ascii="Times New Roman" w:hAnsi="Times New Roman" w:cs="Times New Roman"/>
          <w:sz w:val="28"/>
          <w:szCs w:val="28"/>
          <w:lang w:val="en-US"/>
        </w:rPr>
        <w:t>FET</w:t>
      </w:r>
      <w:r w:rsidRPr="00916B3A">
        <w:rPr>
          <w:rFonts w:ascii="Times New Roman" w:hAnsi="Times New Roman" w:cs="Times New Roman"/>
          <w:sz w:val="28"/>
          <w:szCs w:val="28"/>
        </w:rPr>
        <w:t xml:space="preserve"> циклах. </w:t>
      </w:r>
      <w:bookmarkEnd w:id="21"/>
      <w:r w:rsidRPr="00916B3A">
        <w:rPr>
          <w:rFonts w:ascii="Times New Roman" w:hAnsi="Times New Roman" w:cs="Times New Roman"/>
          <w:sz w:val="28"/>
          <w:szCs w:val="28"/>
        </w:rPr>
        <w:t xml:space="preserve">В пяти из девяти исследований, в которых сообщалось о новых циклах, </w:t>
      </w:r>
      <w:r w:rsidRPr="00916B3A">
        <w:rPr>
          <w:rFonts w:ascii="Times New Roman" w:hAnsi="Times New Roman" w:cs="Times New Roman"/>
          <w:sz w:val="28"/>
          <w:szCs w:val="28"/>
          <w:lang w:val="kk-KZ"/>
        </w:rPr>
        <w:t>показатель живорождения</w:t>
      </w:r>
      <w:r w:rsidRPr="00916B3A">
        <w:rPr>
          <w:rFonts w:ascii="Times New Roman" w:hAnsi="Times New Roman" w:cs="Times New Roman"/>
          <w:sz w:val="28"/>
          <w:szCs w:val="28"/>
        </w:rPr>
        <w:t xml:space="preserve"> составлял менее 20%. Во всех этих пяти исследованиях частота сердечных сокращений составляла менее 30%. В шести из четырнадцати исследований, в которых сообщалось о циклах </w:t>
      </w:r>
      <w:r w:rsidRPr="00916B3A">
        <w:rPr>
          <w:rFonts w:ascii="Times New Roman" w:hAnsi="Times New Roman" w:cs="Times New Roman"/>
          <w:sz w:val="28"/>
          <w:szCs w:val="28"/>
          <w:lang w:val="en-US"/>
        </w:rPr>
        <w:t>FET</w:t>
      </w:r>
      <w:r w:rsidRPr="00916B3A">
        <w:rPr>
          <w:rFonts w:ascii="Times New Roman" w:hAnsi="Times New Roman" w:cs="Times New Roman"/>
          <w:sz w:val="28"/>
          <w:szCs w:val="28"/>
        </w:rPr>
        <w:t>, живорожденность</w:t>
      </w:r>
      <w:r w:rsidRPr="00916B3A">
        <w:rPr>
          <w:rFonts w:ascii="Times New Roman" w:hAnsi="Times New Roman" w:cs="Times New Roman"/>
          <w:sz w:val="28"/>
          <w:szCs w:val="28"/>
          <w:lang w:val="kk-KZ"/>
        </w:rPr>
        <w:t xml:space="preserve"> </w:t>
      </w:r>
      <w:r w:rsidRPr="00916B3A">
        <w:rPr>
          <w:rFonts w:ascii="Times New Roman" w:hAnsi="Times New Roman" w:cs="Times New Roman"/>
          <w:sz w:val="28"/>
          <w:szCs w:val="28"/>
        </w:rPr>
        <w:t>был менее</w:t>
      </w:r>
      <w:r w:rsidRPr="00916B3A">
        <w:rPr>
          <w:rFonts w:ascii="Times New Roman" w:hAnsi="Times New Roman" w:cs="Times New Roman"/>
          <w:sz w:val="28"/>
          <w:szCs w:val="28"/>
          <w:lang w:val="en-US"/>
        </w:rPr>
        <w:t>a</w:t>
      </w:r>
      <w:r w:rsidRPr="00916B3A">
        <w:rPr>
          <w:rFonts w:ascii="Times New Roman" w:hAnsi="Times New Roman" w:cs="Times New Roman"/>
          <w:sz w:val="28"/>
          <w:szCs w:val="28"/>
        </w:rPr>
        <w:t xml:space="preserve">20%. Было проведено только одно исследование с СЛР выше 30%. </w:t>
      </w:r>
      <w:r w:rsidRPr="00916B3A">
        <w:rPr>
          <w:rFonts w:ascii="Times New Roman" w:eastAsia="Calibri" w:hAnsi="Times New Roman" w:cs="Times New Roman"/>
          <w:sz w:val="28"/>
          <w:szCs w:val="28"/>
        </w:rPr>
        <w:t xml:space="preserve">В исследовании с самым низким процентом живорождений во время новых циклов средний возраст пациенток составил 29,5 ± 3,2 года, тогда как средняя продолжительность бесплодия была относительно короткой – 3 года. В исследовании с самым низким процентом живорождений во время внутриутробных циклов большинству пациенток в среднем было </w:t>
      </w:r>
      <w:r w:rsidRPr="00916B3A">
        <w:rPr>
          <w:rFonts w:ascii="Times New Roman" w:hAnsi="Times New Roman" w:cs="Times New Roman"/>
          <w:sz w:val="28"/>
          <w:szCs w:val="28"/>
        </w:rPr>
        <w:t>20,93±0,97 года</w:t>
      </w:r>
      <w:r w:rsidRPr="00916B3A">
        <w:rPr>
          <w:rFonts w:ascii="Times New Roman" w:eastAsia="Calibri" w:hAnsi="Times New Roman" w:cs="Times New Roman"/>
          <w:sz w:val="28"/>
          <w:szCs w:val="28"/>
        </w:rPr>
        <w:t xml:space="preserve">. </w:t>
      </w:r>
      <w:r w:rsidRPr="00916B3A">
        <w:rPr>
          <w:rFonts w:ascii="Times New Roman" w:hAnsi="Times New Roman" w:cs="Times New Roman"/>
          <w:sz w:val="28"/>
          <w:szCs w:val="28"/>
        </w:rPr>
        <w:t>Факторы риска и живорождения, о которых сообщили исследования, приведены в таблице 2. Полная таблица с факторами риска представлена в Дополнительной таблице 1.</w:t>
      </w:r>
      <w:r w:rsidRPr="00916B3A">
        <w:rPr>
          <w:rFonts w:ascii="Times New Roman" w:hAnsi="Times New Roman" w:cs="Times New Roman"/>
          <w:b/>
          <w:bCs/>
          <w:sz w:val="28"/>
          <w:szCs w:val="28"/>
        </w:rPr>
        <w:t xml:space="preserve"> </w:t>
      </w:r>
      <w:r w:rsidRPr="00916B3A">
        <w:rPr>
          <w:rFonts w:ascii="Times New Roman" w:eastAsia="Calibri" w:hAnsi="Times New Roman" w:cs="Times New Roman"/>
          <w:sz w:val="28"/>
          <w:szCs w:val="28"/>
        </w:rPr>
        <w:t xml:space="preserve">Недостаточная восприимчивость эндометрия является причиной двух третей неудачных имплантаций, в то время как только одна треть неудач зависит от качества </w:t>
      </w:r>
      <w:proofErr w:type="gramStart"/>
      <w:r w:rsidRPr="00916B3A">
        <w:rPr>
          <w:rFonts w:ascii="Times New Roman" w:eastAsia="Calibri" w:hAnsi="Times New Roman" w:cs="Times New Roman"/>
          <w:sz w:val="28"/>
          <w:szCs w:val="28"/>
        </w:rPr>
        <w:t>эмбриона(</w:t>
      </w:r>
      <w:proofErr w:type="gramEnd"/>
      <w:r w:rsidRPr="00916B3A">
        <w:rPr>
          <w:rFonts w:ascii="Times New Roman" w:eastAsia="Calibri" w:hAnsi="Times New Roman" w:cs="Times New Roman"/>
          <w:sz w:val="28"/>
          <w:szCs w:val="28"/>
        </w:rPr>
        <w:t xml:space="preserve">39). В метаанализе, проведенном Касиусом и соавт. </w:t>
      </w:r>
      <w:r w:rsidR="00B34D95"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{"citationItems":[{"id":"ITEM-1","itemData":{"DOI":"10.1093/humupd/dmu011","ISSN":"14602369","abstract":"Background: Thin endometrium on ultrasound in the course of ovarian hyperstimulation has been thought to be associated with poor success rates after IVF, even in the absence of prior intrauterine surgery or infection. To assess the clinical significance of endometrial thickness (EMT) for IVF outcome, we performed a systematic review and meta-analysis. Methods: The electronic databases Pubmed, Cochrane and Embase were searched up to October 2013 for articles that studied the association between EMT and IVF outcome. The articles had to be written in the English or Dutch language. Studies were included if two-by-two tables for EMT and pregnancy rates could be constructed. Study quality was scored using the Strengthening the Reporting of Observational Studies in Epidemiology (STROBE) checklist. Summary receiver operating characteristic (sROC) curves were estimated to assess the accuracy of EMT in the prediction of pregnancy. In addition, odds ratios (ORs) with 95% confidence intervals (CIs) were calculated using a Mantel-Haenszel random effect model expressing the association between EMT and pregnancy chances. Meta-regression was performed to determine if female age and number of oocytes at retrieval interacted in the estimated effect of EMT on IVF outcome. Results: A total of 1170 studies was retrieved by the search. The overall quality of the 22 studies included in the review and meta-analysis was moderate. The estimated sROC curve indicated a virtually absent discriminatory capacity of EMT in the prediction of pregnancy. A thin endometrium (≤7 mm) was observed in only 2.4% of the reported cases (260/10 724). In these cases a trend towards lower ongoing pregnancy and live birth rates for women with EMT ≤7 mm was observed [OR 0.38 (95% CI 0.09-1.5)]. The probability of clinical pregnancy for an EMT ≤7 mm was significantly lower compared with cases with EMT &gt; 7 mm [23.3% versus 48.1%, OR 0.42 (95% CI 0.27-0.67)]. Positive and negative predictive values for the outcome of clinical pregnancy 77 and 48%, respectively. The relationship between the number of oocytes and female age on the one hand and pregnancy on the other hand was very weak making correction for these variables unfeasible. Conclusions: Current data indicate that EMT has a limited capacity to identify women who have a low chance to conceive after IVF. The frequently reported cut-off of 7 mm is related to a lower chance of pregnancy, but occurs infrequently. The use of EMT as a tool to decide on …","author":[{"dropping-particle":"","family":"Kasius","given":"Annemieke","non-dropping-particle":"","parse-names":false,"suffix":""},{"dropping-particle":"","family":"Smit","given":"Janine G.","non-dropping-particle":"","parse-names":false,"suffix":""},{"dropping-particle":"","family":"Torrance","given":"Helen L.","non-dropping-particle":"","parse-names":false,"suffix":""},{"dropping-particle":"","family":"Eijkemans","given":"Marinus J.C.","non-dropping-particle":"","parse-names":false,"suffix":""},{"dropping-particle":"","family":"Mol","given":"Ben Willem","non-dropping-particle":"","parse-names":false,"suffix":""},{"dropping-particle":"","family":"Opmeer","given":"Brent C.","non-dropping-particle":"","parse-names":false,"suffix":""},{"dropping-particle":"","family":"Broekmans","given":"Frank J.M.","non-dropping-particle":"","parse-names":false,"suffix":""}],"container-title":"Human Reproduction Update","id":"ITEM-1","issue":"4","issued":{"date-parts":[["2014"]]},"page":"530-541","title":"Endometrial thickness and pregnancy rates after IVF: A systematic review and meta-analysis","type":"article-journal","volume":"20"},"uris":["http://www.mendeley.com/documents/?uuid=7638c948-18f4-34e3-b96c-ab5f50ca8d1d"]}],"mendeley":{"formattedCitation":"[7]","plainTextFormattedCitation":"[7]","previouslyFormattedCitation":"(7)"},"properties":{"noteIndex":0},"schema":"https://github.com/citation-style-language/schema/raw/master/csl-citation.json"}</w:instrText>
      </w:r>
      <w:r w:rsidR="00B34D95"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[7</w:t>
      </w:r>
      <w:r w:rsidR="00404317">
        <w:rPr>
          <w:rFonts w:ascii="Times New Roman" w:eastAsia="Calibri" w:hAnsi="Times New Roman" w:cs="Times New Roman"/>
          <w:noProof/>
          <w:sz w:val="28"/>
          <w:szCs w:val="28"/>
        </w:rPr>
        <w:t>, с. 530</w:t>
      </w:r>
      <w:r w:rsidR="008C6800" w:rsidRPr="008C6800">
        <w:rPr>
          <w:rFonts w:ascii="Times New Roman" w:eastAsia="Calibri" w:hAnsi="Times New Roman" w:cs="Times New Roman"/>
          <w:noProof/>
          <w:sz w:val="28"/>
          <w:szCs w:val="28"/>
        </w:rPr>
        <w:t>]</w:t>
      </w:r>
      <w:r w:rsidR="00B34D95" w:rsidRPr="00916B3A">
        <w:rPr>
          <w:rFonts w:ascii="Times New Roman" w:eastAsia="Calibri" w:hAnsi="Times New Roman" w:cs="Times New Roman"/>
          <w:sz w:val="28"/>
          <w:szCs w:val="28"/>
        </w:rPr>
        <w:fldChar w:fldCharType="end"/>
      </w:r>
      <w:r w:rsidRPr="00916B3A">
        <w:rPr>
          <w:rFonts w:ascii="Times New Roman" w:eastAsia="Calibri" w:hAnsi="Times New Roman" w:cs="Times New Roman"/>
          <w:sz w:val="28"/>
          <w:szCs w:val="28"/>
        </w:rPr>
        <w:t>было обнаружено, что частота клинической беременности была ниже, когда толщина эндометрия составлял &lt;7,0 мм, в то же время это не было связано с частотой беременностей</w:t>
      </w:r>
      <w:r w:rsidRPr="00916B3A">
        <w:rPr>
          <w:rFonts w:ascii="Times New Roman" w:eastAsia="Calibri" w:hAnsi="Times New Roman" w:cs="Times New Roman"/>
          <w:sz w:val="28"/>
          <w:szCs w:val="28"/>
          <w:lang w:val="kk-KZ"/>
        </w:rPr>
        <w:t xml:space="preserve"> </w:t>
      </w:r>
      <w:r w:rsidRPr="00916B3A">
        <w:rPr>
          <w:rFonts w:ascii="Times New Roman" w:eastAsia="Calibri" w:hAnsi="Times New Roman" w:cs="Times New Roman"/>
          <w:sz w:val="28"/>
          <w:szCs w:val="28"/>
        </w:rPr>
        <w:t xml:space="preserve">и живорождений. Метаанализ, проведенный </w:t>
      </w:r>
      <w:r w:rsidRPr="00916B3A">
        <w:rPr>
          <w:rFonts w:ascii="Times New Roman" w:eastAsia="Calibri" w:hAnsi="Times New Roman" w:cs="Times New Roman"/>
          <w:sz w:val="28"/>
          <w:szCs w:val="28"/>
          <w:lang w:val="en"/>
        </w:rPr>
        <w:t>Gao</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
        </w:rPr>
        <w:t>et</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
        </w:rPr>
        <w:t>al</w:t>
      </w:r>
      <w:r w:rsidRPr="00916B3A">
        <w:rPr>
          <w:rFonts w:ascii="Times New Roman" w:eastAsia="Calibri" w:hAnsi="Times New Roman" w:cs="Times New Roman"/>
          <w:sz w:val="28"/>
          <w:szCs w:val="28"/>
        </w:rPr>
        <w:t xml:space="preserve">. </w:t>
      </w:r>
      <w:r w:rsidR="00B34D95" w:rsidRPr="00916B3A">
        <w:rPr>
          <w:rFonts w:ascii="Times New Roman" w:eastAsia="Calibri" w:hAnsi="Times New Roman" w:cs="Times New Roman"/>
          <w:sz w:val="28"/>
          <w:szCs w:val="28"/>
        </w:rPr>
        <w:fldChar w:fldCharType="begin" w:fldLock="1"/>
      </w:r>
      <w:r w:rsidR="008C6800">
        <w:rPr>
          <w:rFonts w:ascii="Times New Roman" w:eastAsia="Calibri" w:hAnsi="Times New Roman" w:cs="Times New Roman"/>
          <w:sz w:val="28"/>
          <w:szCs w:val="28"/>
        </w:rPr>
        <w:instrText>ADDIN CSL_CITATION {"citationItems":[{"id":"ITEM-1","itemData":{"DOI":"10.1016/j.rbmo.2019.09.005","ISSN":"14726491","PMID":"31786047","abstract":"Research question: In this meta-analysis, the association between endometrial thickness (EMT) and cycle outcomes after IVF is explored. Associations between EMT and cycle outcomes according to study and individual characteristics were also assessed. Design: Studies evaluating associations between EMT and pregnancy, implantation, miscarriage, live birth or ongoing pregnancy and ectopic pregnancy rates in individuals after IVF were identified on PubMed, Embase and the Cochrane Library (from their inception up to December 2018). Pooled odds ratios with 95% confidence intervals, calculated using the random-effects model, were used. Results: Nine prospective and 21 retrospective studies, including a total of 88,056 cycles, were retrieved. The summary odds ratios indicated that women with lower EMT were associated with lower pregnancy rates than those with higher EMT (n = 30, OR 0.61; 95% CI 0.52 to 0.70; P &lt; 0.001). Moreover, the implantation rate in women with lower EMT was significantly reduced (n = 9, OR 0.49; 95% CI 0.32 to 0.74; P = 0.001). Furthermore, no significant association was found between EMT and the miscarriage rate (n = 12). In addition, women with lower EMT were associated with reduced live birth or ongoing pregnancy rate (11 studies, OR 0.60; 95% CI 0.48 to 0.73; P &lt; 0.001). Finally, the incidence of ectopic pregnancy rate between lower and higher EMT showed no statistically significant association (n = 3). Conclusions: Lower EMT was associated with lower pregnancy, implantation and live birth or ongoing pregnancy rates.","author":[{"dropping-particle":"","family":"Gao","given":"Ge","non-dropping-particle":"","parse-names":false,"suffix":""},{"dropping-particle":"","family":"Cui","given":"Xianfeng","non-dropping-particle":"","parse-names":false,"suffix":""},{"dropping-particle":"","family":"Li","given":"Shuang","non-dropping-particle":"","parse-names":false,"suffix":""},{"dropping-particle":"","family":"Ding","given":"Pan","non-dropping-particle":"","parse-names":false,"suffix":""},{"dropping-particle":"","family":"Zhang","given":"Shuai","non-dropping-particle":"","parse-names":false,"suffix":""},{"dropping-particle":"","family":"Zhang","given":"Yunshan","non-dropping-particle":"","parse-names":false,"suffix":""}],"container-title":"Reproductive BioMedicine Online","id":"ITEM-1","issue":"1","issued":{"date-parts":[["2020"]]},"page":"124-133","publisher":"Elsevier Ltd","title":"Endometrial thickness and IVF cycle outcomes: a meta-analysis","type":"article-journal","volume":"40"},"uris":["http://www.mendeley.com/documents/?uuid=6bab90b0-acae-47ca-999a-cca79e1af75e"]}],"mendeley":{"formattedCitation":"[39]","plainTextFormattedCitation":"[39]","previouslyFormattedCitation":"(39)"},"properties":{"noteIndex":0},"schema":"https://github.com/citation-style-language/schema/raw/master/csl-citation.json"}</w:instrText>
      </w:r>
      <w:r w:rsidR="00B34D95" w:rsidRPr="00916B3A">
        <w:rPr>
          <w:rFonts w:ascii="Times New Roman" w:eastAsia="Calibri" w:hAnsi="Times New Roman" w:cs="Times New Roman"/>
          <w:sz w:val="28"/>
          <w:szCs w:val="28"/>
        </w:rPr>
        <w:fldChar w:fldCharType="separate"/>
      </w:r>
      <w:r w:rsidR="008C6800" w:rsidRPr="008C6800">
        <w:rPr>
          <w:rFonts w:ascii="Times New Roman" w:eastAsia="Calibri" w:hAnsi="Times New Roman" w:cs="Times New Roman"/>
          <w:noProof/>
          <w:sz w:val="28"/>
          <w:szCs w:val="28"/>
        </w:rPr>
        <w:t>[39</w:t>
      </w:r>
      <w:r w:rsidR="00404317">
        <w:rPr>
          <w:rFonts w:ascii="Times New Roman" w:eastAsia="Calibri" w:hAnsi="Times New Roman" w:cs="Times New Roman"/>
          <w:noProof/>
          <w:sz w:val="28"/>
          <w:szCs w:val="28"/>
        </w:rPr>
        <w:t xml:space="preserve">, с. 124 </w:t>
      </w:r>
      <w:r w:rsidR="008C6800" w:rsidRPr="008C6800">
        <w:rPr>
          <w:rFonts w:ascii="Times New Roman" w:eastAsia="Calibri" w:hAnsi="Times New Roman" w:cs="Times New Roman"/>
          <w:noProof/>
          <w:sz w:val="28"/>
          <w:szCs w:val="28"/>
        </w:rPr>
        <w:t>]</w:t>
      </w:r>
      <w:r w:rsidR="00B34D95" w:rsidRPr="00916B3A">
        <w:rPr>
          <w:rFonts w:ascii="Times New Roman" w:eastAsia="Calibri" w:hAnsi="Times New Roman" w:cs="Times New Roman"/>
          <w:sz w:val="28"/>
          <w:szCs w:val="28"/>
        </w:rPr>
        <w:fldChar w:fldCharType="end"/>
      </w:r>
      <w:r w:rsidRPr="00916B3A">
        <w:rPr>
          <w:rFonts w:ascii="Times New Roman" w:eastAsia="Calibri" w:hAnsi="Times New Roman" w:cs="Times New Roman"/>
          <w:sz w:val="28"/>
          <w:szCs w:val="28"/>
        </w:rPr>
        <w:t xml:space="preserve">, изучал значительную роль толщины эндометрия в исходах беременности после ЭКО. Результаты этого исследования показали, что у женщин с более низким толщины эндометрия показатели беременности и живорождения были ниже, чем у женщин с более высокой толщиной, независимо от того, проводился свежий или замороженный цикл. В исследовании, проведенном </w:t>
      </w:r>
      <w:r w:rsidRPr="00916B3A">
        <w:rPr>
          <w:rFonts w:ascii="Times New Roman" w:eastAsia="Calibri" w:hAnsi="Times New Roman" w:cs="Times New Roman"/>
          <w:sz w:val="28"/>
          <w:szCs w:val="28"/>
          <w:lang w:val="en-US"/>
        </w:rPr>
        <w:t>Mahutte</w:t>
      </w:r>
      <w:r w:rsidRPr="00916B3A">
        <w:rPr>
          <w:rFonts w:ascii="Times New Roman" w:eastAsia="Calibri" w:hAnsi="Times New Roman" w:cs="Times New Roman"/>
          <w:sz w:val="28"/>
          <w:szCs w:val="28"/>
        </w:rPr>
        <w:t xml:space="preserve"> и соавт. </w:t>
      </w:r>
      <w:r w:rsidR="00B34D95"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{"citationItems":[{"id":"ITEM-1","itemData":{"DOI":"10.1016/j.fertnstert.2021.12.025","ISSN":"15565653","abstract":"Objective: To study the effect of increasing endometrial thickness on live birth rates in fresh and frozen-thaw embryo transfer (FET) cycles. Design: Retrospective cohort study. Setting: National data from Autologous in vitro fertilization (IVF) embryo transfer and FET cycles in Canada from the Canadian Assisted Reproductive Technology Registry Plus (CARTR Plus) database for records between January 2013 and December 2019. Patients: Thirty-three Canadians clinics participated in voluntary reporting of IVF and pregnancy outcomes to the Canadian Assisted Reproductive Technology Registry Plus database, and a total of 43,383 fresh and 53,377 frozen transfers were included. Intervention(s): None. Main Outcome Measure(s): Clinical pregnancy, pregnancy loss, and live birth rates. Results: In fresh IVF-embryo transfer cycles, increasing endometrial thickness is associated with significant increases in the mean number of oocytes retrieved, peak estradiol levels, number of usable embryos, clinical pregnancy rates, live birth rates, and mean term singleton birth weights, and a decrease in pregnancy loss rates. However, live birth rates plateau after 10–12 mm. In contrast, in FET cycles live birth rates plateau after the endometrium measures 7–10 mm. The improvement in live birth rates with increasing endometrial thickness was independent of patient age, timing of embryo transfer (e.g., cleavage stage vs. blastocyst stage), or the number of oocytes at retrieval. Conclusions: In cycles with a fresh embryo transfer, live birth rates increase significantly until an endometrial thickness of 10–12 mm, while in FET cycles live birth rates plateau after 7–10 mm. However, an endometrial thickness &lt;6 mm was associated clearly with a dramatic reduction in live birth rates in fresh and frozen embryo transfer cycles.","author":[{"dropping-particle":"","family":"Mahutte","given":"Neal","non-dropping-particle":"","parse-names":false,"suffix":""},{"dropping-particle":"","family":"Hartman","given":"Michael","non-dropping-particle":"","parse-names":false,"suffix":""},{"dropping-particle":"","family":"Meng","given":"Lynn","non-dropping-particle":"","parse-names":false,"suffix":""},{"dropping-particle":"","family":"Lanes","given":"Andrea","non-dropping-particle":"","parse-names":false,"suffix":""},{"dropping-particle":"","family":"Luo","given":"Zhong Cheng","non-dropping-particle":"","parse-names":false,"suffix":""},{"dropping-particle":"","family":"Liu","given":"Kimberly E.","non-dropping-particle":"","parse-names":false,"suffix":""}],"container-title":"Fertility and Sterility","id":"ITEM-1","issue":"4","issued":{"date-parts":[["2022"]]},"title":"Optimal endometrial thickness in fresh and frozen-thaw in vitro fertilization cycles: an analysis of live birth rates from 96,000 autologous embryo transfers","type":"article-journal","volume":"117"},"uris":["http://www.mendeley.com/documents/?uuid=809288f4-aca3-3f42-8db0-3654ad9789eb"]}],"mendeley":{"formattedCitation":"[46]","plainTextFormattedCitation":"[46]","previouslyFormattedCitation":"(46)"},"properties":{"noteIndex":0},"schema":"https://github.com/citation-style-language/schema/raw/master/csl-citation.json"}</w:instrText>
      </w:r>
      <w:r w:rsidR="00B34D95"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[46]</w:t>
      </w:r>
      <w:r w:rsidR="00B34D95" w:rsidRPr="00916B3A">
        <w:rPr>
          <w:rFonts w:ascii="Times New Roman" w:hAnsi="Times New Roman" w:cs="Times New Roman"/>
          <w:sz w:val="28"/>
          <w:szCs w:val="28"/>
        </w:rPr>
        <w:fldChar w:fldCharType="end"/>
      </w:r>
      <w:r w:rsidRPr="00916B3A">
        <w:rPr>
          <w:rFonts w:ascii="Times New Roman" w:eastAsia="Calibri" w:hAnsi="Times New Roman" w:cs="Times New Roman"/>
          <w:sz w:val="28"/>
          <w:szCs w:val="28"/>
        </w:rPr>
        <w:t xml:space="preserve">увеличение числа живорождений также наблюдалось в циклах переноса свежих эмбрионов с увеличением </w:t>
      </w:r>
      <w:r w:rsidRPr="00916B3A">
        <w:rPr>
          <w:rFonts w:ascii="Times New Roman" w:eastAsia="Calibri" w:hAnsi="Times New Roman" w:cs="Times New Roman"/>
          <w:sz w:val="28"/>
          <w:szCs w:val="28"/>
          <w:lang w:val="kk-KZ"/>
        </w:rPr>
        <w:t>толщины эндометрия</w:t>
      </w:r>
      <w:r w:rsidRPr="00916B3A">
        <w:rPr>
          <w:rFonts w:ascii="Times New Roman" w:eastAsia="Calibri" w:hAnsi="Times New Roman" w:cs="Times New Roman"/>
          <w:sz w:val="28"/>
          <w:szCs w:val="28"/>
        </w:rPr>
        <w:t xml:space="preserve"> до 10-12 мм, а в циклах замораживания живорождения увеличивается после 7-10 мм. Согласно исследованию </w:t>
      </w:r>
      <w:r w:rsidRPr="00916B3A">
        <w:rPr>
          <w:rFonts w:ascii="Times New Roman" w:eastAsia="Calibri" w:hAnsi="Times New Roman" w:cs="Times New Roman"/>
          <w:sz w:val="28"/>
          <w:szCs w:val="28"/>
          <w:lang w:val="en"/>
        </w:rPr>
        <w:t>Liu</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
        </w:rPr>
        <w:t>et</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en"/>
        </w:rPr>
        <w:t>al</w:t>
      </w:r>
      <w:r w:rsidRPr="00916B3A">
        <w:rPr>
          <w:rFonts w:ascii="Times New Roman" w:eastAsia="Calibri" w:hAnsi="Times New Roman" w:cs="Times New Roman"/>
          <w:sz w:val="28"/>
          <w:szCs w:val="28"/>
        </w:rPr>
        <w:t xml:space="preserve">. </w:t>
      </w:r>
      <w:r w:rsidR="00B34D95" w:rsidRPr="00916B3A">
        <w:rPr>
          <w:rFonts w:ascii="Times New Roman" w:hAnsi="Times New Roman" w:cs="Times New Roman"/>
          <w:sz w:val="28"/>
          <w:szCs w:val="28"/>
        </w:rPr>
        <w:fldChar w:fldCharType="begin" w:fldLock="1"/>
      </w:r>
      <w:r w:rsidR="008C6800">
        <w:rPr>
          <w:rFonts w:ascii="Times New Roman" w:hAnsi="Times New Roman" w:cs="Times New Roman"/>
          <w:sz w:val="28"/>
          <w:szCs w:val="28"/>
        </w:rPr>
        <w:instrText>ADDIN CSL_CITATION {"citationItems":[{"id":"ITEM-1","itemData":{"ISSN":"0268-1161","author":[{"dropping-particle":"","family":"Liu","given":"K E","non-dropping-particle":"","parse-names":false,"suffix":""},{"dropping-particle":"","family":"Hartman","given":"M","non-dropping-particle":"","parse-names":false,"suffix":""},{"dropping-particle":"","family":"Hartman","given":"A","non-dropping-particle":"","parse-names":false,"suffix":""},{"dropping-particle":"","family":"Luo","given":"Z-C","non-dropping-particle":"","parse-names":false,"suffix":""},{"dropping-particle":"","family":"Mahutte","given":"N","non-dropping-particle":"","parse-names":false,"suffix":""}],"container-title":"Human Reproduction","id":"ITEM-1","issue":"10","issued":{"date-parts":[["2018"]]},"page":"1883-1888","publisher":"Oxford University Press","title":"The impact of a thin endometrial lining on fresh and frozen–thaw IVF outcomes: an analysis of over 40 000 embryo transfers","type":"article-journal","volume":"33"},"uris":["http://www.mendeley.com/documents/?uuid=dfcce275-8b14-4607-80a3-11eb26e9fb77"]}],"mendeley":{"formattedCitation":"[38]","plainTextFormattedCitation":"[38]","previouslyFormattedCitation":"(38)"},"properties":{"noteIndex":0},"schema":"https://github.com/citation-style-language/schema/raw/master/csl-citation.json"}</w:instrText>
      </w:r>
      <w:r w:rsidR="00B34D95" w:rsidRPr="00916B3A">
        <w:rPr>
          <w:rFonts w:ascii="Times New Roman" w:hAnsi="Times New Roman" w:cs="Times New Roman"/>
          <w:sz w:val="28"/>
          <w:szCs w:val="28"/>
        </w:rPr>
        <w:fldChar w:fldCharType="separate"/>
      </w:r>
      <w:r w:rsidR="008C6800" w:rsidRPr="008C6800">
        <w:rPr>
          <w:rFonts w:ascii="Times New Roman" w:hAnsi="Times New Roman" w:cs="Times New Roman"/>
          <w:noProof/>
          <w:sz w:val="28"/>
          <w:szCs w:val="28"/>
        </w:rPr>
        <w:t>[38</w:t>
      </w:r>
      <w:r w:rsidR="00404317">
        <w:rPr>
          <w:rFonts w:ascii="Times New Roman" w:hAnsi="Times New Roman" w:cs="Times New Roman"/>
          <w:noProof/>
          <w:sz w:val="28"/>
          <w:szCs w:val="28"/>
        </w:rPr>
        <w:t>, с.</w:t>
      </w:r>
      <w:r w:rsidR="001231A3">
        <w:rPr>
          <w:rFonts w:ascii="Times New Roman" w:hAnsi="Times New Roman" w:cs="Times New Roman"/>
          <w:noProof/>
          <w:sz w:val="28"/>
          <w:szCs w:val="28"/>
        </w:rPr>
        <w:t xml:space="preserve"> 1883</w:t>
      </w:r>
      <w:r w:rsidR="008C6800" w:rsidRPr="008C6800">
        <w:rPr>
          <w:rFonts w:ascii="Times New Roman" w:hAnsi="Times New Roman" w:cs="Times New Roman"/>
          <w:noProof/>
          <w:sz w:val="28"/>
          <w:szCs w:val="28"/>
        </w:rPr>
        <w:t>]</w:t>
      </w:r>
      <w:r w:rsidR="00B34D95" w:rsidRPr="00916B3A">
        <w:rPr>
          <w:rFonts w:ascii="Times New Roman" w:hAnsi="Times New Roman" w:cs="Times New Roman"/>
          <w:sz w:val="28"/>
          <w:szCs w:val="28"/>
        </w:rPr>
        <w:fldChar w:fldCharType="end"/>
      </w:r>
      <w:r w:rsidRPr="00916B3A">
        <w:rPr>
          <w:rFonts w:ascii="Times New Roman" w:eastAsia="Calibri" w:hAnsi="Times New Roman" w:cs="Times New Roman"/>
          <w:sz w:val="28"/>
          <w:szCs w:val="28"/>
        </w:rPr>
        <w:t xml:space="preserve">показатели клинической беременности и живорождения снижаются с каждым миллиметром толщины эндометрия для новых циклов ЭКО ниже 8 мм и для циклов ЭКО  ниже 7 мм. Однако в этом обзоре мы видим, что существуют исследования, в которых показатели клинических беременностей и живорождений остаются весьма актуальными у пациенток с толщиной эндометрия от 4 до 6 мм. </w:t>
      </w:r>
    </w:p>
    <w:p w14:paraId="68146822" w14:textId="77777777" w:rsidR="00C11A77" w:rsidRPr="00916B3A" w:rsidRDefault="00C11A77" w:rsidP="00E475DC">
      <w:pPr>
        <w:spacing w:after="0" w:line="240" w:lineRule="auto"/>
        <w:ind w:firstLine="709"/>
        <w:contextualSpacing/>
        <w:jc w:val="both"/>
        <w:rPr>
          <w:rFonts w:ascii="Times New Roman" w:eastAsia="Calibri" w:hAnsi="Times New Roman" w:cs="Times New Roman"/>
          <w:sz w:val="28"/>
          <w:szCs w:val="28"/>
        </w:rPr>
      </w:pPr>
      <w:r w:rsidRPr="00916B3A">
        <w:rPr>
          <w:rFonts w:ascii="Times New Roman" w:eastAsia="Calibri" w:hAnsi="Times New Roman" w:cs="Times New Roman"/>
          <w:sz w:val="28"/>
          <w:szCs w:val="28"/>
          <w:lang w:val="kk-KZ"/>
        </w:rPr>
        <w:t xml:space="preserve">   </w:t>
      </w:r>
      <w:r w:rsidRPr="00916B3A">
        <w:rPr>
          <w:rFonts w:ascii="Times New Roman" w:eastAsia="Calibri" w:hAnsi="Times New Roman" w:cs="Times New Roman"/>
          <w:sz w:val="28"/>
          <w:szCs w:val="28"/>
        </w:rPr>
        <w:t>Анализ исследования показал, что взаимосвязь между толщиной эндометрия и живорождения у пациенток, перенесших новый цикл или внутриутробный, зависела от дизайна исследования, пороговых значений толщины эндометрия, значимых факторов риска, таких как возраст, ИМТ, тип бесплодия, история репродуктивных потерь, хирургические вмешательства в полости малого таза, неэффективность программ ЭКО, гормональный профиль, включая начальный уровень фолликулостимулирующего гормона и возможные причины и ограничений настоящего исследования</w:t>
      </w:r>
      <w:bookmarkStart w:id="22" w:name="_Hlk131331575"/>
      <w:r w:rsidRPr="00916B3A">
        <w:rPr>
          <w:rFonts w:ascii="Times New Roman" w:eastAsia="Calibri" w:hAnsi="Times New Roman" w:cs="Times New Roman"/>
          <w:sz w:val="28"/>
          <w:szCs w:val="28"/>
        </w:rPr>
        <w:t xml:space="preserve">: </w:t>
      </w:r>
      <w:bookmarkEnd w:id="22"/>
      <w:r w:rsidRPr="00916B3A">
        <w:rPr>
          <w:rFonts w:ascii="Times New Roman" w:eastAsia="Calibri" w:hAnsi="Times New Roman" w:cs="Times New Roman"/>
          <w:sz w:val="28"/>
          <w:szCs w:val="28"/>
        </w:rPr>
        <w:t>т</w:t>
      </w:r>
      <w:r w:rsidRPr="00916B3A">
        <w:rPr>
          <w:rFonts w:ascii="Times New Roman" w:eastAsia="Calibri" w:hAnsi="Times New Roman" w:cs="Times New Roman"/>
          <w:sz w:val="28"/>
          <w:szCs w:val="28"/>
          <w:lang w:val="kk-KZ"/>
        </w:rPr>
        <w:t xml:space="preserve">олько английского </w:t>
      </w:r>
      <w:r w:rsidRPr="00916B3A">
        <w:rPr>
          <w:rFonts w:ascii="Times New Roman" w:eastAsia="Calibri" w:hAnsi="Times New Roman" w:cs="Times New Roman"/>
          <w:sz w:val="28"/>
          <w:szCs w:val="28"/>
        </w:rPr>
        <w:t>языка</w:t>
      </w:r>
      <w:r w:rsidRPr="00916B3A">
        <w:rPr>
          <w:rFonts w:ascii="Times New Roman" w:eastAsia="Calibri" w:hAnsi="Times New Roman" w:cs="Times New Roman"/>
          <w:sz w:val="28"/>
          <w:szCs w:val="28"/>
          <w:lang w:val="kk-KZ"/>
        </w:rPr>
        <w:t xml:space="preserve"> были включены; </w:t>
      </w:r>
      <w:r w:rsidRPr="00916B3A">
        <w:rPr>
          <w:rFonts w:ascii="Times New Roman" w:eastAsia="Calibri" w:hAnsi="Times New Roman" w:cs="Times New Roman"/>
          <w:sz w:val="28"/>
          <w:szCs w:val="28"/>
        </w:rPr>
        <w:t xml:space="preserve">большинство исследований </w:t>
      </w:r>
      <w:r w:rsidRPr="00916B3A">
        <w:rPr>
          <w:rFonts w:ascii="Times New Roman" w:eastAsia="Calibri" w:hAnsi="Times New Roman" w:cs="Times New Roman"/>
          <w:sz w:val="28"/>
          <w:szCs w:val="28"/>
          <w:lang w:val="kk-KZ"/>
        </w:rPr>
        <w:t>были из Китая,</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kk-KZ"/>
        </w:rPr>
        <w:t xml:space="preserve">по </w:t>
      </w:r>
      <w:r w:rsidRPr="00916B3A">
        <w:rPr>
          <w:rFonts w:ascii="Times New Roman" w:eastAsia="Calibri" w:hAnsi="Times New Roman" w:cs="Times New Roman"/>
          <w:sz w:val="28"/>
          <w:szCs w:val="28"/>
        </w:rPr>
        <w:t>дизайн</w:t>
      </w:r>
      <w:r w:rsidRPr="00916B3A">
        <w:rPr>
          <w:rFonts w:ascii="Times New Roman" w:eastAsia="Calibri" w:hAnsi="Times New Roman" w:cs="Times New Roman"/>
          <w:sz w:val="28"/>
          <w:szCs w:val="28"/>
          <w:lang w:val="kk-KZ"/>
        </w:rPr>
        <w:t xml:space="preserve">у ретроспективные </w:t>
      </w:r>
      <w:r w:rsidRPr="00916B3A">
        <w:rPr>
          <w:rFonts w:ascii="Times New Roman" w:eastAsia="Calibri" w:hAnsi="Times New Roman" w:cs="Times New Roman"/>
          <w:sz w:val="28"/>
          <w:szCs w:val="28"/>
        </w:rPr>
        <w:t xml:space="preserve"> исследования был использован в большинстве исследований; различные пороговые значения толщины эндометрия, что в свою очередь может существенно изменить соотношение со исходы беременности; различные процедуры ЭКО протоколов в свежем или замороженных циклов.</w:t>
      </w:r>
    </w:p>
    <w:p w14:paraId="71EBDB75" w14:textId="5CD9B726" w:rsidR="00C11A77" w:rsidRPr="00916B3A" w:rsidRDefault="00C11A77" w:rsidP="00E475DC">
      <w:pPr>
        <w:spacing w:after="0" w:line="240" w:lineRule="auto"/>
        <w:ind w:firstLine="709"/>
        <w:contextualSpacing/>
        <w:jc w:val="both"/>
        <w:rPr>
          <w:rFonts w:ascii="Times New Roman" w:eastAsia="Calibri" w:hAnsi="Times New Roman" w:cs="Times New Roman"/>
          <w:sz w:val="28"/>
          <w:szCs w:val="28"/>
        </w:rPr>
      </w:pPr>
      <w:r w:rsidRPr="00916B3A">
        <w:rPr>
          <w:rFonts w:ascii="Times New Roman" w:eastAsia="Calibri" w:hAnsi="Times New Roman" w:cs="Times New Roman"/>
          <w:sz w:val="28"/>
          <w:szCs w:val="28"/>
        </w:rPr>
        <w:t xml:space="preserve">В базах данных имеется множество исследований, и много противоречивых результатов, но различные факторы риска показали, что толщина эндометрия можно использовать в качестве предиктора беременности и живорождения в свежем или замороженном циклах. </w:t>
      </w:r>
      <w:bookmarkStart w:id="23" w:name="_Hlk131349358"/>
      <w:r w:rsidRPr="00916B3A">
        <w:rPr>
          <w:rFonts w:ascii="Times New Roman" w:eastAsia="Calibri" w:hAnsi="Times New Roman" w:cs="Times New Roman"/>
          <w:sz w:val="28"/>
          <w:szCs w:val="28"/>
        </w:rPr>
        <w:t>Среди факторов риска для тонкого эндометрия внимание привлекли история повторяющихся репродуктивных потерь, связанных с хирургическими абортами, эндометриоз у женщин с вторичным бесплодием, а также тру</w:t>
      </w:r>
      <w:r w:rsidR="00785E8A" w:rsidRPr="00916B3A">
        <w:rPr>
          <w:rFonts w:ascii="Times New Roman" w:eastAsia="Calibri" w:hAnsi="Times New Roman" w:cs="Times New Roman"/>
          <w:sz w:val="28"/>
          <w:szCs w:val="28"/>
        </w:rPr>
        <w:t>бные факторы бесплодия</w:t>
      </w:r>
      <w:r w:rsidRPr="00916B3A">
        <w:rPr>
          <w:rFonts w:ascii="Times New Roman" w:eastAsia="Calibri" w:hAnsi="Times New Roman" w:cs="Times New Roman"/>
          <w:sz w:val="28"/>
          <w:szCs w:val="28"/>
        </w:rPr>
        <w:t>.</w:t>
      </w:r>
      <w:bookmarkEnd w:id="23"/>
    </w:p>
    <w:p w14:paraId="004F020E" w14:textId="25835D2C" w:rsidR="00C11A77" w:rsidRPr="00916B3A" w:rsidRDefault="00C11A77" w:rsidP="00E475DC">
      <w:pPr>
        <w:spacing w:after="0" w:line="240" w:lineRule="auto"/>
        <w:ind w:firstLine="709"/>
        <w:jc w:val="both"/>
        <w:rPr>
          <w:rFonts w:ascii="Times New Roman" w:hAnsi="Times New Roman" w:cs="Times New Roman"/>
          <w:sz w:val="28"/>
          <w:szCs w:val="28"/>
        </w:rPr>
      </w:pPr>
      <w:r w:rsidRPr="00916B3A">
        <w:rPr>
          <w:rFonts w:ascii="Times New Roman" w:hAnsi="Times New Roman" w:cs="Times New Roman"/>
          <w:bCs/>
          <w:color w:val="231F20"/>
          <w:spacing w:val="-6"/>
          <w:sz w:val="28"/>
          <w:szCs w:val="28"/>
          <w:lang w:val="kk-KZ"/>
        </w:rPr>
        <w:t xml:space="preserve">Результаты ЭКО у пациенток с нарушенной рецептивностью эндометрия зависят не только от состояния эндометрия. Факторы риска и толщина эндомтерия  существенно влияют на частоту рождения живых детей в свежих и замороженных циклах. Согласно результатам систематического обзора, у женщин с нарушенной рецептивностью эндометрия важно применять персонализированный подход с эффективными методами лечения для достижения адекватной толщины с улучшенной рецептивностью эндометрия. </w:t>
      </w:r>
      <w:r w:rsidRPr="00916B3A">
        <w:rPr>
          <w:rFonts w:ascii="Times New Roman" w:hAnsi="Times New Roman" w:cs="Times New Roman"/>
          <w:sz w:val="28"/>
          <w:szCs w:val="28"/>
        </w:rPr>
        <w:t xml:space="preserve">В последние годы среди многочисленных причин невынашивания беременности большой интерес привлекает концепция эндометриопатий и нарушений имплантации, связанных с «тонким» эндометрием. </w:t>
      </w:r>
      <w:r w:rsidRPr="00916B3A">
        <w:rPr>
          <w:rStyle w:val="aff5"/>
          <w:rFonts w:ascii="Times New Roman" w:eastAsiaTheme="majorEastAsia" w:hAnsi="Times New Roman" w:cs="Times New Roman"/>
          <w:sz w:val="28"/>
          <w:szCs w:val="28"/>
        </w:rPr>
        <w:t xml:space="preserve">Основными признаками зрелости эндометрия и критериями прогноза успешного течения беременности, на которые ориентируются в клинической практике, являются толщина, морфологическая структура и рецептивность эндометрия. </w:t>
      </w:r>
      <w:r w:rsidRPr="00916B3A">
        <w:rPr>
          <w:rFonts w:ascii="Times New Roman" w:hAnsi="Times New Roman" w:cs="Times New Roman"/>
          <w:color w:val="000000"/>
          <w:sz w:val="28"/>
          <w:szCs w:val="28"/>
        </w:rPr>
        <w:t>Качественную оценку состояния эндометрия и точное измерение его толщины осуществляют с помощью трансвагинальной эхографии, которая позволяет четко видеть границу между слизистой оболочкой и миометрием</w:t>
      </w:r>
      <w:r w:rsidRPr="00916B3A">
        <w:rPr>
          <w:rStyle w:val="aff5"/>
          <w:rFonts w:ascii="Times New Roman" w:eastAsiaTheme="majorEastAsia" w:hAnsi="Times New Roman" w:cs="Times New Roman"/>
          <w:sz w:val="28"/>
          <w:szCs w:val="28"/>
        </w:rPr>
        <w:t xml:space="preserve">. </w:t>
      </w:r>
      <w:r w:rsidRPr="00916B3A">
        <w:rPr>
          <w:rFonts w:ascii="Times New Roman" w:hAnsi="Times New Roman" w:cs="Times New Roman"/>
          <w:color w:val="000000"/>
          <w:sz w:val="28"/>
          <w:szCs w:val="28"/>
        </w:rPr>
        <w:t>Толщина М-эхо в естественных циклах под влиянием гормональной регуляции достигает наибольших численных значений в середине секреторной фазы и к моменту овуляции в норме по данным УЗИ достигает 8–12 мм</w:t>
      </w:r>
      <w:r w:rsidR="00A071D5" w:rsidRPr="00916B3A">
        <w:rPr>
          <w:rFonts w:ascii="Times New Roman" w:hAnsi="Times New Roman" w:cs="Times New Roman"/>
          <w:color w:val="000000"/>
          <w:sz w:val="28"/>
          <w:szCs w:val="28"/>
        </w:rPr>
        <w:t>.</w:t>
      </w:r>
    </w:p>
    <w:p w14:paraId="720E91F3" w14:textId="4D586C83" w:rsidR="00C11A77" w:rsidRPr="00916B3A" w:rsidRDefault="00C11A77" w:rsidP="00E475DC">
      <w:pPr>
        <w:spacing w:after="0" w:line="240" w:lineRule="auto"/>
        <w:ind w:firstLine="709"/>
        <w:contextualSpacing/>
        <w:jc w:val="both"/>
        <w:rPr>
          <w:rFonts w:ascii="Times New Roman" w:eastAsia="Calibri" w:hAnsi="Times New Roman" w:cs="Times New Roman"/>
          <w:sz w:val="28"/>
          <w:szCs w:val="28"/>
        </w:rPr>
      </w:pPr>
      <w:bookmarkStart w:id="24" w:name="_Hlk127131065"/>
      <w:r w:rsidRPr="00916B3A">
        <w:rPr>
          <w:rFonts w:ascii="Times New Roman" w:eastAsia="Calibri" w:hAnsi="Times New Roman" w:cs="Times New Roman"/>
          <w:sz w:val="28"/>
          <w:szCs w:val="28"/>
        </w:rPr>
        <w:t>Существует множество факторов, влияющих на успех программ вспомогательных репродуктивных технологий (ВРТ), включая возраст матери, характеристики эндометрия, такие как структура эндометрия, толщина эндометрия (ЭТ), субэндометриальный кровоток и количество эм</w:t>
      </w:r>
      <w:r w:rsidR="002B5C33">
        <w:rPr>
          <w:rFonts w:ascii="Times New Roman" w:eastAsia="Calibri" w:hAnsi="Times New Roman" w:cs="Times New Roman"/>
          <w:sz w:val="28"/>
          <w:szCs w:val="28"/>
        </w:rPr>
        <w:t>брионов, доступных для переноса</w:t>
      </w:r>
      <w:r w:rsidRPr="00916B3A">
        <w:rPr>
          <w:rFonts w:ascii="Times New Roman" w:eastAsia="Calibri" w:hAnsi="Times New Roman" w:cs="Times New Roman"/>
          <w:sz w:val="28"/>
          <w:szCs w:val="28"/>
        </w:rPr>
        <w:t xml:space="preserve"> </w:t>
      </w:r>
      <w:r w:rsidR="004F146D" w:rsidRPr="00916B3A">
        <w:rPr>
          <w:rFonts w:ascii="Times New Roman" w:hAnsi="Times New Roman" w:cs="Times New Roman"/>
          <w:sz w:val="28"/>
          <w:szCs w:val="28"/>
        </w:rPr>
        <w:fldChar w:fldCharType="begin" w:fldLock="1"/>
      </w:r>
      <w:r w:rsidR="004F146D">
        <w:rPr>
          <w:rFonts w:ascii="Times New Roman" w:hAnsi="Times New Roman" w:cs="Times New Roman"/>
          <w:sz w:val="28"/>
          <w:szCs w:val="28"/>
        </w:rPr>
        <w:instrText>ADDIN CSL_CITATION {"citationItems":[{"id":"ITEM-1","itemData":{"DOI":"10.1093/humupd/dmu011","ISSN":"14602369","abstract":"Background: Thin endometrium on ultrasound in the course of ovarian hyperstimulation has been thought to be associated with poor success rates after IVF, even in the absence of prior intrauterine surgery or infection. To assess the clinical significance of endometrial thickness (EMT) for IVF outcome, we performed a systematic review and meta-analysis. Methods: The electronic databases Pubmed, Cochrane and Embase were searched up to October 2013 for articles that studied the association between EMT and IVF outcome. The articles had to be written in the English or Dutch language. Studies were included if two-by-two tables for EMT and pregnancy rates could be constructed. Study quality was scored using the Strengthening the Reporting of Observational Studies in Epidemiology (STROBE) checklist. Summary receiver operating characteristic (sROC) curves were estimated to assess the accuracy of EMT in the prediction of pregnancy. In addition, odds ratios (ORs) with 95% confidence intervals (CIs) were calculated using a Mantel-Haenszel random effect model expressing the association between EMT and pregnancy chances. Meta-regression was performed to determine if female age and number of oocytes at retrieval interacted in the estimated effect of EMT on IVF outcome. Results: A total of 1170 studies was retrieved by the search. The overall quality of the 22 studies included in the review and meta-analysis was moderate. The estimated sROC curve indicated a virtually absent discriminatory capacity of EMT in the prediction of pregnancy. A thin endometrium (≤7 mm) was observed in only 2.4% of the reported cases (260/10 724). In these cases a trend towards lower ongoing pregnancy and live birth rates for women with EMT ≤7 mm was observed [OR 0.38 (95% CI 0.09-1.5)]. The probability of clinical pregnancy for an EMT ≤7 mm was significantly lower compared with cases with EMT &gt; 7 mm [23.3% versus 48.1%, OR 0.42 (95% CI 0.27-0.67)]. Positive and negative predictive values for the outcome of clinical pregnancy 77 and 48%, respectively. The relationship between the number of oocytes and female age on the one hand and pregnancy on the other hand was very weak making correction for these variables unfeasible. Conclusions: Current data indicate that EMT has a limited capacity to identify women who have a low chance to conceive after IVF. The frequently reported cut-off of 7 mm is related to a lower chance of pregnancy, but occurs infrequently. The use of EMT as a tool to decide on …","author":[{"dropping-particle":"","family":"Kasius","given":"Annemieke","non-dropping-particle":"","parse-names":false,"suffix":""},{"dropping-particle":"","family":"Smit","given":"Janine G.","non-dropping-particle":"","parse-names":false,"suffix":""},{"dropping-particle":"","family":"Torrance","given":"Helen L.","non-dropping-particle":"","parse-names":false,"suffix":""},{"dropping-particle":"","family":"Eijkemans","given":"Marinus J.C.","non-dropping-particle":"","parse-names":false,"suffix":""},{"dropping-particle":"","family":"Mol","given":"Ben Willem","non-dropping-particle":"","parse-names":false,"suffix":""},{"dropping-particle":"","family":"Opmeer","given":"Brent C.","non-dropping-particle":"","parse-names":false,"suffix":""},{"dropping-particle":"","family":"Broekmans","given":"Frank J.M.","non-dropping-particle":"","parse-names":false,"suffix":""}],"container-title":"Human Reproduction Update","id":"ITEM-1","issue":"4","issued":{"date-parts":[["2014"]]},"page":"530-541","title":"Endometrial thickness and pregnancy rates after IVF: A systematic review and meta-analysis","type":"article-journal","volume":"20"},"uris":["http://www.mendeley.com/documents/?uuid=7638c948-18f4-34e3-b96c-ab5f50ca8d1d"]}],"mendeley":{"formattedCitation":"[7]","plainTextFormattedCitation":"[7]","previouslyFormattedCitation":"(7)"},"properties":{"noteIndex":0},"schema":"https://github.com/citation-style-language/schema/raw/master/csl-citation.json"}</w:instrText>
      </w:r>
      <w:r w:rsidR="004F146D" w:rsidRPr="00916B3A">
        <w:rPr>
          <w:rFonts w:ascii="Times New Roman" w:hAnsi="Times New Roman" w:cs="Times New Roman"/>
          <w:sz w:val="28"/>
          <w:szCs w:val="28"/>
        </w:rPr>
        <w:fldChar w:fldCharType="separate"/>
      </w:r>
      <w:r w:rsidR="001231A3">
        <w:rPr>
          <w:rFonts w:ascii="Times New Roman" w:hAnsi="Times New Roman" w:cs="Times New Roman"/>
          <w:noProof/>
          <w:sz w:val="28"/>
          <w:szCs w:val="28"/>
        </w:rPr>
        <w:t>[</w:t>
      </w:r>
      <w:r w:rsidR="004F146D" w:rsidRPr="008C6800">
        <w:rPr>
          <w:rFonts w:ascii="Times New Roman" w:hAnsi="Times New Roman" w:cs="Times New Roman"/>
          <w:noProof/>
          <w:sz w:val="28"/>
          <w:szCs w:val="28"/>
        </w:rPr>
        <w:t>55</w:t>
      </w:r>
      <w:r w:rsidR="001231A3">
        <w:rPr>
          <w:rFonts w:ascii="Times New Roman" w:hAnsi="Times New Roman" w:cs="Times New Roman"/>
          <w:noProof/>
          <w:sz w:val="28"/>
          <w:szCs w:val="28"/>
        </w:rPr>
        <w:t>, с. 524</w:t>
      </w:r>
      <w:r w:rsidR="004F146D" w:rsidRPr="008C6800">
        <w:rPr>
          <w:rFonts w:ascii="Times New Roman" w:hAnsi="Times New Roman" w:cs="Times New Roman"/>
          <w:noProof/>
          <w:sz w:val="28"/>
          <w:szCs w:val="28"/>
        </w:rPr>
        <w:t>]</w:t>
      </w:r>
      <w:r w:rsidR="004F146D" w:rsidRPr="00916B3A">
        <w:rPr>
          <w:rFonts w:ascii="Times New Roman" w:hAnsi="Times New Roman" w:cs="Times New Roman"/>
          <w:sz w:val="28"/>
          <w:szCs w:val="28"/>
        </w:rPr>
        <w:fldChar w:fldCharType="end"/>
      </w:r>
      <w:r w:rsidR="004F146D">
        <w:rPr>
          <w:rFonts w:ascii="Times New Roman" w:hAnsi="Times New Roman" w:cs="Times New Roman"/>
          <w:sz w:val="28"/>
          <w:szCs w:val="28"/>
        </w:rPr>
        <w:t xml:space="preserve">. </w:t>
      </w:r>
      <w:r w:rsidRPr="00916B3A">
        <w:rPr>
          <w:rFonts w:ascii="Times New Roman" w:eastAsia="Calibri" w:hAnsi="Times New Roman" w:cs="Times New Roman"/>
          <w:sz w:val="28"/>
          <w:szCs w:val="28"/>
        </w:rPr>
        <w:t>Хотя рутинный мониторинг толщины эндометрия во время стимуляции яичников не рекомендуется, его можно измерить с помощью ультразвукового исследования во время аспирации яйцеклеток или в день запуска, чтобы обнаружить очень тонкий эндометрий, который может повлиять на исход процедур ВРТ</w:t>
      </w:r>
      <w:r w:rsidR="004F146D" w:rsidRPr="00916B3A">
        <w:rPr>
          <w:rFonts w:ascii="Times New Roman" w:eastAsia="Calibri" w:hAnsi="Times New Roman" w:cs="Times New Roman"/>
          <w:sz w:val="28"/>
          <w:szCs w:val="28"/>
        </w:rPr>
        <w:fldChar w:fldCharType="begin" w:fldLock="1"/>
      </w:r>
      <w:r w:rsidR="004F146D">
        <w:rPr>
          <w:rFonts w:ascii="Times New Roman" w:eastAsia="Calibri" w:hAnsi="Times New Roman" w:cs="Times New Roman"/>
          <w:sz w:val="28"/>
          <w:szCs w:val="28"/>
        </w:rPr>
        <w:instrText>ADDIN CSL_CITATION {"citationItems":[{"id":"ITEM-1","itemData":{"DOI":"10.1093/hropen/hoaa009","ISSN":"2399-3529","PMID":"32395637","abstract":"STUDY QUESTION What is the recommended management of ovarian stimulation, based on the best available evidence in the literature? SUMMARY ANSWER The guideline development group formulated 84 recommendations answering 18 key questions on ovarian stimulation. WHAT IS KNOWN ALREADY Ovarian stimulation for IVF/ICSI has been discussed briefly in the National Institute for Health and Care Excellence guideline on fertility problems, and the Royal Australian and New Zealand College of Obstetricians and Gynaecologist has published a statement on ovarian stimulation in assisted reproduction. There are, to our knowledge, no evidence-based guidelines dedicated to the process of ovarian stimulation. STUDY DESIGN SIZE DURATION The guideline was developed according to the structured methodology for development of ESHRE guidelines. After formulation of key questions by a group of experts, literature searches and assessments were performed. Papers published up to 8 November 2018 and written in English were included. The critical outcomes for this guideline were efficacy in terms of cumulative live birth rate per started cycle or live birth rate per started cycle, as well as safety in terms of the rate of occurrence of moderate and/or severe ovarian hyperstimulation syndrome (OHSS). PARTICIPANTS/MATERIALS SETTING METHODS Based on the collected evidence, recommendations were formulated and discussed until consensus was reached within the guideline group. A stakeholder review was organized after finalization of the draft. The final version was approved by the guideline group and the ESHRE Executive Committee. MAIN RESULTS AND THE ROLE OF CHANCE The guideline provides 84 recommendations: 7 recommendations on pre-stimulation management, 40 recommendations on LH suppression and gonadotrophin stimulation, 11 recommendations on monitoring during ovarian stimulation, 18 recommendations on triggering of final oocyte maturation and luteal support and 8 recommendations on the prevention of OHSS. These include 61 evidence-based recommendations-of which only 21 were formulated as strong recommendations-and 19 good practice points and 4 research-only recommendations. The guideline includes a strong recommendation for the use of either antral follicle count or anti-Müllerian hormone (instead of other ovarian reserve tests) to predict high and poor response to ovarian stimulation. The guideline also includes a strong recommendation for the use of the GnRH antagonist protocol over the Gn…","author":[{"dropping-particle":"","family":"Bosch","given":"Ernesto","non-dropping-particle":"","parse-names":false,"suffix":""},{"dropping-particle":"","family":"Broer","given":"Simone","non-dropping-particle":"","parse-names":false,"suffix":""},{"dropping-particle":"","family":"Griesinger","given":"Georg","non-dropping-particle":"","parse-names":false,"suffix":""},{"dropping-particle":"","family":"Grynberg","given":"Michael","non-dropping-particle":"","parse-names":false,"suffix":""},{"dropping-particle":"","family":"Humaidan","given":"Peter","non-dropping-particle":"","parse-names":false,"suffix":""},{"dropping-particle":"","family":"Kolibianakis","given":"Estratios","non-dropping-particle":"","parse-names":false,"suffix":""},{"dropping-particle":"","family":"Kunicki","given":"Michal","non-dropping-particle":"","parse-names":false,"suffix":""},{"dropping-particle":"","family":"Marca","given":"Antonio","non-dropping-particle":"La","parse-names":false,"suffix":""},{"dropping-particle":"","family":"Lainas","given":"George","non-dropping-particle":"","parse-names":false,"suffix":""},{"dropping-particle":"","family":"Clef","given":"Nathalie","non-dropping-particle":"Le","parse-names":false,"suffix":""},{"dropping-particle":"","family":"Massin","given":"Nathalie","non-dropping-particle":"","parse-names":false,"suffix":""},{"dropping-particle":"","family":"Mastenbroek","given":"Sebastiaan","non-dropping-particle":"","parse-names":false,"suffix":""},{"dropping-particle":"","family":"Polyzos","given":"Nikolaos","non-dropping-particle":"","parse-names":false,"suffix":""},{"dropping-particle":"","family":"Sunkara","given":"Sesh Kamal","non-dropping-particle":"","parse-names":false,"suffix":""},{"dropping-particle":"","family":"Timeva","given":"Tanya","non-dropping-particle":"","parse-names":false,"suffix":""},{"dropping-particle":"","family":"Töyli","given":"Mira","non-dropping-particle":"","parse-names":false,"suffix":""},{"dropping-particle":"","family":"Urbancsek","given":"Janos","non-dropping-particle":"","parse-names":false,"suffix":""},{"dropping-particle":"","family":"Vermeulen","given":"Nathalie","non-dropping-particle":"","parse-names":false,"suffix":""},{"dropping-particle":"","family":"Broekmans","given":"Frank","non-dropping-particle":"","parse-names":false,"suffix":""}],"container-title":"Human Reproduction Open","id":"ITEM-1","issue":"2","issued":{"date-parts":[["2020"]]},"page":"1-13","title":"ESHRE guideline: ovarian stimulation for IVF/ICSI†","type":"article-journal","volume":"2020"},"uris":["http://www.mendeley.com/documents/?uuid=5a7017ae-ac21-41b9-9b34-24f8549f1f6f"]}],"mendeley":{"formattedCitation":"[56]","plainTextFormattedCitation":"[56]","previouslyFormattedCitation":"(56)"},"properties":{"noteIndex":0},"schema":"https://github.com/citation-style-language/schema/raw/master/csl-citation.json"}</w:instrText>
      </w:r>
      <w:r w:rsidR="004F146D" w:rsidRPr="00916B3A">
        <w:rPr>
          <w:rFonts w:ascii="Times New Roman" w:eastAsia="Calibri" w:hAnsi="Times New Roman" w:cs="Times New Roman"/>
          <w:sz w:val="28"/>
          <w:szCs w:val="28"/>
        </w:rPr>
        <w:fldChar w:fldCharType="separate"/>
      </w:r>
      <w:r w:rsidR="004F146D" w:rsidRPr="008C6800">
        <w:rPr>
          <w:rFonts w:ascii="Times New Roman" w:eastAsia="Calibri" w:hAnsi="Times New Roman" w:cs="Times New Roman"/>
          <w:noProof/>
          <w:sz w:val="28"/>
          <w:szCs w:val="28"/>
        </w:rPr>
        <w:t>[56</w:t>
      </w:r>
      <w:r w:rsidR="001231A3">
        <w:rPr>
          <w:rFonts w:ascii="Times New Roman" w:eastAsia="Calibri" w:hAnsi="Times New Roman" w:cs="Times New Roman"/>
          <w:noProof/>
          <w:sz w:val="28"/>
          <w:szCs w:val="28"/>
        </w:rPr>
        <w:t>, с.1</w:t>
      </w:r>
      <w:r w:rsidR="004F146D" w:rsidRPr="008C6800">
        <w:rPr>
          <w:rFonts w:ascii="Times New Roman" w:eastAsia="Calibri" w:hAnsi="Times New Roman" w:cs="Times New Roman"/>
          <w:noProof/>
          <w:sz w:val="28"/>
          <w:szCs w:val="28"/>
        </w:rPr>
        <w:t>]</w:t>
      </w:r>
      <w:r w:rsidR="004F146D" w:rsidRPr="00916B3A">
        <w:rPr>
          <w:rFonts w:ascii="Times New Roman" w:eastAsia="Calibri" w:hAnsi="Times New Roman" w:cs="Times New Roman"/>
          <w:sz w:val="28"/>
          <w:szCs w:val="28"/>
        </w:rPr>
        <w:fldChar w:fldCharType="end"/>
      </w:r>
      <w:r w:rsidR="004F146D">
        <w:rPr>
          <w:rFonts w:ascii="Times New Roman" w:eastAsia="Calibri" w:hAnsi="Times New Roman" w:cs="Times New Roman"/>
          <w:sz w:val="28"/>
          <w:szCs w:val="28"/>
        </w:rPr>
        <w:t>.</w:t>
      </w:r>
    </w:p>
    <w:bookmarkEnd w:id="24"/>
    <w:p w14:paraId="4F3379C3" w14:textId="1CCFC995" w:rsidR="004C47CB" w:rsidRPr="00D470B7" w:rsidRDefault="004C47CB" w:rsidP="004C47CB">
      <w:pPr>
        <w:spacing w:after="0" w:line="240" w:lineRule="auto"/>
        <w:ind w:firstLine="709"/>
        <w:contextualSpacing/>
        <w:jc w:val="both"/>
        <w:rPr>
          <w:rFonts w:ascii="Times New Roman" w:eastAsia="Calibri" w:hAnsi="Times New Roman" w:cs="Times New Roman"/>
          <w:sz w:val="28"/>
          <w:szCs w:val="28"/>
        </w:rPr>
      </w:pPr>
      <w:r w:rsidRPr="00916B3A">
        <w:rPr>
          <w:rFonts w:ascii="Times New Roman" w:eastAsia="Calibri" w:hAnsi="Times New Roman" w:cs="Times New Roman"/>
          <w:sz w:val="28"/>
          <w:szCs w:val="28"/>
        </w:rPr>
        <w:t xml:space="preserve">За прошедшие годы появилось множество публикаций о потенциальных сонографических маркерах восприимчивости эндометрия </w:t>
      </w:r>
      <w:r w:rsidRPr="00916B3A">
        <w:rPr>
          <w:rFonts w:ascii="Times New Roman" w:eastAsia="Calibri" w:hAnsi="Times New Roman" w:cs="Times New Roman"/>
          <w:sz w:val="28"/>
          <w:szCs w:val="28"/>
        </w:rPr>
        <w:fldChar w:fldCharType="begin" w:fldLock="1"/>
      </w:r>
      <w:r>
        <w:rPr>
          <w:rFonts w:ascii="Times New Roman" w:eastAsia="Calibri" w:hAnsi="Times New Roman" w:cs="Times New Roman"/>
          <w:sz w:val="28"/>
          <w:szCs w:val="28"/>
        </w:rPr>
        <w:instrText>ADDIN CSL_CITATION {"citationItems":[{"id":"ITEM-1","itemData":{"ISSN":"0165-0378","author":[{"dropping-particle":"","family":"Lédée","given":"Nathalie","non-dropping-particle":"","parse-names":false,"suffix":""},{"dropping-particle":"","family":"Chaouat","given":"Gérard","non-dropping-particle":"","parse-names":false,"suffix":""},{"dropping-particle":"","family":"Serazin","given":"Valérie","non-dropping-particle":"","parse-names":false,"suffix":""},{"dropping-particle":"","family":"Lombroso","given":"Raoul","non-dropping-particle":"","parse-names":false,"suffix":""},{"dropping-particle":"","family":"Dubanchet","given":"Sylvie","non-dropping-particle":"","parse-names":false,"suffix":""},{"dropping-particle":"","family":"Oger","given":"Pierre","non-dropping-particle":"","parse-names":false,"suffix":""},{"dropping-particle":"","family":"Louafi","given":"Nabil","non-dropping-particle":"","parse-names":false,"suffix":""},{"dropping-particle":"","family":"Ville","given":"Yves","non-dropping-particle":"","parse-names":false,"suffix":""}],"container-title":"Journal of reproductive immunology","id":"ITEM-1","issue":"1","issued":{"date-parts":[["2008"]]},"page":"57-62","publisher":"Elsevier","title":"Endometrial vascularity by three-dimensional power Doppler ultrasound and cytokines: a complementary approach to assess uterine receptivity","type":"article-journal","volume":"77"},"uris":["http://www.mendeley.com/documents/?uuid=da3bdc98-d798-45ab-834c-311d652ae229"]}],"mendeley":{"formattedCitation":"[57]","plainTextFormattedCitation":"[57]","previouslyFormattedCitation":"(57)"},"properties":{"noteIndex":0},"schema":"https://github.com/citation-style-language/schema/raw/master/csl-citation.json"}</w:instrText>
      </w:r>
      <w:r w:rsidRPr="00916B3A">
        <w:rPr>
          <w:rFonts w:ascii="Times New Roman" w:eastAsia="Calibri" w:hAnsi="Times New Roman" w:cs="Times New Roman"/>
          <w:sz w:val="28"/>
          <w:szCs w:val="28"/>
        </w:rPr>
        <w:fldChar w:fldCharType="separate"/>
      </w:r>
      <w:r w:rsidRPr="008C6800">
        <w:rPr>
          <w:rFonts w:ascii="Times New Roman" w:eastAsia="Calibri" w:hAnsi="Times New Roman" w:cs="Times New Roman"/>
          <w:noProof/>
          <w:sz w:val="28"/>
          <w:szCs w:val="28"/>
        </w:rPr>
        <w:t>[57</w:t>
      </w:r>
      <w:r w:rsidR="001231A3">
        <w:rPr>
          <w:rFonts w:ascii="Times New Roman" w:eastAsia="Calibri" w:hAnsi="Times New Roman" w:cs="Times New Roman"/>
          <w:noProof/>
          <w:sz w:val="28"/>
          <w:szCs w:val="28"/>
        </w:rPr>
        <w:t>, с.57</w:t>
      </w:r>
      <w:r w:rsidRPr="008C6800">
        <w:rPr>
          <w:rFonts w:ascii="Times New Roman" w:eastAsia="Calibri" w:hAnsi="Times New Roman" w:cs="Times New Roman"/>
          <w:noProof/>
          <w:sz w:val="28"/>
          <w:szCs w:val="28"/>
        </w:rPr>
        <w:t>]</w:t>
      </w:r>
      <w:r w:rsidRPr="00916B3A">
        <w:rPr>
          <w:rFonts w:ascii="Times New Roman" w:eastAsia="Calibri" w:hAnsi="Times New Roman" w:cs="Times New Roman"/>
          <w:sz w:val="28"/>
          <w:szCs w:val="28"/>
        </w:rPr>
        <w:fldChar w:fldCharType="end"/>
      </w:r>
      <w:r>
        <w:rPr>
          <w:rFonts w:ascii="Times New Roman" w:eastAsia="Calibri" w:hAnsi="Times New Roman" w:cs="Times New Roman"/>
          <w:sz w:val="28"/>
          <w:szCs w:val="28"/>
        </w:rPr>
        <w:t>.</w:t>
      </w:r>
      <w:r w:rsidRPr="00916B3A">
        <w:rPr>
          <w:rFonts w:ascii="Times New Roman" w:eastAsia="Calibri" w:hAnsi="Times New Roman" w:cs="Times New Roman"/>
          <w:sz w:val="28"/>
          <w:szCs w:val="28"/>
        </w:rPr>
        <w:t xml:space="preserve"> Хотя это остается спорным, что толщина эндометрия является наиболее часто используемым предиктором восприимчивости эндометрия и коэффициента живорождения (</w:t>
      </w:r>
      <w:r w:rsidRPr="00916B3A">
        <w:rPr>
          <w:rFonts w:ascii="Times New Roman" w:eastAsia="Calibri" w:hAnsi="Times New Roman" w:cs="Times New Roman"/>
          <w:sz w:val="28"/>
          <w:szCs w:val="28"/>
          <w:lang w:val="en"/>
        </w:rPr>
        <w:t>LBR</w:t>
      </w:r>
      <w:r w:rsidRPr="00916B3A">
        <w:rPr>
          <w:rFonts w:ascii="Times New Roman" w:eastAsia="Calibri" w:hAnsi="Times New Roman" w:cs="Times New Roman"/>
          <w:sz w:val="28"/>
          <w:szCs w:val="28"/>
        </w:rPr>
        <w:t xml:space="preserve">) при </w:t>
      </w:r>
      <w:r w:rsidR="001231A3">
        <w:rPr>
          <w:rFonts w:ascii="Times New Roman" w:eastAsia="Calibri" w:hAnsi="Times New Roman" w:cs="Times New Roman"/>
          <w:sz w:val="28"/>
          <w:szCs w:val="28"/>
        </w:rPr>
        <w:t>вспомогательных репродуктивных программах</w:t>
      </w:r>
      <w:r w:rsidRPr="00916B3A">
        <w:rPr>
          <w:rFonts w:ascii="Times New Roman" w:eastAsia="Calibri" w:hAnsi="Times New Roman" w:cs="Times New Roman"/>
          <w:sz w:val="28"/>
          <w:szCs w:val="28"/>
        </w:rPr>
        <w:t xml:space="preserve"> таких как экстракорпоральное оплодотворение (ЭКО) или </w:t>
      </w:r>
      <w:r w:rsidRPr="00916B3A">
        <w:rPr>
          <w:rFonts w:ascii="Times New Roman" w:hAnsi="Times New Roman" w:cs="Times New Roman"/>
          <w:color w:val="4D5156"/>
          <w:sz w:val="28"/>
          <w:szCs w:val="28"/>
          <w:shd w:val="clear" w:color="auto" w:fill="FFFFFF"/>
          <w:lang w:val="en-US"/>
        </w:rPr>
        <w:t>in</w:t>
      </w:r>
      <w:r w:rsidRPr="00916B3A">
        <w:rPr>
          <w:rFonts w:ascii="Times New Roman" w:hAnsi="Times New Roman" w:cs="Times New Roman"/>
          <w:color w:val="4D5156"/>
          <w:sz w:val="28"/>
          <w:szCs w:val="28"/>
          <w:shd w:val="clear" w:color="auto" w:fill="FFFFFF"/>
        </w:rPr>
        <w:t>tracytoplasmic sperm injection (</w:t>
      </w:r>
      <w:r w:rsidRPr="00916B3A">
        <w:rPr>
          <w:rStyle w:val="ab"/>
          <w:rFonts w:ascii="Times New Roman" w:hAnsi="Times New Roman" w:cs="Times New Roman"/>
          <w:color w:val="5F6368"/>
          <w:sz w:val="28"/>
          <w:szCs w:val="28"/>
          <w:shd w:val="clear" w:color="auto" w:fill="FFFFFF"/>
        </w:rPr>
        <w:t>ICSI</w:t>
      </w:r>
      <w:r w:rsidRPr="00916B3A">
        <w:rPr>
          <w:rFonts w:ascii="Times New Roman" w:hAnsi="Times New Roman" w:cs="Times New Roman"/>
          <w:color w:val="4D5156"/>
          <w:sz w:val="28"/>
          <w:szCs w:val="28"/>
          <w:shd w:val="clear" w:color="auto" w:fill="FFFFFF"/>
        </w:rPr>
        <w:t>)</w:t>
      </w:r>
      <w:r>
        <w:rPr>
          <w:rFonts w:ascii="Times New Roman" w:hAnsi="Times New Roman" w:cs="Times New Roman"/>
          <w:sz w:val="28"/>
          <w:szCs w:val="28"/>
        </w:rPr>
        <w:t>.</w:t>
      </w:r>
      <w:r w:rsidRPr="00916B3A">
        <w:rPr>
          <w:rFonts w:ascii="Times New Roman" w:eastAsia="Calibri" w:hAnsi="Times New Roman" w:cs="Times New Roman"/>
          <w:sz w:val="28"/>
          <w:szCs w:val="28"/>
        </w:rPr>
        <w:t xml:space="preserve"> Снижение восприимчивости эндометрия связано со снижением вероятности беременности, самопроизвольного выкидыша, внематочной беременности, низкой массой тела при рождении и низким весом при рождении по сравнению с гестационным возрастом</w:t>
      </w:r>
      <w:r w:rsidR="001231A3">
        <w:rPr>
          <w:rFonts w:ascii="Times New Roman" w:eastAsia="Calibri" w:hAnsi="Times New Roman" w:cs="Times New Roman"/>
          <w:sz w:val="28"/>
          <w:szCs w:val="28"/>
        </w:rPr>
        <w:t xml:space="preserve"> </w:t>
      </w:r>
      <w:r w:rsidR="001231A3">
        <w:rPr>
          <w:rFonts w:ascii="Times New Roman" w:hAnsi="Times New Roman" w:cs="Times New Roman"/>
          <w:sz w:val="28"/>
          <w:szCs w:val="28"/>
        </w:rPr>
        <w:fldChar w:fldCharType="begin" w:fldLock="1"/>
      </w:r>
      <w:r w:rsidR="001231A3">
        <w:rPr>
          <w:rFonts w:ascii="Times New Roman" w:hAnsi="Times New Roman" w:cs="Times New Roman"/>
          <w:sz w:val="28"/>
          <w:szCs w:val="28"/>
        </w:rPr>
        <w:instrText>ADDIN CSL_CITATION {"citationItems":[{"id":"ITEM-1","itemData":{"DOI":"10.1093/humupd/dmu011","ISSN":"14602369","abstract":"Background: Thin endometrium on ultrasound in the course of ovarian hyperstimulation has been thought to be associated with poor success rates after IVF, even in the absence of prior intrauterine surgery or infection. To assess the clinical significance of endometrial thickness (EMT) for IVF outcome, we performed a systematic review and meta-analysis. Methods: The electronic databases Pubmed, Cochrane and Embase were searched up to October 2013 for articles that studied the association between EMT and IVF outcome. The articles had to be written in the English or Dutch language. Studies were included if two-by-two tables for EMT and pregnancy rates could be constructed. Study quality was scored using the Strengthening the Reporting of Observational Studies in Epidemiology (STROBE) checklist. Summary receiver operating characteristic (sROC) curves were estimated to assess the accuracy of EMT in the prediction of pregnancy. In addition, odds ratios (ORs) with 95% confidence intervals (CIs) were calculated using a Mantel-Haenszel random effect model expressing the association between EMT and pregnancy chances. Meta-regression was performed to determine if female age and number of oocytes at retrieval interacted in the estimated effect of EMT on IVF outcome. Results: A total of 1170 studies was retrieved by the search. The overall quality of the 22 studies included in the review and meta-analysis was moderate. The estimated sROC curve indicated a virtually absent discriminatory capacity of EMT in the prediction of pregnancy. A thin endometrium (≤7 mm) was observed in only 2.4% of the reported cases (260/10 724). In these cases a trend towards lower ongoing pregnancy and live birth rates for women with EMT ≤7 mm was observed [OR 0.38 (95% CI 0.09-1.5)]. The probability of clinical pregnancy for an EMT ≤7 mm was significantly lower compared with cases with EMT &gt; 7 mm [23.3% versus 48.1%, OR 0.42 (95% CI 0.27-0.67)]. Positive and negative predictive values for the outcome of clinical pregnancy 77 and 48%, respectively. The relationship between the number of oocytes and female age on the one hand and pregnancy on the other hand was very weak making correction for these variables unfeasible. Conclusions: Current data indicate that EMT has a limited capacity to identify women who have a low chance to conceive after IVF. The frequently reported cut-off of 7 mm is related to a lower chance of pregnancy, but occurs infrequently. The use of EMT as a tool to decide on …","author":[{"dropping-particle":"","family":"Kasius","given":"Annemieke","non-dropping-particle":"","parse-names":false,"suffix":""},{"dropping-particle":"","family":"Smit","given":"Janine G.","non-dropping-particle":"","parse-names":false,"suffix":""},{"dropping-particle":"","family":"Torrance","given":"Helen L.","non-dropping-particle":"","parse-names":false,"suffix":""},{"dropping-particle":"","family":"Eijkemans","given":"Marinus J.C.","non-dropping-particle":"","parse-names":false,"suffix":""},{"dropping-particle":"","family":"Mol","given":"Ben Willem","non-dropping-particle":"","parse-names":false,"suffix":""},{"dropping-particle":"","family":"Opmeer","given":"Brent C.","non-dropping-particle":"","parse-names":false,"suffix":""},{"dropping-particle":"","family":"Broekmans","given":"Frank J.M.","non-dropping-particle":"","parse-names":false,"suffix":""}],"container-title":"Human Reproduction Update","id":"ITEM-1","issue":"4","issued":{"date-parts":[["2014"]]},"page":"530-541","title":"Endometrial thickness and pregnancy rates after IVF: A systematic review and meta-analysis","type":"article-journal","volume":"20"},"uris":["http://www.mendeley.com/documents/?uuid=7638c948-18f4-34e3-b96c-ab5f50ca8d1d"]}],"mendeley":{"formattedCitation":"[7]","manualFormatting":"[58, с. 1707]","plainTextFormattedCitation":"[7]","previouslyFormattedCitation":"(7)"},"properties":{"noteIndex":0},"schema":"https://github.com/citation-style-language/schema/raw/master/csl-citation.json"}</w:instrText>
      </w:r>
      <w:r w:rsidR="001231A3">
        <w:rPr>
          <w:rFonts w:ascii="Times New Roman" w:hAnsi="Times New Roman" w:cs="Times New Roman"/>
          <w:sz w:val="28"/>
          <w:szCs w:val="28"/>
        </w:rPr>
        <w:fldChar w:fldCharType="separate"/>
      </w:r>
      <w:r w:rsidR="001231A3">
        <w:rPr>
          <w:rFonts w:ascii="Times New Roman" w:hAnsi="Times New Roman" w:cs="Times New Roman"/>
          <w:noProof/>
          <w:sz w:val="28"/>
          <w:szCs w:val="28"/>
        </w:rPr>
        <w:t>[</w:t>
      </w:r>
      <w:r w:rsidR="001231A3" w:rsidRPr="008C6800">
        <w:rPr>
          <w:rFonts w:ascii="Times New Roman" w:eastAsia="Calibri" w:hAnsi="Times New Roman" w:cs="Times New Roman"/>
          <w:noProof/>
          <w:sz w:val="28"/>
          <w:szCs w:val="28"/>
        </w:rPr>
        <w:t>58</w:t>
      </w:r>
      <w:r w:rsidR="001231A3">
        <w:rPr>
          <w:rFonts w:ascii="Times New Roman" w:eastAsia="Calibri" w:hAnsi="Times New Roman" w:cs="Times New Roman"/>
          <w:noProof/>
          <w:sz w:val="28"/>
          <w:szCs w:val="28"/>
        </w:rPr>
        <w:t>, с. 1707</w:t>
      </w:r>
      <w:r w:rsidR="001231A3" w:rsidRPr="008C6800">
        <w:rPr>
          <w:rFonts w:ascii="Times New Roman" w:hAnsi="Times New Roman" w:cs="Times New Roman"/>
          <w:noProof/>
          <w:sz w:val="28"/>
          <w:szCs w:val="28"/>
        </w:rPr>
        <w:t>]</w:t>
      </w:r>
      <w:r w:rsidR="001231A3">
        <w:rPr>
          <w:rFonts w:ascii="Times New Roman" w:hAnsi="Times New Roman" w:cs="Times New Roman"/>
          <w:sz w:val="28"/>
          <w:szCs w:val="28"/>
        </w:rPr>
        <w:fldChar w:fldCharType="end"/>
      </w:r>
      <w:r w:rsidRPr="00D470B7">
        <w:rPr>
          <w:rFonts w:ascii="Times New Roman" w:hAnsi="Times New Roman" w:cs="Times New Roman"/>
          <w:sz w:val="28"/>
          <w:szCs w:val="28"/>
        </w:rPr>
        <w:t>.</w:t>
      </w:r>
    </w:p>
    <w:p w14:paraId="04D308E2" w14:textId="509B3B2C" w:rsidR="004C47CB" w:rsidRPr="00916B3A" w:rsidRDefault="004C47CB" w:rsidP="004C47CB">
      <w:pPr>
        <w:spacing w:line="240" w:lineRule="auto"/>
        <w:ind w:firstLine="567"/>
        <w:contextualSpacing/>
        <w:jc w:val="both"/>
        <w:rPr>
          <w:rFonts w:ascii="Times New Roman" w:eastAsia="Calibri" w:hAnsi="Times New Roman" w:cs="Times New Roman"/>
          <w:sz w:val="28"/>
          <w:szCs w:val="28"/>
        </w:rPr>
      </w:pPr>
      <w:r w:rsidRPr="00916B3A">
        <w:rPr>
          <w:rFonts w:ascii="Times New Roman" w:eastAsia="Calibri" w:hAnsi="Times New Roman" w:cs="Times New Roman"/>
          <w:sz w:val="28"/>
          <w:szCs w:val="28"/>
        </w:rPr>
        <w:t xml:space="preserve">Данные об исходах беременности были схожими в свежих и замороженных циклах, включая показатели клинической беременности, имплантации и фертильности </w:t>
      </w:r>
      <w:r w:rsidRPr="00916B3A">
        <w:rPr>
          <w:rFonts w:ascii="Times New Roman" w:eastAsia="Calibri" w:hAnsi="Times New Roman" w:cs="Times New Roman"/>
          <w:sz w:val="28"/>
          <w:szCs w:val="28"/>
        </w:rPr>
        <w:fldChar w:fldCharType="begin" w:fldLock="1"/>
      </w:r>
      <w:r w:rsidR="001231A3">
        <w:rPr>
          <w:rFonts w:ascii="Times New Roman" w:eastAsia="Calibri" w:hAnsi="Times New Roman" w:cs="Times New Roman"/>
          <w:sz w:val="28"/>
          <w:szCs w:val="28"/>
        </w:rPr>
        <w:instrText>ADDIN CSL_CITATION {"citationItems":[{"id":"ITEM-1","itemData":{"author":[{"dropping-particle":"","family":"Balassiano","given":"Erika","non-dropping-particle":"","parse-names":false,"suffix":""},{"dropping-particle":"","family":"Malik","given":"Shaveta","non-dropping-particle":"","parse-names":false,"suffix":""},{"dropping-particle":"","family":"Vaid","given":"Praful","non-dropping-particle":"","parse-names":false,"suffix":""},{"dropping-particle":"","family":"Knochenhauer","given":"Eric S","non-dropping-particle":"","parse-names":false,"suffix":""},{"dropping-particle":"","family":"Traub","given":"Michael L","non-dropping-particle":"","parse-names":false,"suffix":""}],"container-title":"Reproductive Biology and Endocrinology","id":"ITEM-1","issued":{"date-parts":[["2014"]]},"page":"1-6","publisher":"Springer","title":"The presence of multiple gestational sacs confers a higher live birth rate in women with infertility who achieve a positive pregnancy test after fresh and frozen embryo transfer: a retrospective local cohort","type":"article-journal","volume":"12"},"uris":["http://www.mendeley.com/documents/?uuid=efbb50a8-447f-4b3c-88f3-c4bd7746bcf3"]}],"mendeley":{"formattedCitation":"[61]","manualFormatting":"[61, с.1]","plainTextFormattedCitation":"[61]","previouslyFormattedCitation":"(61)"},"properties":{"noteIndex":0},"schema":"https://github.com/citation-style-language/schema/raw/master/csl-citation.json"}</w:instrText>
      </w:r>
      <w:r w:rsidRPr="00916B3A">
        <w:rPr>
          <w:rFonts w:ascii="Times New Roman" w:eastAsia="Calibri" w:hAnsi="Times New Roman" w:cs="Times New Roman"/>
          <w:sz w:val="28"/>
          <w:szCs w:val="28"/>
        </w:rPr>
        <w:fldChar w:fldCharType="separate"/>
      </w:r>
      <w:r w:rsidRPr="008C6800">
        <w:rPr>
          <w:rFonts w:ascii="Times New Roman" w:eastAsia="Calibri" w:hAnsi="Times New Roman" w:cs="Times New Roman"/>
          <w:noProof/>
          <w:sz w:val="28"/>
          <w:szCs w:val="28"/>
        </w:rPr>
        <w:t>[61</w:t>
      </w:r>
      <w:r>
        <w:rPr>
          <w:rFonts w:ascii="Times New Roman" w:eastAsia="Calibri" w:hAnsi="Times New Roman" w:cs="Times New Roman"/>
          <w:noProof/>
          <w:sz w:val="28"/>
          <w:szCs w:val="28"/>
        </w:rPr>
        <w:t>,</w:t>
      </w:r>
      <w:r w:rsidR="001231A3">
        <w:rPr>
          <w:rFonts w:ascii="Times New Roman" w:eastAsia="Calibri" w:hAnsi="Times New Roman" w:cs="Times New Roman"/>
          <w:noProof/>
          <w:sz w:val="28"/>
          <w:szCs w:val="28"/>
        </w:rPr>
        <w:t xml:space="preserve"> с.1</w:t>
      </w:r>
      <w:r w:rsidRPr="008C6800">
        <w:rPr>
          <w:rFonts w:ascii="Times New Roman" w:eastAsia="Calibri" w:hAnsi="Times New Roman" w:cs="Times New Roman"/>
          <w:noProof/>
          <w:sz w:val="28"/>
          <w:szCs w:val="28"/>
        </w:rPr>
        <w:t>]</w:t>
      </w:r>
      <w:r w:rsidRPr="00916B3A">
        <w:rPr>
          <w:rFonts w:ascii="Times New Roman" w:eastAsia="Calibri" w:hAnsi="Times New Roman" w:cs="Times New Roman"/>
          <w:sz w:val="28"/>
          <w:szCs w:val="28"/>
        </w:rPr>
        <w:fldChar w:fldCharType="end"/>
      </w:r>
      <w:r>
        <w:rPr>
          <w:rFonts w:ascii="Times New Roman" w:eastAsia="Calibri" w:hAnsi="Times New Roman" w:cs="Times New Roman"/>
          <w:sz w:val="28"/>
          <w:szCs w:val="28"/>
        </w:rPr>
        <w:t>.</w:t>
      </w:r>
      <w:r w:rsidRPr="00916B3A">
        <w:rPr>
          <w:rFonts w:ascii="Times New Roman" w:eastAsia="Calibri" w:hAnsi="Times New Roman" w:cs="Times New Roman"/>
          <w:sz w:val="28"/>
          <w:szCs w:val="28"/>
        </w:rPr>
        <w:t xml:space="preserve"> Тем не менее, толщины эндометрия был лучшим предиктором восприимчивости эндометрия в циклах свежего экстракорпорального оплодотворения (ЭКО), чем ЭТ в циклах переноса замороженных эмбрионов (</w:t>
      </w:r>
      <w:r w:rsidRPr="00916B3A">
        <w:rPr>
          <w:rFonts w:ascii="Times New Roman" w:eastAsia="Calibri" w:hAnsi="Times New Roman" w:cs="Times New Roman"/>
          <w:sz w:val="28"/>
          <w:szCs w:val="28"/>
          <w:lang w:val="en"/>
        </w:rPr>
        <w:t>FET</w:t>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rPr>
        <w:fldChar w:fldCharType="begin" w:fldLock="1"/>
      </w:r>
      <w:r>
        <w:rPr>
          <w:rFonts w:ascii="Times New Roman" w:eastAsia="Calibri" w:hAnsi="Times New Roman" w:cs="Times New Roman"/>
          <w:sz w:val="28"/>
          <w:szCs w:val="28"/>
        </w:rPr>
        <w:instrText>ADDIN CSL_CITATION {"citationItems":[{"id":"ITEM-1","itemData":{"ISSN":"1477-7827","author":[{"dropping-particle":"","family":"Jimenez","given":"Patricia T","non-dropping-particle":"","parse-names":false,"suffix":""},{"dropping-particle":"","family":"Schon","given":"Samantha B","non-dropping-particle":"","parse-names":false,"suffix":""},{"dropping-particle":"","family":"Odem","given":"Randall R","non-dropping-particle":"","parse-names":false,"suffix":""},{"dropping-particle":"","family":"Ratts","given":"Valerie S","non-dropping-particle":"","parse-names":false,"suffix":""},{"dropping-particle":"","family":"Jungheim","given":"Emily S","non-dropping-particle":"","parse-names":false,"suffix":""}],"container-title":"Reproductive biology and endocrinology","id":"ITEM-1","issue":"1","issued":{"date-parts":[["2013"]]},"page":"1-5","publisher":"BioMed Central","title":"A retrospective cross-sectional study: fresh cycle endometrial thickness is a sensitive predictor of inadequate endometrial thickness in frozen embryo transfer cycles","type":"article-journal","volume":"11"},"uris":["http://www.mendeley.com/documents/?uuid=bb0f8ebc-a2c8-4b3c-9bdd-56ddc30416bd"]}],"mendeley":{"formattedCitation":"[63]","plainTextFormattedCitation":"[63]","previouslyFormattedCitation":"(63)"},"properties":{"noteIndex":0},"schema":"https://github.com/citation-style-language/schema/raw/master/csl-citation.json"}</w:instrText>
      </w:r>
      <w:r w:rsidRPr="00916B3A">
        <w:rPr>
          <w:rFonts w:ascii="Times New Roman" w:eastAsia="Calibri" w:hAnsi="Times New Roman" w:cs="Times New Roman"/>
          <w:sz w:val="28"/>
          <w:szCs w:val="28"/>
        </w:rPr>
        <w:fldChar w:fldCharType="separate"/>
      </w:r>
      <w:r w:rsidR="001231A3">
        <w:rPr>
          <w:rFonts w:ascii="Times New Roman" w:eastAsia="Calibri" w:hAnsi="Times New Roman" w:cs="Times New Roman"/>
          <w:noProof/>
          <w:sz w:val="28"/>
          <w:szCs w:val="28"/>
        </w:rPr>
        <w:t>[</w:t>
      </w:r>
      <w:r w:rsidRPr="008C6800">
        <w:rPr>
          <w:rFonts w:ascii="Times New Roman" w:eastAsia="Calibri" w:hAnsi="Times New Roman" w:cs="Times New Roman"/>
          <w:noProof/>
          <w:sz w:val="28"/>
          <w:szCs w:val="28"/>
        </w:rPr>
        <w:t>63</w:t>
      </w:r>
      <w:r w:rsidR="001231A3">
        <w:rPr>
          <w:rFonts w:ascii="Times New Roman" w:eastAsia="Calibri" w:hAnsi="Times New Roman" w:cs="Times New Roman"/>
          <w:noProof/>
          <w:sz w:val="28"/>
          <w:szCs w:val="28"/>
        </w:rPr>
        <w:t>, с.1</w:t>
      </w:r>
      <w:r w:rsidRPr="008C6800">
        <w:rPr>
          <w:rFonts w:ascii="Times New Roman" w:eastAsia="Calibri" w:hAnsi="Times New Roman" w:cs="Times New Roman"/>
          <w:noProof/>
          <w:sz w:val="28"/>
          <w:szCs w:val="28"/>
        </w:rPr>
        <w:t>]</w:t>
      </w:r>
      <w:r w:rsidRPr="00916B3A">
        <w:rPr>
          <w:rFonts w:ascii="Times New Roman" w:eastAsia="Calibri" w:hAnsi="Times New Roman" w:cs="Times New Roman"/>
          <w:sz w:val="28"/>
          <w:szCs w:val="28"/>
        </w:rPr>
        <w:fldChar w:fldCharType="end"/>
      </w:r>
      <w:r w:rsidRPr="004C47CB">
        <w:rPr>
          <w:rFonts w:ascii="Times New Roman" w:eastAsia="Calibri" w:hAnsi="Times New Roman" w:cs="Times New Roman"/>
          <w:sz w:val="28"/>
          <w:szCs w:val="28"/>
        </w:rPr>
        <w:t>.</w:t>
      </w:r>
      <w:r w:rsidRPr="00916B3A">
        <w:rPr>
          <w:rFonts w:ascii="Times New Roman" w:eastAsia="Calibri" w:hAnsi="Times New Roman" w:cs="Times New Roman"/>
          <w:sz w:val="28"/>
          <w:szCs w:val="28"/>
        </w:rPr>
        <w:t xml:space="preserve"> </w:t>
      </w:r>
    </w:p>
    <w:p w14:paraId="2F086DD1" w14:textId="60D3CE34" w:rsidR="004C47CB" w:rsidRPr="00916B3A" w:rsidRDefault="004C47CB" w:rsidP="004C47CB">
      <w:pPr>
        <w:spacing w:after="0" w:line="240" w:lineRule="auto"/>
        <w:ind w:firstLine="709"/>
        <w:contextualSpacing/>
        <w:jc w:val="both"/>
        <w:rPr>
          <w:rFonts w:ascii="Times New Roman" w:eastAsia="Calibri" w:hAnsi="Times New Roman" w:cs="Times New Roman"/>
          <w:sz w:val="28"/>
          <w:szCs w:val="28"/>
        </w:rPr>
      </w:pPr>
      <w:r w:rsidRPr="00916B3A">
        <w:rPr>
          <w:rFonts w:ascii="Times New Roman" w:eastAsia="Calibri" w:hAnsi="Times New Roman" w:cs="Times New Roman"/>
          <w:sz w:val="28"/>
          <w:szCs w:val="28"/>
          <w:lang w:val="kk-KZ"/>
        </w:rPr>
        <w:t>Наиболее распространенными</w:t>
      </w:r>
      <w:r w:rsidRPr="00916B3A">
        <w:rPr>
          <w:rFonts w:ascii="Times New Roman" w:eastAsia="Calibri" w:hAnsi="Times New Roman" w:cs="Times New Roman"/>
          <w:sz w:val="28"/>
          <w:szCs w:val="28"/>
        </w:rPr>
        <w:t xml:space="preserve"> факторами для</w:t>
      </w:r>
      <w:r w:rsidRPr="00916B3A">
        <w:rPr>
          <w:rFonts w:ascii="Times New Roman" w:eastAsia="Calibri" w:hAnsi="Times New Roman" w:cs="Times New Roman"/>
          <w:sz w:val="28"/>
          <w:szCs w:val="28"/>
          <w:lang w:val="kk-KZ"/>
        </w:rPr>
        <w:t xml:space="preserve"> тонкого эндометрия </w:t>
      </w:r>
      <w:r w:rsidRPr="00916B3A">
        <w:rPr>
          <w:rFonts w:ascii="Times New Roman" w:eastAsia="Calibri" w:hAnsi="Times New Roman" w:cs="Times New Roman"/>
          <w:sz w:val="28"/>
          <w:szCs w:val="28"/>
        </w:rPr>
        <w:t>(</w:t>
      </w:r>
      <w:r w:rsidRPr="00916B3A">
        <w:rPr>
          <w:rFonts w:ascii="Times New Roman" w:eastAsia="Calibri" w:hAnsi="Times New Roman" w:cs="Times New Roman"/>
          <w:sz w:val="28"/>
          <w:szCs w:val="28"/>
          <w:lang w:val="kk-KZ"/>
        </w:rPr>
        <w:t>до 60%</w:t>
      </w:r>
      <w:r w:rsidRPr="00916B3A">
        <w:rPr>
          <w:rFonts w:ascii="Times New Roman" w:eastAsia="Calibri" w:hAnsi="Times New Roman" w:cs="Times New Roman"/>
          <w:sz w:val="28"/>
          <w:szCs w:val="28"/>
        </w:rPr>
        <w:t>)</w:t>
      </w:r>
      <w:r w:rsidRPr="00916B3A">
        <w:rPr>
          <w:rFonts w:ascii="Times New Roman" w:eastAsia="Calibri" w:hAnsi="Times New Roman" w:cs="Times New Roman"/>
          <w:sz w:val="28"/>
          <w:szCs w:val="28"/>
          <w:lang w:val="kk-KZ"/>
        </w:rPr>
        <w:t xml:space="preserve"> </w:t>
      </w:r>
      <w:r w:rsidRPr="00916B3A">
        <w:rPr>
          <w:rFonts w:ascii="Times New Roman" w:eastAsia="Calibri" w:hAnsi="Times New Roman" w:cs="Times New Roman"/>
          <w:sz w:val="28"/>
          <w:szCs w:val="28"/>
        </w:rPr>
        <w:t>были</w:t>
      </w:r>
      <w:r w:rsidRPr="00916B3A">
        <w:rPr>
          <w:rFonts w:ascii="Times New Roman" w:eastAsia="Calibri" w:hAnsi="Times New Roman" w:cs="Times New Roman"/>
          <w:sz w:val="28"/>
          <w:szCs w:val="28"/>
          <w:lang w:val="kk-KZ"/>
        </w:rPr>
        <w:t xml:space="preserve"> связаны с внутриутробной </w:t>
      </w:r>
      <w:r w:rsidRPr="00916B3A">
        <w:rPr>
          <w:rFonts w:ascii="Times New Roman" w:eastAsia="Calibri" w:hAnsi="Times New Roman" w:cs="Times New Roman"/>
          <w:sz w:val="28"/>
          <w:szCs w:val="28"/>
        </w:rPr>
        <w:t>хирургии</w:t>
      </w:r>
      <w:r w:rsidRPr="00916B3A">
        <w:rPr>
          <w:rFonts w:ascii="Times New Roman" w:eastAsia="Calibri" w:hAnsi="Times New Roman" w:cs="Times New Roman"/>
          <w:sz w:val="28"/>
          <w:szCs w:val="28"/>
          <w:lang w:val="kk-KZ"/>
        </w:rPr>
        <w:t xml:space="preserve">, которые </w:t>
      </w:r>
      <w:r w:rsidRPr="00916B3A">
        <w:rPr>
          <w:rFonts w:ascii="Times New Roman" w:eastAsia="Calibri" w:hAnsi="Times New Roman" w:cs="Times New Roman"/>
          <w:sz w:val="28"/>
          <w:szCs w:val="28"/>
        </w:rPr>
        <w:t>могут</w:t>
      </w:r>
      <w:r w:rsidRPr="00916B3A">
        <w:rPr>
          <w:rFonts w:ascii="Times New Roman" w:eastAsia="Calibri" w:hAnsi="Times New Roman" w:cs="Times New Roman"/>
          <w:sz w:val="28"/>
          <w:szCs w:val="28"/>
          <w:lang w:val="kk-KZ"/>
        </w:rPr>
        <w:t xml:space="preserve"> повредить базальный слой эндометрия </w:t>
      </w:r>
      <w:r w:rsidRPr="00916B3A">
        <w:rPr>
          <w:rFonts w:ascii="Times New Roman" w:eastAsia="Calibri" w:hAnsi="Times New Roman" w:cs="Times New Roman"/>
          <w:sz w:val="28"/>
          <w:szCs w:val="28"/>
        </w:rPr>
        <w:fldChar w:fldCharType="begin" w:fldLock="1"/>
      </w:r>
      <w:r>
        <w:rPr>
          <w:rFonts w:ascii="Times New Roman" w:eastAsia="Calibri" w:hAnsi="Times New Roman" w:cs="Times New Roman"/>
          <w:sz w:val="28"/>
          <w:szCs w:val="28"/>
        </w:rPr>
        <w:instrText>ADDIN CSL_CITATION {"citationItems":[{"id":"ITEM-1","itemData":{"ISSN":"1040-872X","author":[{"dropping-particle":"","family":"Tulandi","given":"Togas","non-dropping-particle":"","parse-names":false,"suffix":""},{"dropping-particle":"","family":"Al-Shahrani","given":"Abdulaziz","non-dropping-particle":"","parse-names":false,"suffix":""}],"container-title":"Current Opinion in Obstetrics and Gynecology","id":"ITEM-1","issue":"4","issued":{"date-parts":[["2005"]]},"page":"395-398","publisher":"LWW","title":"Adhesion prevention in gynecologic surgery","type":"article-journal","volume":"17"},"uris":["http://www.mendeley.com/documents/?uuid=69a10a39-5c24-4765-aa2e-5d95f868f0c1"]}],"mendeley":{"formattedCitation":"[64]","plainTextFormattedCitation":"[64]","previouslyFormattedCitation":"(64)"},"properties":{"noteIndex":0},"schema":"https://github.com/citation-style-language/schema/raw/master/csl-citation.json"}</w:instrText>
      </w:r>
      <w:r w:rsidRPr="00916B3A">
        <w:rPr>
          <w:rFonts w:ascii="Times New Roman" w:eastAsia="Calibri" w:hAnsi="Times New Roman" w:cs="Times New Roman"/>
          <w:sz w:val="28"/>
          <w:szCs w:val="28"/>
        </w:rPr>
        <w:fldChar w:fldCharType="separate"/>
      </w:r>
      <w:r w:rsidRPr="008C6800">
        <w:rPr>
          <w:rFonts w:ascii="Times New Roman" w:eastAsia="Calibri" w:hAnsi="Times New Roman" w:cs="Times New Roman"/>
          <w:noProof/>
          <w:sz w:val="28"/>
          <w:szCs w:val="28"/>
        </w:rPr>
        <w:t>[64</w:t>
      </w:r>
      <w:r>
        <w:rPr>
          <w:rFonts w:ascii="Times New Roman" w:eastAsia="Calibri" w:hAnsi="Times New Roman" w:cs="Times New Roman"/>
          <w:noProof/>
          <w:sz w:val="28"/>
          <w:szCs w:val="28"/>
        </w:rPr>
        <w:t>,</w:t>
      </w:r>
      <w:r w:rsidR="001231A3">
        <w:rPr>
          <w:rFonts w:ascii="Times New Roman" w:eastAsia="Calibri" w:hAnsi="Times New Roman" w:cs="Times New Roman"/>
          <w:noProof/>
          <w:sz w:val="28"/>
          <w:szCs w:val="28"/>
        </w:rPr>
        <w:t xml:space="preserve"> с. 395</w:t>
      </w:r>
      <w:r w:rsidRPr="008C6800">
        <w:rPr>
          <w:rFonts w:ascii="Times New Roman" w:eastAsia="Calibri" w:hAnsi="Times New Roman" w:cs="Times New Roman"/>
          <w:noProof/>
          <w:sz w:val="28"/>
          <w:szCs w:val="28"/>
        </w:rPr>
        <w:t>]</w:t>
      </w:r>
      <w:r w:rsidRPr="00916B3A">
        <w:rPr>
          <w:rFonts w:ascii="Times New Roman" w:eastAsia="Calibri" w:hAnsi="Times New Roman" w:cs="Times New Roman"/>
          <w:sz w:val="28"/>
          <w:szCs w:val="28"/>
        </w:rPr>
        <w:fldChar w:fldCharType="end"/>
      </w:r>
      <w:r w:rsidRPr="00916B3A">
        <w:rPr>
          <w:rFonts w:ascii="Times New Roman" w:eastAsia="Calibri" w:hAnsi="Times New Roman" w:cs="Times New Roman"/>
          <w:sz w:val="28"/>
          <w:szCs w:val="28"/>
        </w:rPr>
        <w:t xml:space="preserve">. </w:t>
      </w:r>
      <w:r w:rsidRPr="00916B3A">
        <w:rPr>
          <w:rFonts w:ascii="Times New Roman" w:eastAsia="Calibri" w:hAnsi="Times New Roman" w:cs="Times New Roman"/>
          <w:sz w:val="28"/>
          <w:szCs w:val="28"/>
          <w:lang w:val="kk-KZ"/>
        </w:rPr>
        <w:t xml:space="preserve">В </w:t>
      </w:r>
      <w:r w:rsidRPr="00916B3A">
        <w:rPr>
          <w:rFonts w:ascii="Times New Roman" w:eastAsia="Calibri" w:hAnsi="Times New Roman" w:cs="Times New Roman"/>
          <w:sz w:val="28"/>
          <w:szCs w:val="28"/>
        </w:rPr>
        <w:t xml:space="preserve">некоторых женщин, </w:t>
      </w:r>
      <w:r w:rsidRPr="00916B3A">
        <w:rPr>
          <w:rFonts w:ascii="Times New Roman" w:eastAsia="Calibri" w:hAnsi="Times New Roman" w:cs="Times New Roman"/>
          <w:sz w:val="28"/>
          <w:szCs w:val="28"/>
          <w:lang w:val="kk-KZ"/>
        </w:rPr>
        <w:t xml:space="preserve">эндометрия </w:t>
      </w:r>
      <w:r w:rsidRPr="00916B3A">
        <w:rPr>
          <w:rFonts w:ascii="Times New Roman" w:eastAsia="Calibri" w:hAnsi="Times New Roman" w:cs="Times New Roman"/>
          <w:sz w:val="28"/>
          <w:szCs w:val="28"/>
        </w:rPr>
        <w:t xml:space="preserve">также может быть тонкие по природе </w:t>
      </w:r>
      <w:r w:rsidRPr="00916B3A">
        <w:rPr>
          <w:rFonts w:ascii="Times New Roman" w:eastAsia="Calibri" w:hAnsi="Times New Roman" w:cs="Times New Roman"/>
          <w:sz w:val="28"/>
          <w:szCs w:val="28"/>
          <w:lang w:val="kk-KZ"/>
        </w:rPr>
        <w:fldChar w:fldCharType="begin" w:fldLock="1"/>
      </w:r>
      <w:r>
        <w:rPr>
          <w:rFonts w:ascii="Times New Roman" w:eastAsia="Calibri" w:hAnsi="Times New Roman" w:cs="Times New Roman"/>
          <w:sz w:val="28"/>
          <w:szCs w:val="28"/>
          <w:lang w:val="kk-KZ"/>
        </w:rPr>
        <w:instrText>ADDIN CSL_CITATION {"citationItems":[{"id":"ITEM-1","itemData":{"DOI":"10.1016/j.fertnstert.2013.07.1966","ISSN":"1556-5653 (Electronic)","PMID":"23954352","abstract":"OBJECTIVE: To evaluate the combined effect of endometrial thickness and anatomic  uterine factors on clinical outcome in oocyte donation recipients. DESIGN: Retrospective analysis of oocyte donation cycles conducted between 2005 and 2010. SETTING: Two private IVF centers. PATIENT(S): A total of 737 donor oocyte cycles. INTERVENTION(S): None. MAIN OUTCOME MEASURE(S): Clinical pregnancy and live birth rates. RESULT(S): No statistically significant difference was found in clinical pregnancy rates and live birth rates in cycles with endometrial thickness &lt;6 mm compared with those with endometrial thickness &gt;10 mm. However, a relatively high rate of live births was found within a medium range of endometrial thickness (8.2-10 mm). All intrauterine adhesion cases occurred in cycles with thinner endometrium. CONCLUSION(S): No statistically significant difference was found in clinical pregnancy rates and live birth rates in cycles with endometrial thickness &lt;6 mm compared with those with thickness &gt;6 mm. A relatively high rate of live births was found within a medium range of endometrial thickness (9.1-10 mm).","author":[{"dropping-particle":"","family":"Dain","given":"Lena","non-dropping-particle":"","parse-names":false,"suffix":""},{"dropping-particle":"","family":"Bider","given":"David","non-dropping-particle":"","parse-names":false,"suffix":""},{"dropping-particle":"","family":"Levron","given":"Jacob","non-dropping-particle":"","parse-names":false,"suffix":""},{"dropping-particle":"","family":"Zinchenko","given":"Viktor","non-dropping-particle":"","parse-names":false,"suffix":""},{"dropping-particle":"","family":"Westler","given":"Sharon","non-dropping-particle":"","parse-names":false,"suffix":""},{"dropping-particle":"","family":"Dirnfeld","given":"Martha","non-dropping-particle":"","parse-names":false,"suffix":""}],"container-title":"Fertility and sterility","id":"ITEM-1","issue":"5","issued":{"date-parts":[["2013","11"]]},"language":"eng","page":"1289-1295","publisher-place":"United States","title":"Thin endometrium in donor oocyte recipients: enigma or obstacle for implantation?","type":"article-journal","volume":"100"},"uris":["http://www.mendeley.com/documents/?uuid=abbf93d8-c41a-494e-bc07-0a3fe263e6f3"]}],"mendeley":{"formattedCitation":"[66]","plainTextFormattedCitation":"[66]","previouslyFormattedCitation":"(66)"},"properties":{"noteIndex":0},"schema":"https://github.com/citation-style-language/schema/raw/master/csl-citation.json"}</w:instrText>
      </w:r>
      <w:r w:rsidRPr="00916B3A">
        <w:rPr>
          <w:rFonts w:ascii="Times New Roman" w:eastAsia="Calibri" w:hAnsi="Times New Roman" w:cs="Times New Roman"/>
          <w:sz w:val="28"/>
          <w:szCs w:val="28"/>
          <w:lang w:val="kk-KZ"/>
        </w:rPr>
        <w:fldChar w:fldCharType="separate"/>
      </w:r>
      <w:r w:rsidRPr="008C6800">
        <w:rPr>
          <w:rFonts w:ascii="Times New Roman" w:eastAsia="Calibri" w:hAnsi="Times New Roman" w:cs="Times New Roman"/>
          <w:noProof/>
          <w:sz w:val="28"/>
          <w:szCs w:val="28"/>
          <w:lang w:val="kk-KZ"/>
        </w:rPr>
        <w:t>[66</w:t>
      </w:r>
      <w:r w:rsidR="001231A3">
        <w:rPr>
          <w:rFonts w:ascii="Times New Roman" w:eastAsia="Calibri" w:hAnsi="Times New Roman" w:cs="Times New Roman"/>
          <w:noProof/>
          <w:sz w:val="28"/>
          <w:szCs w:val="28"/>
          <w:lang w:val="kk-KZ"/>
        </w:rPr>
        <w:t>, с. 1289</w:t>
      </w:r>
      <w:r w:rsidRPr="008C6800">
        <w:rPr>
          <w:rFonts w:ascii="Times New Roman" w:eastAsia="Calibri" w:hAnsi="Times New Roman" w:cs="Times New Roman"/>
          <w:noProof/>
          <w:sz w:val="28"/>
          <w:szCs w:val="28"/>
          <w:lang w:val="kk-KZ"/>
        </w:rPr>
        <w:t>]</w:t>
      </w:r>
      <w:r w:rsidRPr="00916B3A">
        <w:rPr>
          <w:rFonts w:ascii="Times New Roman" w:eastAsia="Calibri" w:hAnsi="Times New Roman" w:cs="Times New Roman"/>
          <w:sz w:val="28"/>
          <w:szCs w:val="28"/>
          <w:lang w:val="kk-KZ"/>
        </w:rPr>
        <w:fldChar w:fldCharType="end"/>
      </w:r>
      <w:r w:rsidRPr="00916B3A">
        <w:rPr>
          <w:rFonts w:ascii="Times New Roman" w:eastAsia="Calibri" w:hAnsi="Times New Roman" w:cs="Times New Roman"/>
          <w:sz w:val="28"/>
          <w:szCs w:val="28"/>
        </w:rPr>
        <w:t xml:space="preserve"> или под влиянием стероидных гормонов </w:t>
      </w:r>
      <w:r w:rsidRPr="00916B3A">
        <w:rPr>
          <w:rFonts w:ascii="Times New Roman" w:eastAsia="Calibri" w:hAnsi="Times New Roman" w:cs="Times New Roman"/>
          <w:sz w:val="28"/>
          <w:szCs w:val="28"/>
        </w:rPr>
        <w:fldChar w:fldCharType="begin" w:fldLock="1"/>
      </w:r>
      <w:r>
        <w:rPr>
          <w:rFonts w:ascii="Times New Roman" w:eastAsia="Calibri" w:hAnsi="Times New Roman" w:cs="Times New Roman"/>
          <w:sz w:val="28"/>
          <w:szCs w:val="28"/>
        </w:rPr>
        <w:instrText>ADDIN CSL_CITATION {"citationItems":[{"id":"ITEM-1","itemData":{"DOI":"10.1093/humupd/dml004","ISSN":"13554786","PMID":"16982667","abstract":"Human embryo implantation is a three-stage process (apposition, adhesion and invasion) involving synchronized crosstalk between a receptive endometrium and a functional blastocyst. This ovarian steroid-dependant phenomenon can only take place during the window of implantation, a self-limited period of endometrial receptivity spanning between days 20 and 24 of the menstrual cycle. Implantation involves a complex sequence of signalling events, consisting in the acquisition of adhesion ligands together with the loss of inhibitory components, which are crucial to the establishment of pregnancy. Histological evaluation, now considered to add little clinically significant information, should be replaced by functional assessment of endometrial receptivity. A large number of molecular mediators have been identified to date, including adhesion molecules, cytokines, growth factors, lipids and others. Thus, endometrial biopsy samples can be used to identify molecules associated with uterine receptivity to obtain a better insight into human implantation. In addition, development of functional in vitro systems to study embryo-uterine interactions will lead to better definition of the interactions existing between the molecules involved in this process. The purpose of this review was not only to describe the different players of the implantation process but also to try to portray the relationship between these factors and their timing in the process of uterine receptivity. © 2006 Oxford University Press.","author":[{"dropping-particle":"","family":"Achache","given":"Hanna","non-dropping-particle":"","parse-names":false,"suffix":""},{"dropping-particle":"","family":"Revel","given":"Ariel","non-dropping-particle":"","parse-names":false,"suffix":""}],"container-title":"Human Reproduction Update","id":"ITEM-1","issue":"6","issued":{"date-parts":[["2006"]]},"page":"731-746","title":"Endometrial receptivity markers, the journey to successful embryo implantation","type":"article-journal","volume":"12"},"uris":["http://www.mendeley.com/documents/?uuid=7fee529b-a1b6-4919-923c-00b793c217f3"]}],"mendeley":{"formattedCitation":"[67]","plainTextFormattedCitation":"[67]","previouslyFormattedCitation":"(67)"},"properties":{"noteIndex":0},"schema":"https://github.com/citation-style-language/schema/raw/master/csl-citation.json"}</w:instrText>
      </w:r>
      <w:r w:rsidRPr="00916B3A">
        <w:rPr>
          <w:rFonts w:ascii="Times New Roman" w:eastAsia="Calibri" w:hAnsi="Times New Roman" w:cs="Times New Roman"/>
          <w:sz w:val="28"/>
          <w:szCs w:val="28"/>
        </w:rPr>
        <w:fldChar w:fldCharType="separate"/>
      </w:r>
      <w:r w:rsidRPr="008C6800">
        <w:rPr>
          <w:rFonts w:ascii="Times New Roman" w:eastAsia="Calibri" w:hAnsi="Times New Roman" w:cs="Times New Roman"/>
          <w:noProof/>
          <w:sz w:val="28"/>
          <w:szCs w:val="28"/>
        </w:rPr>
        <w:t>[67]</w:t>
      </w:r>
      <w:r w:rsidRPr="00916B3A">
        <w:rPr>
          <w:rFonts w:ascii="Times New Roman" w:eastAsia="Calibri" w:hAnsi="Times New Roman" w:cs="Times New Roman"/>
          <w:sz w:val="28"/>
          <w:szCs w:val="28"/>
        </w:rPr>
        <w:fldChar w:fldCharType="end"/>
      </w:r>
      <w:r w:rsidRPr="00916B3A">
        <w:rPr>
          <w:rFonts w:ascii="Times New Roman" w:eastAsia="Calibri" w:hAnsi="Times New Roman" w:cs="Times New Roman"/>
          <w:sz w:val="28"/>
          <w:szCs w:val="28"/>
        </w:rPr>
        <w:t xml:space="preserve">. Транскриптомный анализ может предсказать тонкий эндометрий путем идентификации генов с повышенной активностью </w:t>
      </w:r>
      <w:r w:rsidRPr="00C670E7">
        <w:rPr>
          <w:rFonts w:ascii="Times New Roman" w:hAnsi="Times New Roman" w:cs="Times New Roman"/>
          <w:color w:val="000000" w:themeColor="text1"/>
          <w:sz w:val="28"/>
          <w:szCs w:val="28"/>
        </w:rPr>
        <w:fldChar w:fldCharType="begin" w:fldLock="1"/>
      </w:r>
      <w:r w:rsidRPr="00C670E7">
        <w:rPr>
          <w:rFonts w:ascii="Times New Roman" w:hAnsi="Times New Roman" w:cs="Times New Roman"/>
          <w:color w:val="000000" w:themeColor="text1"/>
          <w:sz w:val="28"/>
          <w:szCs w:val="28"/>
        </w:rPr>
        <w:instrText>ADDIN CSL_CITATION {"citationItems":[{"id":"ITEM-1","itemData":{"ISSN":"0015-0282","author":[{"dropping-particle":"","family":"Díaz-Gimeno","given":"Patricia","non-dropping-particle":"","parse-names":false,"suffix":""},{"dropping-particle":"","family":"Horcajadas","given":"José A","non-dropping-particle":"","parse-names":false,"suffix":""},{"dropping-particle":"","family":"Martínez-Conejero","given":"José A","non-dropping-particle":"","parse-names":false,"suffix":""},{"dropping-particle":"","family":"Esteban","given":"Francisco J","non-dropping-particle":"","parse-names":false,"suffix":""},{"dropping-particle":"","family":"Alamá","given":"Pilar","non-dropping-particle":"","parse-names":false,"suffix":""},{"dropping-particle":"","family":"Pellicer","given":"Antonio","non-dropping-particle":"","parse-names":false,"suffix":""},{"dropping-particle":"","family":"Simón","given":"Carlos","non-dropping-particle":"","parse-names":false,"suffix":""}],"container-title":"Fertility and sterility","id":"ITEM-1","issue":"1","issued":{"date-parts":[["2011"]]},"page":"50-60","publisher":"Elsevier","title":"A genomic diagnostic tool for human endometrial receptivity based on the transcriptomic signature","type":"article-journal","volume":"95"},"uris":["http://www.mendeley.com/documents/?uuid=e7afb503-2a31-4f11-ab54-6f776b3dd8bd"]}],"mendeley":{"formattedCitation":"[15]","plainTextFormattedCitation":"[15]","previouslyFormattedCitation":"(15)"},"properties":{"noteIndex":0},"schema":"https://github.com/citation-style-language/schema/raw/master/csl-citation.json"}</w:instrText>
      </w:r>
      <w:r w:rsidRPr="00C670E7">
        <w:rPr>
          <w:rFonts w:ascii="Times New Roman" w:hAnsi="Times New Roman" w:cs="Times New Roman"/>
          <w:color w:val="000000" w:themeColor="text1"/>
          <w:sz w:val="28"/>
          <w:szCs w:val="28"/>
        </w:rPr>
        <w:fldChar w:fldCharType="separate"/>
      </w:r>
      <w:r w:rsidRPr="00C670E7">
        <w:rPr>
          <w:rFonts w:ascii="Times New Roman" w:hAnsi="Times New Roman" w:cs="Times New Roman"/>
          <w:noProof/>
          <w:color w:val="000000" w:themeColor="text1"/>
          <w:sz w:val="28"/>
          <w:szCs w:val="28"/>
        </w:rPr>
        <w:t>[15</w:t>
      </w:r>
      <w:r w:rsidR="001231A3">
        <w:rPr>
          <w:rFonts w:ascii="Times New Roman" w:hAnsi="Times New Roman" w:cs="Times New Roman"/>
          <w:noProof/>
          <w:color w:val="000000" w:themeColor="text1"/>
          <w:sz w:val="28"/>
          <w:szCs w:val="28"/>
        </w:rPr>
        <w:t>, с. 50</w:t>
      </w:r>
      <w:r w:rsidRPr="00C670E7">
        <w:rPr>
          <w:rFonts w:ascii="Times New Roman" w:hAnsi="Times New Roman" w:cs="Times New Roman"/>
          <w:noProof/>
          <w:color w:val="000000" w:themeColor="text1"/>
          <w:sz w:val="28"/>
          <w:szCs w:val="28"/>
        </w:rPr>
        <w:t>]</w:t>
      </w:r>
      <w:r w:rsidRPr="00C670E7">
        <w:rPr>
          <w:rFonts w:ascii="Times New Roman" w:hAnsi="Times New Roman" w:cs="Times New Roman"/>
          <w:color w:val="000000" w:themeColor="text1"/>
          <w:sz w:val="28"/>
          <w:szCs w:val="28"/>
        </w:rPr>
        <w:fldChar w:fldCharType="end"/>
      </w:r>
      <w:r w:rsidRPr="00C670E7">
        <w:rPr>
          <w:rFonts w:ascii="Times New Roman" w:hAnsi="Times New Roman" w:cs="Times New Roman"/>
          <w:sz w:val="28"/>
          <w:szCs w:val="28"/>
        </w:rPr>
        <w:t>.</w:t>
      </w:r>
      <w:r w:rsidRPr="00916B3A">
        <w:rPr>
          <w:rFonts w:ascii="Times New Roman" w:eastAsia="Calibri" w:hAnsi="Times New Roman" w:cs="Times New Roman"/>
          <w:sz w:val="28"/>
          <w:szCs w:val="28"/>
        </w:rPr>
        <w:t xml:space="preserve"> </w:t>
      </w:r>
    </w:p>
    <w:p w14:paraId="288025B4" w14:textId="425F066C" w:rsidR="00E475DC" w:rsidRDefault="00C11A77" w:rsidP="00594CDB">
      <w:pPr>
        <w:spacing w:after="0" w:line="240" w:lineRule="auto"/>
        <w:ind w:firstLine="709"/>
        <w:contextualSpacing/>
        <w:jc w:val="both"/>
        <w:rPr>
          <w:rFonts w:ascii="Times New Roman" w:eastAsia="Calibri" w:hAnsi="Times New Roman" w:cs="Times New Roman"/>
          <w:sz w:val="28"/>
          <w:szCs w:val="28"/>
        </w:rPr>
      </w:pPr>
      <w:r w:rsidRPr="00916B3A">
        <w:rPr>
          <w:rFonts w:ascii="Times New Roman" w:hAnsi="Times New Roman" w:cs="Times New Roman"/>
          <w:sz w:val="28"/>
          <w:szCs w:val="28"/>
        </w:rPr>
        <w:t xml:space="preserve">Результаты ЭКО у пациенток с нарушенной восприимчивостью эндометрия зависят не только от состояния эндометрия. </w:t>
      </w:r>
      <w:r w:rsidRPr="00916B3A">
        <w:rPr>
          <w:rFonts w:ascii="Times New Roman" w:eastAsia="Calibri" w:hAnsi="Times New Roman" w:cs="Times New Roman"/>
          <w:sz w:val="28"/>
          <w:szCs w:val="28"/>
        </w:rPr>
        <w:t xml:space="preserve">Факторы риска и толщина эндометрия значительно влияют на живорождения в циклах </w:t>
      </w:r>
      <w:r w:rsidRPr="00916B3A">
        <w:rPr>
          <w:rFonts w:ascii="Times New Roman" w:eastAsia="Calibri" w:hAnsi="Times New Roman" w:cs="Times New Roman"/>
          <w:sz w:val="28"/>
          <w:szCs w:val="28"/>
          <w:lang w:val="en"/>
        </w:rPr>
        <w:t>Fresh</w:t>
      </w:r>
      <w:r w:rsidRPr="00916B3A">
        <w:rPr>
          <w:rFonts w:ascii="Times New Roman" w:eastAsia="Calibri" w:hAnsi="Times New Roman" w:cs="Times New Roman"/>
          <w:sz w:val="28"/>
          <w:szCs w:val="28"/>
        </w:rPr>
        <w:t xml:space="preserve"> и </w:t>
      </w:r>
      <w:r w:rsidRPr="00916B3A">
        <w:rPr>
          <w:rFonts w:ascii="Times New Roman" w:eastAsia="Calibri" w:hAnsi="Times New Roman" w:cs="Times New Roman"/>
          <w:sz w:val="28"/>
          <w:szCs w:val="28"/>
          <w:lang w:val="en"/>
        </w:rPr>
        <w:t>FET</w:t>
      </w:r>
      <w:r w:rsidRPr="00916B3A">
        <w:rPr>
          <w:rFonts w:ascii="Times New Roman" w:eastAsia="Calibri" w:hAnsi="Times New Roman" w:cs="Times New Roman"/>
          <w:sz w:val="28"/>
          <w:szCs w:val="28"/>
        </w:rPr>
        <w:t>. Согласно результатам систематического обзора, у женщин с нарушенной восприимчивостью эндометрия важно применять индивидуальный подход с высококачественной диагностикой и эффективными методами лечения для достижения адекватной толщины с улучшенной восприимчивостью эндометрия. Из-за методологических недостатков включенных исследований необходимы дальнейшие исследования для оценки независимой значимости толщины эндометрия, структуры, протоколов лечения и других факторов.</w:t>
      </w:r>
    </w:p>
    <w:p w14:paraId="01BC9A11" w14:textId="177EC423" w:rsidR="0038219A" w:rsidRPr="00E475DC" w:rsidRDefault="0038219A" w:rsidP="00E475DC">
      <w:pPr>
        <w:spacing w:after="0" w:line="240" w:lineRule="auto"/>
        <w:ind w:firstLine="709"/>
        <w:jc w:val="both"/>
        <w:rPr>
          <w:rFonts w:ascii="Times New Roman" w:hAnsi="Times New Roman" w:cs="Times New Roman"/>
          <w:bCs/>
          <w:color w:val="000000" w:themeColor="text1"/>
          <w:sz w:val="28"/>
          <w:szCs w:val="28"/>
        </w:rPr>
      </w:pPr>
      <w:r w:rsidRPr="00E475DC">
        <w:rPr>
          <w:rFonts w:ascii="Times New Roman" w:hAnsi="Times New Roman" w:cs="Times New Roman"/>
          <w:bCs/>
          <w:sz w:val="28"/>
          <w:szCs w:val="28"/>
        </w:rPr>
        <w:t xml:space="preserve">3.1.2 </w:t>
      </w:r>
      <w:r w:rsidRPr="00E475DC">
        <w:rPr>
          <w:rFonts w:ascii="Times New Roman" w:hAnsi="Times New Roman" w:cs="Times New Roman"/>
          <w:bCs/>
          <w:color w:val="000000" w:themeColor="text1"/>
          <w:sz w:val="28"/>
          <w:szCs w:val="28"/>
        </w:rPr>
        <w:t>Мониторинг результативности экстракорпорального оплодотворения</w:t>
      </w:r>
    </w:p>
    <w:p w14:paraId="362F2A0E" w14:textId="77777777" w:rsidR="0038219A" w:rsidRPr="00916B3A" w:rsidRDefault="0038219A" w:rsidP="00E475DC">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rPr>
      </w:pPr>
      <w:r w:rsidRPr="00916B3A">
        <w:rPr>
          <w:rFonts w:ascii="Times New Roman" w:eastAsia="Arial Unicode MS" w:hAnsi="Times New Roman" w:cs="Times New Roman"/>
          <w:color w:val="000000"/>
          <w:sz w:val="28"/>
          <w:szCs w:val="28"/>
          <w:u w:color="000000"/>
          <w:bdr w:val="nil"/>
        </w:rPr>
        <w:t>С целью выявления факторов риска неудач имплантации проведена комплексная оценка результативности вспомогательных репродуктивных технологий (ВРТ) до (2020 год) и после внедрения Государственной программы «</w:t>
      </w:r>
      <w:r w:rsidRPr="00916B3A">
        <w:rPr>
          <w:rFonts w:ascii="Times New Roman" w:eastAsia="Arial Unicode MS" w:hAnsi="Times New Roman" w:cs="Times New Roman"/>
          <w:color w:val="000000"/>
          <w:sz w:val="28"/>
          <w:szCs w:val="28"/>
          <w:u w:color="000000"/>
          <w:bdr w:val="nil"/>
          <w:lang w:val="kk-KZ"/>
        </w:rPr>
        <w:t>Ансаған</w:t>
      </w:r>
      <w:r w:rsidRPr="00916B3A">
        <w:rPr>
          <w:rFonts w:ascii="Times New Roman" w:eastAsia="Arial Unicode MS" w:hAnsi="Times New Roman" w:cs="Times New Roman"/>
          <w:color w:val="000000"/>
          <w:sz w:val="28"/>
          <w:szCs w:val="28"/>
          <w:u w:color="000000"/>
          <w:bdr w:val="nil"/>
        </w:rPr>
        <w:t xml:space="preserve"> </w:t>
      </w:r>
      <w:r w:rsidRPr="00916B3A">
        <w:rPr>
          <w:rFonts w:ascii="Times New Roman" w:eastAsia="Arial Unicode MS" w:hAnsi="Times New Roman" w:cs="Times New Roman"/>
          <w:color w:val="000000"/>
          <w:sz w:val="28"/>
          <w:szCs w:val="28"/>
          <w:u w:color="000000"/>
          <w:bdr w:val="nil"/>
          <w:lang w:val="kk-KZ"/>
        </w:rPr>
        <w:t>сәби</w:t>
      </w:r>
      <w:r w:rsidRPr="00916B3A">
        <w:rPr>
          <w:rFonts w:ascii="Times New Roman" w:eastAsia="Arial Unicode MS" w:hAnsi="Times New Roman" w:cs="Times New Roman"/>
          <w:color w:val="000000"/>
          <w:sz w:val="28"/>
          <w:szCs w:val="28"/>
          <w:u w:color="000000"/>
          <w:bdr w:val="nil"/>
        </w:rPr>
        <w:t xml:space="preserve">» (2021-2022 гг.). </w:t>
      </w:r>
      <w:bookmarkStart w:id="25" w:name="_Hlk122041359"/>
      <w:r w:rsidRPr="00916B3A">
        <w:rPr>
          <w:rFonts w:ascii="Times New Roman" w:eastAsia="Arial Unicode MS" w:hAnsi="Times New Roman" w:cs="Times New Roman"/>
          <w:color w:val="000000"/>
          <w:sz w:val="28"/>
          <w:szCs w:val="28"/>
          <w:u w:color="000000"/>
          <w:bdr w:val="nil"/>
        </w:rPr>
        <w:t>М</w:t>
      </w:r>
      <w:r w:rsidRPr="00916B3A">
        <w:rPr>
          <w:rFonts w:ascii="Times New Roman" w:hAnsi="Times New Roman" w:cs="Times New Roman"/>
          <w:color w:val="000000" w:themeColor="text1"/>
          <w:sz w:val="28"/>
          <w:szCs w:val="28"/>
        </w:rPr>
        <w:t xml:space="preserve">ониторинг качества программы ЭКО проведен у 401 пациентки в 2020-2022 гг., в том числе в 2020 г – у 58 (1), 2021 г. - у 133 (2), 2022 г. – у 210 (3) пациенток на базе Научного центра акушерства, гинекологии и перинатологии г. Алматы. </w:t>
      </w:r>
    </w:p>
    <w:p w14:paraId="4A6D31ED" w14:textId="77777777" w:rsidR="0038219A" w:rsidRPr="00916B3A" w:rsidRDefault="0038219A" w:rsidP="00E475DC">
      <w:pPr>
        <w:spacing w:after="0" w:line="240" w:lineRule="auto"/>
        <w:ind w:firstLine="709"/>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xml:space="preserve">Частота наступления беременности после процедуры ВРТ, выполненных за счет ОСМС в 2020-2022 гг. представлена в таблице 6. </w:t>
      </w:r>
    </w:p>
    <w:p w14:paraId="5A213EF1" w14:textId="77777777" w:rsidR="0038219A" w:rsidRPr="00916B3A" w:rsidRDefault="0038219A" w:rsidP="0038219A">
      <w:pPr>
        <w:spacing w:after="0" w:line="240" w:lineRule="auto"/>
        <w:ind w:firstLine="567"/>
        <w:jc w:val="both"/>
        <w:rPr>
          <w:rFonts w:ascii="Times New Roman" w:eastAsia="Arial Unicode MS" w:hAnsi="Times New Roman" w:cs="Times New Roman"/>
          <w:color w:val="000000"/>
          <w:sz w:val="28"/>
          <w:szCs w:val="28"/>
          <w:u w:color="000000"/>
          <w:bdr w:val="nil"/>
        </w:rPr>
      </w:pPr>
    </w:p>
    <w:bookmarkEnd w:id="25"/>
    <w:p w14:paraId="48788854" w14:textId="33E713AE" w:rsidR="0038219A" w:rsidRPr="00916B3A" w:rsidRDefault="0038219A" w:rsidP="0038219A">
      <w:pPr>
        <w:spacing w:after="0" w:line="240" w:lineRule="auto"/>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Таблица 6</w:t>
      </w:r>
      <w:r w:rsidR="00E475DC">
        <w:rPr>
          <w:rFonts w:ascii="Times New Roman" w:eastAsia="Arial Unicode MS" w:hAnsi="Times New Roman" w:cs="Times New Roman"/>
          <w:color w:val="000000"/>
          <w:sz w:val="28"/>
          <w:szCs w:val="28"/>
          <w:u w:color="000000"/>
          <w:bdr w:val="nil"/>
        </w:rPr>
        <w:t xml:space="preserve"> – </w:t>
      </w:r>
      <w:r w:rsidRPr="00916B3A">
        <w:rPr>
          <w:rFonts w:ascii="Times New Roman" w:eastAsia="Arial Unicode MS" w:hAnsi="Times New Roman" w:cs="Times New Roman"/>
          <w:color w:val="000000"/>
          <w:sz w:val="28"/>
          <w:szCs w:val="28"/>
          <w:u w:color="000000"/>
          <w:bdr w:val="nil"/>
        </w:rPr>
        <w:t>Частота наступления беременности после процедуры ВРТ</w:t>
      </w:r>
    </w:p>
    <w:p w14:paraId="5312E41E" w14:textId="77777777" w:rsidR="0038219A" w:rsidRPr="00916B3A" w:rsidRDefault="0038219A" w:rsidP="0038219A">
      <w:pPr>
        <w:spacing w:after="0" w:line="240" w:lineRule="auto"/>
        <w:jc w:val="both"/>
        <w:rPr>
          <w:rFonts w:ascii="Times New Roman" w:eastAsia="Arial Unicode MS" w:hAnsi="Times New Roman" w:cs="Times New Roman"/>
          <w:color w:val="000000"/>
          <w:sz w:val="28"/>
          <w:szCs w:val="28"/>
          <w:u w:color="000000"/>
          <w:bdr w:val="nil"/>
        </w:rPr>
      </w:pPr>
    </w:p>
    <w:tbl>
      <w:tblPr>
        <w:tblStyle w:val="ae"/>
        <w:tblW w:w="9634" w:type="dxa"/>
        <w:tblLook w:val="04A0" w:firstRow="1" w:lastRow="0" w:firstColumn="1" w:lastColumn="0" w:noHBand="0" w:noVBand="1"/>
      </w:tblPr>
      <w:tblGrid>
        <w:gridCol w:w="1271"/>
        <w:gridCol w:w="2551"/>
        <w:gridCol w:w="2694"/>
        <w:gridCol w:w="3118"/>
      </w:tblGrid>
      <w:tr w:rsidR="0038219A" w:rsidRPr="00916B3A" w14:paraId="2C421D90" w14:textId="77777777" w:rsidTr="00E84A0A">
        <w:tc>
          <w:tcPr>
            <w:tcW w:w="1271" w:type="dxa"/>
          </w:tcPr>
          <w:p w14:paraId="16C6386E" w14:textId="77777777" w:rsidR="0038219A" w:rsidRPr="00916B3A" w:rsidRDefault="0038219A" w:rsidP="0038219A">
            <w:pPr>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Годы</w:t>
            </w:r>
          </w:p>
        </w:tc>
        <w:tc>
          <w:tcPr>
            <w:tcW w:w="2551" w:type="dxa"/>
          </w:tcPr>
          <w:p w14:paraId="4D6F8C28"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Количество ВРТ, абс</w:t>
            </w:r>
          </w:p>
        </w:tc>
        <w:tc>
          <w:tcPr>
            <w:tcW w:w="2694" w:type="dxa"/>
          </w:tcPr>
          <w:p w14:paraId="4B60BD36"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УЗИ-беременность, абс</w:t>
            </w:r>
          </w:p>
        </w:tc>
        <w:tc>
          <w:tcPr>
            <w:tcW w:w="3118" w:type="dxa"/>
          </w:tcPr>
          <w:p w14:paraId="5947A2EC"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Беременность, %</w:t>
            </w:r>
          </w:p>
        </w:tc>
      </w:tr>
      <w:tr w:rsidR="0038219A" w:rsidRPr="00916B3A" w14:paraId="4E886904" w14:textId="77777777" w:rsidTr="00E84A0A">
        <w:tc>
          <w:tcPr>
            <w:tcW w:w="1271" w:type="dxa"/>
          </w:tcPr>
          <w:p w14:paraId="7F74F161" w14:textId="77777777" w:rsidR="0038219A" w:rsidRPr="00916B3A" w:rsidRDefault="0038219A" w:rsidP="0038219A">
            <w:pPr>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2020</w:t>
            </w:r>
          </w:p>
        </w:tc>
        <w:tc>
          <w:tcPr>
            <w:tcW w:w="2551" w:type="dxa"/>
          </w:tcPr>
          <w:p w14:paraId="445D0ECC"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58</w:t>
            </w:r>
          </w:p>
        </w:tc>
        <w:tc>
          <w:tcPr>
            <w:tcW w:w="2694" w:type="dxa"/>
          </w:tcPr>
          <w:p w14:paraId="410D8BFD"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18</w:t>
            </w:r>
          </w:p>
        </w:tc>
        <w:tc>
          <w:tcPr>
            <w:tcW w:w="3118" w:type="dxa"/>
          </w:tcPr>
          <w:p w14:paraId="3FC0479F"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31,0</w:t>
            </w:r>
          </w:p>
        </w:tc>
      </w:tr>
      <w:tr w:rsidR="0038219A" w:rsidRPr="00916B3A" w14:paraId="09DA571D" w14:textId="77777777" w:rsidTr="00E84A0A">
        <w:tc>
          <w:tcPr>
            <w:tcW w:w="1271" w:type="dxa"/>
          </w:tcPr>
          <w:p w14:paraId="62319884" w14:textId="77777777" w:rsidR="0038219A" w:rsidRPr="00916B3A" w:rsidRDefault="0038219A" w:rsidP="0038219A">
            <w:pPr>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2021</w:t>
            </w:r>
          </w:p>
        </w:tc>
        <w:tc>
          <w:tcPr>
            <w:tcW w:w="2551" w:type="dxa"/>
          </w:tcPr>
          <w:p w14:paraId="23B4E688"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133</w:t>
            </w:r>
          </w:p>
        </w:tc>
        <w:tc>
          <w:tcPr>
            <w:tcW w:w="2694" w:type="dxa"/>
          </w:tcPr>
          <w:p w14:paraId="6DFCBC6E"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40</w:t>
            </w:r>
          </w:p>
        </w:tc>
        <w:tc>
          <w:tcPr>
            <w:tcW w:w="3118" w:type="dxa"/>
          </w:tcPr>
          <w:p w14:paraId="13D5BDAD"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30,1</w:t>
            </w:r>
          </w:p>
        </w:tc>
      </w:tr>
      <w:tr w:rsidR="0038219A" w:rsidRPr="00916B3A" w14:paraId="3D34E1A1" w14:textId="77777777" w:rsidTr="00E84A0A">
        <w:tc>
          <w:tcPr>
            <w:tcW w:w="1271" w:type="dxa"/>
          </w:tcPr>
          <w:p w14:paraId="184CAF08" w14:textId="77777777" w:rsidR="0038219A" w:rsidRPr="00916B3A" w:rsidRDefault="0038219A" w:rsidP="0038219A">
            <w:pPr>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2022</w:t>
            </w:r>
          </w:p>
        </w:tc>
        <w:tc>
          <w:tcPr>
            <w:tcW w:w="2551" w:type="dxa"/>
          </w:tcPr>
          <w:p w14:paraId="50E381EC"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210</w:t>
            </w:r>
          </w:p>
        </w:tc>
        <w:tc>
          <w:tcPr>
            <w:tcW w:w="2694" w:type="dxa"/>
          </w:tcPr>
          <w:p w14:paraId="42FC2788"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61</w:t>
            </w:r>
          </w:p>
        </w:tc>
        <w:tc>
          <w:tcPr>
            <w:tcW w:w="3118" w:type="dxa"/>
          </w:tcPr>
          <w:p w14:paraId="5E855C5A"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29,0</w:t>
            </w:r>
          </w:p>
        </w:tc>
      </w:tr>
      <w:tr w:rsidR="0038219A" w:rsidRPr="00916B3A" w14:paraId="25F7FFE2" w14:textId="77777777" w:rsidTr="00E84A0A">
        <w:tc>
          <w:tcPr>
            <w:tcW w:w="1271" w:type="dxa"/>
          </w:tcPr>
          <w:p w14:paraId="30C0BDC6" w14:textId="77777777" w:rsidR="0038219A" w:rsidRPr="00916B3A" w:rsidRDefault="0038219A" w:rsidP="0038219A">
            <w:pPr>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xml:space="preserve">Всего </w:t>
            </w:r>
          </w:p>
        </w:tc>
        <w:tc>
          <w:tcPr>
            <w:tcW w:w="2551" w:type="dxa"/>
          </w:tcPr>
          <w:p w14:paraId="6D3D1810"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401</w:t>
            </w:r>
          </w:p>
        </w:tc>
        <w:tc>
          <w:tcPr>
            <w:tcW w:w="2694" w:type="dxa"/>
          </w:tcPr>
          <w:p w14:paraId="5BD1146C"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119</w:t>
            </w:r>
          </w:p>
        </w:tc>
        <w:tc>
          <w:tcPr>
            <w:tcW w:w="3118" w:type="dxa"/>
          </w:tcPr>
          <w:p w14:paraId="7F0961C0" w14:textId="77777777" w:rsidR="0038219A" w:rsidRPr="00916B3A" w:rsidRDefault="0038219A" w:rsidP="0038219A">
            <w:pPr>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29,6</w:t>
            </w:r>
          </w:p>
        </w:tc>
      </w:tr>
    </w:tbl>
    <w:p w14:paraId="362041C4" w14:textId="77777777" w:rsidR="0038219A" w:rsidRPr="00916B3A" w:rsidRDefault="0038219A" w:rsidP="0038219A">
      <w:pPr>
        <w:spacing w:after="0" w:line="240" w:lineRule="auto"/>
        <w:ind w:firstLine="567"/>
        <w:jc w:val="both"/>
        <w:rPr>
          <w:rFonts w:ascii="Times New Roman" w:eastAsia="Arial Unicode MS" w:hAnsi="Times New Roman" w:cs="Times New Roman"/>
          <w:color w:val="000000"/>
          <w:sz w:val="28"/>
          <w:szCs w:val="28"/>
          <w:u w:color="000000"/>
          <w:bdr w:val="nil"/>
        </w:rPr>
      </w:pPr>
    </w:p>
    <w:p w14:paraId="0E87CCAE"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Как видно из таблицы 6, внедрение Государственной программы «</w:t>
      </w:r>
      <w:r w:rsidRPr="00916B3A">
        <w:rPr>
          <w:rFonts w:ascii="Times New Roman" w:eastAsia="Arial Unicode MS" w:hAnsi="Times New Roman" w:cs="Times New Roman"/>
          <w:color w:val="000000"/>
          <w:sz w:val="28"/>
          <w:szCs w:val="28"/>
          <w:u w:color="000000"/>
          <w:bdr w:val="nil"/>
          <w:lang w:val="kk-KZ"/>
        </w:rPr>
        <w:t>Аңсаған сәби</w:t>
      </w:r>
      <w:r w:rsidRPr="00916B3A">
        <w:rPr>
          <w:rFonts w:ascii="Times New Roman" w:eastAsia="Arial Unicode MS" w:hAnsi="Times New Roman" w:cs="Times New Roman"/>
          <w:color w:val="000000"/>
          <w:sz w:val="28"/>
          <w:szCs w:val="28"/>
          <w:u w:color="000000"/>
          <w:bdr w:val="nil"/>
        </w:rPr>
        <w:t xml:space="preserve">» (далее – госпрограмма) позволило увеличить количество процедур ВРТ в 2,2 раза в 2021 году и 1,6 раз в 2022 году, при этом средний показатель эффективности процедуры (наступление беременности) составил 29,6%. </w:t>
      </w:r>
    </w:p>
    <w:p w14:paraId="0AC3E5D6"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Сравнительная характеристика демографических и клинических данных пациенток, вступивших в процедуру ВРТ до (2020 г.) и после внедрения программы «</w:t>
      </w:r>
      <w:r w:rsidRPr="00916B3A">
        <w:rPr>
          <w:rFonts w:ascii="Times New Roman" w:eastAsia="Arial Unicode MS" w:hAnsi="Times New Roman" w:cs="Times New Roman"/>
          <w:color w:val="000000"/>
          <w:sz w:val="28"/>
          <w:szCs w:val="28"/>
          <w:u w:color="000000"/>
          <w:bdr w:val="nil"/>
          <w:lang w:val="kk-KZ"/>
        </w:rPr>
        <w:t>Аңсаған сәби</w:t>
      </w:r>
      <w:r w:rsidRPr="00916B3A">
        <w:rPr>
          <w:rFonts w:ascii="Times New Roman" w:eastAsia="Arial Unicode MS" w:hAnsi="Times New Roman" w:cs="Times New Roman"/>
          <w:color w:val="000000"/>
          <w:sz w:val="28"/>
          <w:szCs w:val="28"/>
          <w:u w:color="000000"/>
          <w:bdr w:val="nil"/>
        </w:rPr>
        <w:t>» (2021-2022 гг.) представлены в таблице 7.</w:t>
      </w:r>
    </w:p>
    <w:p w14:paraId="1855062E" w14:textId="77777777" w:rsidR="0038219A" w:rsidRPr="00916B3A" w:rsidRDefault="0038219A" w:rsidP="0038219A">
      <w:pPr>
        <w:spacing w:after="0" w:line="240" w:lineRule="auto"/>
        <w:ind w:firstLine="567"/>
        <w:jc w:val="both"/>
        <w:rPr>
          <w:rFonts w:ascii="Times New Roman" w:eastAsia="Arial Unicode MS" w:hAnsi="Times New Roman" w:cs="Times New Roman"/>
          <w:color w:val="000000"/>
          <w:sz w:val="28"/>
          <w:szCs w:val="28"/>
          <w:u w:color="000000"/>
          <w:bdr w:val="nil"/>
        </w:rPr>
      </w:pPr>
    </w:p>
    <w:p w14:paraId="10DAD879" w14:textId="77777777" w:rsidR="0038219A" w:rsidRPr="00916B3A" w:rsidRDefault="0038219A" w:rsidP="0038219A">
      <w:pPr>
        <w:spacing w:after="0" w:line="240" w:lineRule="auto"/>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Таблица 7 – Демографическая и клиническая характеристики пациенток</w:t>
      </w:r>
    </w:p>
    <w:p w14:paraId="36AF518E" w14:textId="77777777" w:rsidR="0038219A" w:rsidRPr="00916B3A" w:rsidRDefault="0038219A" w:rsidP="0038219A">
      <w:pPr>
        <w:spacing w:after="0" w:line="240" w:lineRule="auto"/>
        <w:jc w:val="both"/>
        <w:rPr>
          <w:rFonts w:ascii="Times New Roman" w:eastAsia="Arial Unicode MS" w:hAnsi="Times New Roman" w:cs="Times New Roman"/>
          <w:color w:val="000000"/>
          <w:sz w:val="28"/>
          <w:szCs w:val="28"/>
          <w:u w:color="000000"/>
          <w:bdr w:val="nil"/>
        </w:rPr>
      </w:pPr>
    </w:p>
    <w:tbl>
      <w:tblPr>
        <w:tblStyle w:val="ae"/>
        <w:tblW w:w="5003" w:type="pct"/>
        <w:tblLook w:val="04A0" w:firstRow="1" w:lastRow="0" w:firstColumn="1" w:lastColumn="0" w:noHBand="0" w:noVBand="1"/>
      </w:tblPr>
      <w:tblGrid>
        <w:gridCol w:w="4037"/>
        <w:gridCol w:w="1985"/>
        <w:gridCol w:w="1834"/>
        <w:gridCol w:w="1778"/>
      </w:tblGrid>
      <w:tr w:rsidR="0038219A" w:rsidRPr="00916B3A" w14:paraId="17FAB1EC" w14:textId="77777777" w:rsidTr="0038219A">
        <w:tc>
          <w:tcPr>
            <w:tcW w:w="2095" w:type="pct"/>
            <w:vMerge w:val="restart"/>
          </w:tcPr>
          <w:p w14:paraId="7ED885E1"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Показатели</w:t>
            </w:r>
          </w:p>
        </w:tc>
        <w:tc>
          <w:tcPr>
            <w:tcW w:w="2905" w:type="pct"/>
            <w:gridSpan w:val="3"/>
          </w:tcPr>
          <w:p w14:paraId="53950C03"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Группы пациенток, абс. (%)</w:t>
            </w:r>
          </w:p>
        </w:tc>
      </w:tr>
      <w:tr w:rsidR="0038219A" w:rsidRPr="00916B3A" w14:paraId="542C7E1D" w14:textId="77777777" w:rsidTr="00E475DC">
        <w:trPr>
          <w:trHeight w:val="386"/>
        </w:trPr>
        <w:tc>
          <w:tcPr>
            <w:tcW w:w="2095" w:type="pct"/>
            <w:vMerge/>
          </w:tcPr>
          <w:p w14:paraId="0788749E"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p>
        </w:tc>
        <w:tc>
          <w:tcPr>
            <w:tcW w:w="1030" w:type="pct"/>
          </w:tcPr>
          <w:p w14:paraId="18EE88A0"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 xml:space="preserve">2020, </w:t>
            </w:r>
            <w:r w:rsidRPr="00916B3A">
              <w:rPr>
                <w:rFonts w:ascii="Times New Roman" w:eastAsia="Arial Unicode MS" w:hAnsi="Times New Roman" w:cs="Times New Roman"/>
                <w:color w:val="000000"/>
                <w:sz w:val="28"/>
                <w:szCs w:val="28"/>
                <w:u w:color="000000"/>
                <w:bdr w:val="nil"/>
                <w:lang w:val="en-US"/>
              </w:rPr>
              <w:t>n=58</w:t>
            </w:r>
          </w:p>
        </w:tc>
        <w:tc>
          <w:tcPr>
            <w:tcW w:w="952" w:type="pct"/>
          </w:tcPr>
          <w:p w14:paraId="11FC1095"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 xml:space="preserve">2021, </w:t>
            </w:r>
            <w:r w:rsidRPr="00916B3A">
              <w:rPr>
                <w:rFonts w:ascii="Times New Roman" w:eastAsia="Arial Unicode MS" w:hAnsi="Times New Roman" w:cs="Times New Roman"/>
                <w:color w:val="000000"/>
                <w:sz w:val="28"/>
                <w:szCs w:val="28"/>
                <w:u w:color="000000"/>
                <w:bdr w:val="nil"/>
                <w:lang w:val="en-US"/>
              </w:rPr>
              <w:t>n=133</w:t>
            </w:r>
          </w:p>
        </w:tc>
        <w:tc>
          <w:tcPr>
            <w:tcW w:w="923" w:type="pct"/>
          </w:tcPr>
          <w:p w14:paraId="0E14EF49"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 xml:space="preserve">2022, </w:t>
            </w:r>
            <w:r w:rsidRPr="00916B3A">
              <w:rPr>
                <w:rFonts w:ascii="Times New Roman" w:eastAsia="Arial Unicode MS" w:hAnsi="Times New Roman" w:cs="Times New Roman"/>
                <w:color w:val="000000"/>
                <w:sz w:val="28"/>
                <w:szCs w:val="28"/>
                <w:u w:color="000000"/>
                <w:bdr w:val="nil"/>
                <w:lang w:val="en-US"/>
              </w:rPr>
              <w:t>n</w:t>
            </w:r>
            <w:r w:rsidRPr="00916B3A">
              <w:rPr>
                <w:rFonts w:ascii="Times New Roman" w:eastAsia="Arial Unicode MS" w:hAnsi="Times New Roman" w:cs="Times New Roman"/>
                <w:color w:val="000000"/>
                <w:sz w:val="28"/>
                <w:szCs w:val="28"/>
                <w:u w:color="000000"/>
                <w:bdr w:val="nil"/>
              </w:rPr>
              <w:t>=210</w:t>
            </w:r>
          </w:p>
        </w:tc>
      </w:tr>
      <w:tr w:rsidR="00E475DC" w:rsidRPr="00916B3A" w14:paraId="118A7B65" w14:textId="77777777" w:rsidTr="00E475DC">
        <w:trPr>
          <w:trHeight w:val="386"/>
        </w:trPr>
        <w:tc>
          <w:tcPr>
            <w:tcW w:w="2095" w:type="pct"/>
          </w:tcPr>
          <w:p w14:paraId="20C01A33" w14:textId="08AC7D9A" w:rsidR="00E475DC" w:rsidRPr="00916B3A" w:rsidRDefault="00E475DC" w:rsidP="00E475DC">
            <w:pPr>
              <w:contextualSpacing/>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1</w:t>
            </w:r>
          </w:p>
        </w:tc>
        <w:tc>
          <w:tcPr>
            <w:tcW w:w="1030" w:type="pct"/>
          </w:tcPr>
          <w:p w14:paraId="04B9E9B4" w14:textId="42EAC8F6" w:rsidR="00E475DC" w:rsidRPr="00916B3A" w:rsidRDefault="00E475DC" w:rsidP="0038219A">
            <w:pPr>
              <w:contextualSpacing/>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2</w:t>
            </w:r>
          </w:p>
        </w:tc>
        <w:tc>
          <w:tcPr>
            <w:tcW w:w="952" w:type="pct"/>
          </w:tcPr>
          <w:p w14:paraId="6B474354" w14:textId="442C5B89" w:rsidR="00E475DC" w:rsidRPr="00916B3A" w:rsidRDefault="00E475DC" w:rsidP="0038219A">
            <w:pPr>
              <w:contextualSpacing/>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3</w:t>
            </w:r>
          </w:p>
        </w:tc>
        <w:tc>
          <w:tcPr>
            <w:tcW w:w="923" w:type="pct"/>
          </w:tcPr>
          <w:p w14:paraId="27EEDC69" w14:textId="74C06C43" w:rsidR="00E475DC" w:rsidRPr="00916B3A" w:rsidRDefault="00E475DC" w:rsidP="0038219A">
            <w:pPr>
              <w:contextualSpacing/>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4</w:t>
            </w:r>
          </w:p>
        </w:tc>
      </w:tr>
      <w:tr w:rsidR="0038219A" w:rsidRPr="00916B3A" w14:paraId="622D1A35" w14:textId="77777777" w:rsidTr="00E84A0A">
        <w:trPr>
          <w:trHeight w:val="302"/>
        </w:trPr>
        <w:tc>
          <w:tcPr>
            <w:tcW w:w="2095" w:type="pct"/>
            <w:tcBorders>
              <w:bottom w:val="single" w:sz="4" w:space="0" w:color="auto"/>
            </w:tcBorders>
          </w:tcPr>
          <w:p w14:paraId="49EEFA06"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Возраст: -до 34 лет</w:t>
            </w:r>
          </w:p>
          <w:p w14:paraId="6FFA89B3" w14:textId="77777777" w:rsidR="0038219A" w:rsidRPr="00916B3A" w:rsidRDefault="0038219A" w:rsidP="0038219A">
            <w:pPr>
              <w:ind w:firstLine="1017"/>
              <w:contextualSpacing/>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- 35-39 лет</w:t>
            </w:r>
          </w:p>
          <w:p w14:paraId="798189D7" w14:textId="77777777" w:rsidR="0038219A" w:rsidRPr="00916B3A" w:rsidRDefault="0038219A" w:rsidP="0038219A">
            <w:pPr>
              <w:ind w:firstLine="1017"/>
              <w:contextualSpacing/>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старше 40 лет</w:t>
            </w:r>
          </w:p>
        </w:tc>
        <w:tc>
          <w:tcPr>
            <w:tcW w:w="1030" w:type="pct"/>
            <w:tcBorders>
              <w:bottom w:val="single" w:sz="4" w:space="0" w:color="auto"/>
            </w:tcBorders>
            <w:vAlign w:val="center"/>
          </w:tcPr>
          <w:p w14:paraId="7991FA02"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14 (24,1)</w:t>
            </w:r>
          </w:p>
          <w:p w14:paraId="70311722"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41 (</w:t>
            </w:r>
            <w:r w:rsidRPr="00916B3A">
              <w:rPr>
                <w:rFonts w:ascii="Times New Roman" w:eastAsia="Arial Unicode MS" w:hAnsi="Times New Roman" w:cs="Times New Roman"/>
                <w:color w:val="000000"/>
                <w:sz w:val="28"/>
                <w:szCs w:val="28"/>
                <w:u w:color="000000"/>
                <w:bdr w:val="nil"/>
                <w:lang w:val="en-US"/>
              </w:rPr>
              <w:t>7</w:t>
            </w:r>
            <w:r w:rsidRPr="00916B3A">
              <w:rPr>
                <w:rFonts w:ascii="Times New Roman" w:eastAsia="Arial Unicode MS" w:hAnsi="Times New Roman" w:cs="Times New Roman"/>
                <w:color w:val="000000"/>
                <w:sz w:val="28"/>
                <w:szCs w:val="28"/>
                <w:u w:color="000000"/>
                <w:bdr w:val="nil"/>
              </w:rPr>
              <w:t>0,7)</w:t>
            </w:r>
          </w:p>
          <w:p w14:paraId="26516FA9"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3 (</w:t>
            </w:r>
            <w:r w:rsidRPr="00916B3A">
              <w:rPr>
                <w:rFonts w:ascii="Times New Roman" w:eastAsia="Arial Unicode MS" w:hAnsi="Times New Roman" w:cs="Times New Roman"/>
                <w:color w:val="000000"/>
                <w:sz w:val="28"/>
                <w:szCs w:val="28"/>
                <w:u w:color="000000"/>
                <w:bdr w:val="nil"/>
                <w:lang w:val="en-US"/>
              </w:rPr>
              <w:t>5</w:t>
            </w:r>
            <w:r w:rsidRPr="00916B3A">
              <w:rPr>
                <w:rFonts w:ascii="Times New Roman" w:eastAsia="Arial Unicode MS" w:hAnsi="Times New Roman" w:cs="Times New Roman"/>
                <w:color w:val="000000"/>
                <w:sz w:val="28"/>
                <w:szCs w:val="28"/>
                <w:u w:color="000000"/>
                <w:bdr w:val="nil"/>
              </w:rPr>
              <w:t>,2)</w:t>
            </w:r>
          </w:p>
        </w:tc>
        <w:tc>
          <w:tcPr>
            <w:tcW w:w="952" w:type="pct"/>
            <w:tcBorders>
              <w:bottom w:val="single" w:sz="4" w:space="0" w:color="auto"/>
            </w:tcBorders>
            <w:vAlign w:val="center"/>
          </w:tcPr>
          <w:p w14:paraId="1D35670F"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72 (54,</w:t>
            </w:r>
            <w:proofErr w:type="gramStart"/>
            <w:r w:rsidRPr="00916B3A">
              <w:rPr>
                <w:rFonts w:ascii="Times New Roman" w:eastAsia="Arial Unicode MS" w:hAnsi="Times New Roman" w:cs="Times New Roman"/>
                <w:color w:val="000000"/>
                <w:sz w:val="28"/>
                <w:szCs w:val="28"/>
                <w:u w:color="000000"/>
                <w:bdr w:val="nil"/>
              </w:rPr>
              <w:t>5)</w:t>
            </w:r>
            <w:r w:rsidRPr="00916B3A">
              <w:rPr>
                <w:rFonts w:ascii="Times New Roman" w:eastAsia="Arial Unicode MS" w:hAnsi="Times New Roman" w:cs="Times New Roman"/>
                <w:color w:val="000000"/>
                <w:sz w:val="28"/>
                <w:szCs w:val="28"/>
                <w:u w:color="000000"/>
                <w:bdr w:val="nil"/>
                <w:lang w:val="en-US"/>
              </w:rPr>
              <w:t>*</w:t>
            </w:r>
            <w:proofErr w:type="gramEnd"/>
          </w:p>
          <w:p w14:paraId="24BF7AED"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56 (42,</w:t>
            </w:r>
            <w:proofErr w:type="gramStart"/>
            <w:r w:rsidRPr="00916B3A">
              <w:rPr>
                <w:rFonts w:ascii="Times New Roman" w:eastAsia="Arial Unicode MS" w:hAnsi="Times New Roman" w:cs="Times New Roman"/>
                <w:color w:val="000000"/>
                <w:sz w:val="28"/>
                <w:szCs w:val="28"/>
                <w:u w:color="000000"/>
                <w:bdr w:val="nil"/>
                <w:lang w:val="en-US"/>
              </w:rPr>
              <w:t>4</w:t>
            </w:r>
            <w:r w:rsidRPr="00916B3A">
              <w:rPr>
                <w:rFonts w:ascii="Times New Roman" w:eastAsia="Arial Unicode MS" w:hAnsi="Times New Roman" w:cs="Times New Roman"/>
                <w:color w:val="000000"/>
                <w:sz w:val="28"/>
                <w:szCs w:val="28"/>
                <w:u w:color="000000"/>
                <w:bdr w:val="nil"/>
              </w:rPr>
              <w:t>)*</w:t>
            </w:r>
            <w:proofErr w:type="gramEnd"/>
          </w:p>
          <w:p w14:paraId="60DB8CB8"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4 (</w:t>
            </w:r>
            <w:r w:rsidRPr="00916B3A">
              <w:rPr>
                <w:rFonts w:ascii="Times New Roman" w:eastAsia="Arial Unicode MS" w:hAnsi="Times New Roman" w:cs="Times New Roman"/>
                <w:color w:val="000000"/>
                <w:sz w:val="28"/>
                <w:szCs w:val="28"/>
                <w:u w:color="000000"/>
                <w:bdr w:val="nil"/>
                <w:lang w:val="en-US"/>
              </w:rPr>
              <w:t>3</w:t>
            </w:r>
            <w:r w:rsidRPr="00916B3A">
              <w:rPr>
                <w:rFonts w:ascii="Times New Roman" w:eastAsia="Arial Unicode MS" w:hAnsi="Times New Roman" w:cs="Times New Roman"/>
                <w:color w:val="000000"/>
                <w:sz w:val="28"/>
                <w:szCs w:val="28"/>
                <w:u w:color="000000"/>
                <w:bdr w:val="nil"/>
              </w:rPr>
              <w:t>,</w:t>
            </w:r>
            <w:r w:rsidRPr="00916B3A">
              <w:rPr>
                <w:rFonts w:ascii="Times New Roman" w:eastAsia="Arial Unicode MS" w:hAnsi="Times New Roman" w:cs="Times New Roman"/>
                <w:color w:val="000000"/>
                <w:sz w:val="28"/>
                <w:szCs w:val="28"/>
                <w:u w:color="000000"/>
                <w:bdr w:val="nil"/>
                <w:lang w:val="en-US"/>
              </w:rPr>
              <w:t>0</w:t>
            </w:r>
            <w:r w:rsidRPr="00916B3A">
              <w:rPr>
                <w:rFonts w:ascii="Times New Roman" w:eastAsia="Arial Unicode MS" w:hAnsi="Times New Roman" w:cs="Times New Roman"/>
                <w:color w:val="000000"/>
                <w:sz w:val="28"/>
                <w:szCs w:val="28"/>
                <w:u w:color="000000"/>
                <w:bdr w:val="nil"/>
              </w:rPr>
              <w:t>)</w:t>
            </w:r>
          </w:p>
        </w:tc>
        <w:tc>
          <w:tcPr>
            <w:tcW w:w="923" w:type="pct"/>
            <w:tcBorders>
              <w:bottom w:val="single" w:sz="4" w:space="0" w:color="auto"/>
            </w:tcBorders>
          </w:tcPr>
          <w:p w14:paraId="61B258A4"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126 (60,</w:t>
            </w:r>
            <w:proofErr w:type="gramStart"/>
            <w:r w:rsidRPr="00916B3A">
              <w:rPr>
                <w:rFonts w:ascii="Times New Roman" w:eastAsia="Arial Unicode MS" w:hAnsi="Times New Roman" w:cs="Times New Roman"/>
                <w:color w:val="000000"/>
                <w:sz w:val="28"/>
                <w:szCs w:val="28"/>
                <w:u w:color="000000"/>
                <w:bdr w:val="nil"/>
              </w:rPr>
              <w:t>0)</w:t>
            </w:r>
            <w:r w:rsidRPr="00916B3A">
              <w:rPr>
                <w:rFonts w:ascii="Times New Roman" w:eastAsia="Arial Unicode MS" w:hAnsi="Times New Roman" w:cs="Times New Roman"/>
                <w:color w:val="000000"/>
                <w:sz w:val="28"/>
                <w:szCs w:val="28"/>
                <w:u w:color="000000"/>
                <w:bdr w:val="nil"/>
                <w:lang w:val="en-US"/>
              </w:rPr>
              <w:t>#</w:t>
            </w:r>
            <w:proofErr w:type="gramEnd"/>
          </w:p>
          <w:p w14:paraId="11FF77B4"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68 (32,</w:t>
            </w:r>
            <w:proofErr w:type="gramStart"/>
            <w:r w:rsidRPr="00916B3A">
              <w:rPr>
                <w:rFonts w:ascii="Times New Roman" w:eastAsia="Arial Unicode MS" w:hAnsi="Times New Roman" w:cs="Times New Roman"/>
                <w:color w:val="000000"/>
                <w:sz w:val="28"/>
                <w:szCs w:val="28"/>
                <w:u w:color="000000"/>
                <w:bdr w:val="nil"/>
              </w:rPr>
              <w:t>4)</w:t>
            </w:r>
            <w:r w:rsidRPr="00916B3A">
              <w:rPr>
                <w:rFonts w:ascii="Times New Roman" w:eastAsia="Arial Unicode MS" w:hAnsi="Times New Roman" w:cs="Times New Roman"/>
                <w:color w:val="000000"/>
                <w:sz w:val="28"/>
                <w:szCs w:val="28"/>
                <w:u w:color="000000"/>
                <w:bdr w:val="nil"/>
                <w:lang w:val="en-US"/>
              </w:rPr>
              <w:t>#</w:t>
            </w:r>
            <w:proofErr w:type="gramEnd"/>
          </w:p>
          <w:p w14:paraId="109FEBFE"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16 (7,6) &amp;</w:t>
            </w:r>
          </w:p>
        </w:tc>
      </w:tr>
      <w:tr w:rsidR="0038219A" w:rsidRPr="00916B3A" w14:paraId="3C3DFE62" w14:textId="77777777" w:rsidTr="00E84A0A">
        <w:trPr>
          <w:trHeight w:val="415"/>
        </w:trPr>
        <w:tc>
          <w:tcPr>
            <w:tcW w:w="2095" w:type="pct"/>
            <w:tcBorders>
              <w:bottom w:val="nil"/>
            </w:tcBorders>
          </w:tcPr>
          <w:p w14:paraId="77534029"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Бесплодие: -первичное</w:t>
            </w:r>
          </w:p>
          <w:p w14:paraId="4FD16E16"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вторичное</w:t>
            </w:r>
          </w:p>
        </w:tc>
        <w:tc>
          <w:tcPr>
            <w:tcW w:w="1030" w:type="pct"/>
            <w:tcBorders>
              <w:bottom w:val="nil"/>
            </w:tcBorders>
            <w:vAlign w:val="center"/>
          </w:tcPr>
          <w:p w14:paraId="30793250"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20 (34,5)</w:t>
            </w:r>
          </w:p>
          <w:p w14:paraId="348BE541"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38 (65,5)</w:t>
            </w:r>
          </w:p>
        </w:tc>
        <w:tc>
          <w:tcPr>
            <w:tcW w:w="952" w:type="pct"/>
            <w:tcBorders>
              <w:bottom w:val="nil"/>
            </w:tcBorders>
            <w:vAlign w:val="center"/>
          </w:tcPr>
          <w:p w14:paraId="75E6BF4F"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65 (49,2)</w:t>
            </w:r>
          </w:p>
          <w:p w14:paraId="30462B97"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68 (51,5)</w:t>
            </w:r>
          </w:p>
        </w:tc>
        <w:tc>
          <w:tcPr>
            <w:tcW w:w="923" w:type="pct"/>
            <w:tcBorders>
              <w:bottom w:val="nil"/>
            </w:tcBorders>
          </w:tcPr>
          <w:p w14:paraId="0F031D4B"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98 (46,7)</w:t>
            </w:r>
          </w:p>
          <w:p w14:paraId="05878D22"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112 (53,3)</w:t>
            </w:r>
          </w:p>
        </w:tc>
      </w:tr>
    </w:tbl>
    <w:p w14:paraId="3EF6FE58" w14:textId="24884A0A" w:rsidR="00E84A0A" w:rsidRDefault="00E84A0A"/>
    <w:p w14:paraId="1B8D33D5" w14:textId="392ABBD3" w:rsidR="00E84A0A" w:rsidRDefault="00E84A0A" w:rsidP="00E84A0A">
      <w:pPr>
        <w:spacing w:after="0" w:line="240" w:lineRule="auto"/>
        <w:rPr>
          <w:rFonts w:ascii="Times New Roman" w:eastAsia="Calibri" w:hAnsi="Times New Roman" w:cs="Times New Roman"/>
          <w:sz w:val="28"/>
          <w:szCs w:val="28"/>
        </w:rPr>
      </w:pPr>
      <w:r w:rsidRPr="00E84A0A">
        <w:rPr>
          <w:rFonts w:ascii="Times New Roman" w:eastAsia="Calibri" w:hAnsi="Times New Roman" w:cs="Times New Roman"/>
          <w:sz w:val="28"/>
          <w:szCs w:val="28"/>
        </w:rPr>
        <w:t>Продолжение таблицы 7</w:t>
      </w:r>
    </w:p>
    <w:p w14:paraId="37745669" w14:textId="77777777" w:rsidR="00E84A0A" w:rsidRPr="00E84A0A" w:rsidRDefault="00E84A0A" w:rsidP="00E84A0A">
      <w:pPr>
        <w:spacing w:after="0" w:line="240" w:lineRule="auto"/>
        <w:rPr>
          <w:rFonts w:ascii="Times New Roman" w:eastAsia="Calibri" w:hAnsi="Times New Roman" w:cs="Times New Roman"/>
          <w:sz w:val="28"/>
          <w:szCs w:val="28"/>
        </w:rPr>
      </w:pPr>
    </w:p>
    <w:tbl>
      <w:tblPr>
        <w:tblStyle w:val="ae"/>
        <w:tblW w:w="5003" w:type="pct"/>
        <w:tblLook w:val="04A0" w:firstRow="1" w:lastRow="0" w:firstColumn="1" w:lastColumn="0" w:noHBand="0" w:noVBand="1"/>
      </w:tblPr>
      <w:tblGrid>
        <w:gridCol w:w="4037"/>
        <w:gridCol w:w="1985"/>
        <w:gridCol w:w="1834"/>
        <w:gridCol w:w="1778"/>
      </w:tblGrid>
      <w:tr w:rsidR="00E84A0A" w:rsidRPr="00916B3A" w14:paraId="4DC3BE44" w14:textId="77777777" w:rsidTr="00E475DC">
        <w:tc>
          <w:tcPr>
            <w:tcW w:w="2095" w:type="pct"/>
          </w:tcPr>
          <w:p w14:paraId="63483791" w14:textId="696713D6" w:rsidR="00E84A0A" w:rsidRPr="00916B3A" w:rsidRDefault="00E84A0A" w:rsidP="00E84A0A">
            <w:pPr>
              <w:contextualSpacing/>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1</w:t>
            </w:r>
          </w:p>
        </w:tc>
        <w:tc>
          <w:tcPr>
            <w:tcW w:w="1030" w:type="pct"/>
            <w:vAlign w:val="center"/>
          </w:tcPr>
          <w:p w14:paraId="6488974E" w14:textId="3270F07B" w:rsidR="00E84A0A" w:rsidRPr="00916B3A" w:rsidRDefault="00E84A0A" w:rsidP="00E84A0A">
            <w:pPr>
              <w:contextualSpacing/>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2</w:t>
            </w:r>
          </w:p>
        </w:tc>
        <w:tc>
          <w:tcPr>
            <w:tcW w:w="952" w:type="pct"/>
            <w:vAlign w:val="center"/>
          </w:tcPr>
          <w:p w14:paraId="67217F2C" w14:textId="31C65C33" w:rsidR="00E84A0A" w:rsidRPr="00916B3A" w:rsidRDefault="00E84A0A" w:rsidP="00E84A0A">
            <w:pPr>
              <w:contextualSpacing/>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3</w:t>
            </w:r>
          </w:p>
        </w:tc>
        <w:tc>
          <w:tcPr>
            <w:tcW w:w="923" w:type="pct"/>
          </w:tcPr>
          <w:p w14:paraId="0B18B426" w14:textId="21CBEF3D" w:rsidR="00E84A0A" w:rsidRPr="00916B3A" w:rsidRDefault="00E84A0A" w:rsidP="0038219A">
            <w:pPr>
              <w:contextualSpacing/>
              <w:jc w:val="center"/>
              <w:rPr>
                <w:rFonts w:ascii="Times New Roman" w:eastAsia="Arial Unicode MS" w:hAnsi="Times New Roman" w:cs="Times New Roman"/>
                <w:color w:val="000000"/>
                <w:sz w:val="28"/>
                <w:szCs w:val="28"/>
                <w:u w:color="000000"/>
                <w:bdr w:val="nil"/>
              </w:rPr>
            </w:pPr>
            <w:r>
              <w:rPr>
                <w:rFonts w:ascii="Times New Roman" w:eastAsia="Arial Unicode MS" w:hAnsi="Times New Roman" w:cs="Times New Roman"/>
                <w:color w:val="000000"/>
                <w:sz w:val="28"/>
                <w:szCs w:val="28"/>
                <w:u w:color="000000"/>
                <w:bdr w:val="nil"/>
              </w:rPr>
              <w:t>4</w:t>
            </w:r>
          </w:p>
        </w:tc>
      </w:tr>
      <w:tr w:rsidR="0038219A" w:rsidRPr="00916B3A" w14:paraId="6C6202A6" w14:textId="77777777" w:rsidTr="00E475DC">
        <w:tc>
          <w:tcPr>
            <w:tcW w:w="2095" w:type="pct"/>
          </w:tcPr>
          <w:p w14:paraId="3154D5D0"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Причина бесплодия:</w:t>
            </w:r>
          </w:p>
          <w:p w14:paraId="1E9B48BB"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трубный фактор</w:t>
            </w:r>
          </w:p>
          <w:p w14:paraId="4642024E"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мужской фактор</w:t>
            </w:r>
          </w:p>
          <w:p w14:paraId="6D5F320A"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эндокринный фактор</w:t>
            </w:r>
          </w:p>
          <w:p w14:paraId="780FA350"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неясного генеза</w:t>
            </w:r>
          </w:p>
        </w:tc>
        <w:tc>
          <w:tcPr>
            <w:tcW w:w="1030" w:type="pct"/>
            <w:vAlign w:val="center"/>
          </w:tcPr>
          <w:p w14:paraId="0AF933AB"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p>
          <w:p w14:paraId="153FE77D"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32 (55,2)</w:t>
            </w:r>
          </w:p>
          <w:p w14:paraId="4FA05B02"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14 (24,1)</w:t>
            </w:r>
          </w:p>
          <w:p w14:paraId="55D04932"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 (3,4)</w:t>
            </w:r>
          </w:p>
          <w:p w14:paraId="3294EB77"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10 (17,2)</w:t>
            </w:r>
          </w:p>
        </w:tc>
        <w:tc>
          <w:tcPr>
            <w:tcW w:w="952" w:type="pct"/>
            <w:vAlign w:val="center"/>
          </w:tcPr>
          <w:p w14:paraId="161A0814"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p>
          <w:p w14:paraId="7FB4A48E"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98 (74,</w:t>
            </w:r>
            <w:proofErr w:type="gramStart"/>
            <w:r w:rsidRPr="00916B3A">
              <w:rPr>
                <w:rFonts w:ascii="Times New Roman" w:eastAsia="Arial Unicode MS" w:hAnsi="Times New Roman" w:cs="Times New Roman"/>
                <w:color w:val="000000"/>
                <w:sz w:val="28"/>
                <w:szCs w:val="28"/>
                <w:u w:color="000000"/>
                <w:bdr w:val="nil"/>
              </w:rPr>
              <w:t>2)</w:t>
            </w:r>
            <w:r w:rsidRPr="00916B3A">
              <w:rPr>
                <w:rFonts w:ascii="Times New Roman" w:eastAsia="Arial Unicode MS" w:hAnsi="Times New Roman" w:cs="Times New Roman"/>
                <w:color w:val="000000"/>
                <w:sz w:val="28"/>
                <w:szCs w:val="28"/>
                <w:u w:color="000000"/>
                <w:bdr w:val="nil"/>
                <w:lang w:val="en-US"/>
              </w:rPr>
              <w:t>*</w:t>
            </w:r>
            <w:proofErr w:type="gramEnd"/>
          </w:p>
          <w:p w14:paraId="5019CBC1"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28 (21,2)</w:t>
            </w:r>
          </w:p>
          <w:p w14:paraId="08AA81CF"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3 (2,3)</w:t>
            </w:r>
          </w:p>
          <w:p w14:paraId="10429BBF"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4 (3,0)</w:t>
            </w:r>
            <w:r w:rsidRPr="00916B3A">
              <w:rPr>
                <w:rFonts w:ascii="Times New Roman" w:eastAsia="Arial Unicode MS" w:hAnsi="Times New Roman" w:cs="Times New Roman"/>
                <w:color w:val="000000"/>
                <w:sz w:val="28"/>
                <w:szCs w:val="28"/>
                <w:u w:color="000000"/>
                <w:bdr w:val="nil"/>
                <w:lang w:val="en-US"/>
              </w:rPr>
              <w:t>*</w:t>
            </w:r>
          </w:p>
        </w:tc>
        <w:tc>
          <w:tcPr>
            <w:tcW w:w="923" w:type="pct"/>
          </w:tcPr>
          <w:p w14:paraId="665DB50B"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p>
          <w:p w14:paraId="33F74BDA"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160 (76,</w:t>
            </w:r>
            <w:proofErr w:type="gramStart"/>
            <w:r w:rsidRPr="00916B3A">
              <w:rPr>
                <w:rFonts w:ascii="Times New Roman" w:eastAsia="Arial Unicode MS" w:hAnsi="Times New Roman" w:cs="Times New Roman"/>
                <w:color w:val="000000"/>
                <w:sz w:val="28"/>
                <w:szCs w:val="28"/>
                <w:u w:color="000000"/>
                <w:bdr w:val="nil"/>
              </w:rPr>
              <w:t>2)</w:t>
            </w:r>
            <w:r w:rsidRPr="00916B3A">
              <w:rPr>
                <w:rFonts w:ascii="Times New Roman" w:eastAsia="Arial Unicode MS" w:hAnsi="Times New Roman" w:cs="Times New Roman"/>
                <w:color w:val="000000"/>
                <w:sz w:val="28"/>
                <w:szCs w:val="28"/>
                <w:u w:color="000000"/>
                <w:bdr w:val="nil"/>
                <w:lang w:val="en-US"/>
              </w:rPr>
              <w:t>#</w:t>
            </w:r>
            <w:proofErr w:type="gramEnd"/>
          </w:p>
          <w:p w14:paraId="3125B068"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28 (13,3)</w:t>
            </w:r>
          </w:p>
          <w:p w14:paraId="0DED40D4"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12 (5,7)</w:t>
            </w:r>
          </w:p>
          <w:p w14:paraId="61DCBD96"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10 (4,8)</w:t>
            </w:r>
            <w:r w:rsidRPr="00916B3A">
              <w:rPr>
                <w:rFonts w:ascii="Times New Roman" w:eastAsia="Arial Unicode MS" w:hAnsi="Times New Roman" w:cs="Times New Roman"/>
                <w:color w:val="000000"/>
                <w:sz w:val="28"/>
                <w:szCs w:val="28"/>
                <w:u w:color="000000"/>
                <w:bdr w:val="nil"/>
                <w:lang w:val="en-US"/>
              </w:rPr>
              <w:t>#</w:t>
            </w:r>
          </w:p>
        </w:tc>
      </w:tr>
      <w:tr w:rsidR="0038219A" w:rsidRPr="00916B3A" w14:paraId="47403749" w14:textId="77777777" w:rsidTr="00E475DC">
        <w:tc>
          <w:tcPr>
            <w:tcW w:w="2095" w:type="pct"/>
          </w:tcPr>
          <w:p w14:paraId="070C8E5F"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Анамнез невынашивания:</w:t>
            </w:r>
          </w:p>
          <w:p w14:paraId="07BE93EE"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до 12 недель</w:t>
            </w:r>
          </w:p>
          <w:p w14:paraId="353DB487"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свыше 12 недель</w:t>
            </w:r>
          </w:p>
          <w:p w14:paraId="1B43792F"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неразвивающаяся беременность</w:t>
            </w:r>
          </w:p>
        </w:tc>
        <w:tc>
          <w:tcPr>
            <w:tcW w:w="1030" w:type="pct"/>
            <w:vAlign w:val="center"/>
          </w:tcPr>
          <w:p w14:paraId="068CC743"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8 (13,8)</w:t>
            </w:r>
          </w:p>
          <w:p w14:paraId="61C4F7E1"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w:t>
            </w:r>
          </w:p>
          <w:p w14:paraId="5C6668D3"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4 (6,9)</w:t>
            </w:r>
          </w:p>
        </w:tc>
        <w:tc>
          <w:tcPr>
            <w:tcW w:w="952" w:type="pct"/>
            <w:vAlign w:val="center"/>
          </w:tcPr>
          <w:p w14:paraId="5FD04AAE"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10 (7,6)</w:t>
            </w:r>
          </w:p>
          <w:p w14:paraId="54CDE1DB"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w:t>
            </w:r>
          </w:p>
          <w:p w14:paraId="795E76EE"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 (1,5)</w:t>
            </w:r>
          </w:p>
        </w:tc>
        <w:tc>
          <w:tcPr>
            <w:tcW w:w="923" w:type="pct"/>
          </w:tcPr>
          <w:p w14:paraId="380589A3"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p>
          <w:p w14:paraId="477E11C0"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68 (32,</w:t>
            </w:r>
            <w:proofErr w:type="gramStart"/>
            <w:r w:rsidRPr="00916B3A">
              <w:rPr>
                <w:rFonts w:ascii="Times New Roman" w:eastAsia="Arial Unicode MS" w:hAnsi="Times New Roman" w:cs="Times New Roman"/>
                <w:color w:val="000000"/>
                <w:sz w:val="28"/>
                <w:szCs w:val="28"/>
                <w:u w:color="000000"/>
                <w:bdr w:val="nil"/>
              </w:rPr>
              <w:t>4)</w:t>
            </w:r>
            <w:r w:rsidRPr="00916B3A">
              <w:rPr>
                <w:rFonts w:ascii="Times New Roman" w:eastAsia="Arial Unicode MS" w:hAnsi="Times New Roman" w:cs="Times New Roman"/>
                <w:color w:val="000000"/>
                <w:sz w:val="28"/>
                <w:szCs w:val="28"/>
                <w:u w:color="000000"/>
                <w:bdr w:val="nil"/>
                <w:lang w:val="en-US"/>
              </w:rPr>
              <w:t>#</w:t>
            </w:r>
            <w:proofErr w:type="gramEnd"/>
            <w:r w:rsidRPr="00916B3A">
              <w:rPr>
                <w:rFonts w:ascii="Times New Roman" w:eastAsia="Arial Unicode MS" w:hAnsi="Times New Roman" w:cs="Times New Roman"/>
                <w:color w:val="000000"/>
                <w:sz w:val="28"/>
                <w:szCs w:val="28"/>
                <w:u w:color="000000"/>
                <w:bdr w:val="nil"/>
                <w:lang w:val="en-US"/>
              </w:rPr>
              <w:t>&amp;</w:t>
            </w:r>
          </w:p>
          <w:p w14:paraId="4A7BBCEE"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 (1,0)</w:t>
            </w:r>
          </w:p>
          <w:p w14:paraId="080BC98F"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12 (5,7)</w:t>
            </w:r>
          </w:p>
        </w:tc>
      </w:tr>
      <w:tr w:rsidR="0038219A" w:rsidRPr="00916B3A" w14:paraId="435E2D57" w14:textId="77777777" w:rsidTr="00E475DC">
        <w:tc>
          <w:tcPr>
            <w:tcW w:w="2095" w:type="pct"/>
          </w:tcPr>
          <w:p w14:paraId="0595B82D"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эндометриоз</w:t>
            </w:r>
          </w:p>
          <w:p w14:paraId="5BC742DB"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кисты яичников</w:t>
            </w:r>
          </w:p>
          <w:p w14:paraId="065CA15B"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поликистозные яичники</w:t>
            </w:r>
          </w:p>
        </w:tc>
        <w:tc>
          <w:tcPr>
            <w:tcW w:w="1030" w:type="pct"/>
            <w:vAlign w:val="center"/>
          </w:tcPr>
          <w:p w14:paraId="2AA6D2B6"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12 (20,7)</w:t>
            </w:r>
          </w:p>
          <w:p w14:paraId="5CEE61DD"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 (3,4)</w:t>
            </w:r>
          </w:p>
          <w:p w14:paraId="402D3BA5"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3 (</w:t>
            </w:r>
            <w:r w:rsidRPr="00916B3A">
              <w:rPr>
                <w:rFonts w:ascii="Times New Roman" w:eastAsia="Arial Unicode MS" w:hAnsi="Times New Roman" w:cs="Times New Roman"/>
                <w:color w:val="000000"/>
                <w:sz w:val="28"/>
                <w:szCs w:val="28"/>
                <w:u w:color="000000"/>
                <w:bdr w:val="nil"/>
                <w:lang w:val="en-US"/>
              </w:rPr>
              <w:t>5</w:t>
            </w:r>
            <w:r w:rsidRPr="00916B3A">
              <w:rPr>
                <w:rFonts w:ascii="Times New Roman" w:eastAsia="Arial Unicode MS" w:hAnsi="Times New Roman" w:cs="Times New Roman"/>
                <w:color w:val="000000"/>
                <w:sz w:val="28"/>
                <w:szCs w:val="28"/>
                <w:u w:color="000000"/>
                <w:bdr w:val="nil"/>
              </w:rPr>
              <w:t>,2)</w:t>
            </w:r>
            <w:r w:rsidRPr="00916B3A">
              <w:rPr>
                <w:rFonts w:ascii="Times New Roman" w:eastAsia="Arial Unicode MS" w:hAnsi="Times New Roman" w:cs="Times New Roman"/>
                <w:color w:val="000000"/>
                <w:sz w:val="28"/>
                <w:szCs w:val="28"/>
                <w:u w:color="000000"/>
                <w:bdr w:val="nil"/>
                <w:lang w:val="en-US"/>
              </w:rPr>
              <w:t>*</w:t>
            </w:r>
          </w:p>
        </w:tc>
        <w:tc>
          <w:tcPr>
            <w:tcW w:w="952" w:type="pct"/>
            <w:vAlign w:val="center"/>
          </w:tcPr>
          <w:p w14:paraId="2255F30C"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916B3A">
              <w:rPr>
                <w:rFonts w:ascii="Times New Roman" w:eastAsia="Arial Unicode MS" w:hAnsi="Times New Roman" w:cs="Times New Roman"/>
                <w:color w:val="000000"/>
                <w:sz w:val="28"/>
                <w:szCs w:val="28"/>
                <w:u w:color="000000"/>
                <w:bdr w:val="nil"/>
              </w:rPr>
              <w:t>10 (7,</w:t>
            </w:r>
            <w:proofErr w:type="gramStart"/>
            <w:r w:rsidRPr="00916B3A">
              <w:rPr>
                <w:rFonts w:ascii="Times New Roman" w:eastAsia="Arial Unicode MS" w:hAnsi="Times New Roman" w:cs="Times New Roman"/>
                <w:color w:val="000000"/>
                <w:sz w:val="28"/>
                <w:szCs w:val="28"/>
                <w:u w:color="000000"/>
                <w:bdr w:val="nil"/>
              </w:rPr>
              <w:t>6)</w:t>
            </w:r>
            <w:r w:rsidRPr="00916B3A">
              <w:rPr>
                <w:rFonts w:ascii="Times New Roman" w:eastAsia="Arial Unicode MS" w:hAnsi="Times New Roman" w:cs="Times New Roman"/>
                <w:color w:val="000000"/>
                <w:sz w:val="28"/>
                <w:szCs w:val="28"/>
                <w:u w:color="000000"/>
                <w:bdr w:val="nil"/>
                <w:lang w:val="en-US"/>
              </w:rPr>
              <w:t>*</w:t>
            </w:r>
            <w:proofErr w:type="gramEnd"/>
          </w:p>
          <w:p w14:paraId="5659DF7C"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 (0,8)</w:t>
            </w:r>
          </w:p>
          <w:p w14:paraId="50DF86DD"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w:t>
            </w:r>
          </w:p>
        </w:tc>
        <w:tc>
          <w:tcPr>
            <w:tcW w:w="923" w:type="pct"/>
          </w:tcPr>
          <w:p w14:paraId="2A45BEED"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28 (13,3)</w:t>
            </w:r>
          </w:p>
          <w:p w14:paraId="50BA607D"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2 (1,0)</w:t>
            </w:r>
          </w:p>
          <w:p w14:paraId="191485D0"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10 (4,8)</w:t>
            </w:r>
          </w:p>
        </w:tc>
      </w:tr>
      <w:tr w:rsidR="0038219A" w:rsidRPr="00916B3A" w14:paraId="69405DA1" w14:textId="77777777" w:rsidTr="00E475DC">
        <w:trPr>
          <w:trHeight w:val="359"/>
        </w:trPr>
        <w:tc>
          <w:tcPr>
            <w:tcW w:w="2095" w:type="pct"/>
          </w:tcPr>
          <w:p w14:paraId="0EFE45F7" w14:textId="77777777" w:rsidR="0038219A" w:rsidRPr="00916B3A" w:rsidRDefault="0038219A" w:rsidP="0038219A">
            <w:pPr>
              <w:contextualSpacing/>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Патология спермограммы</w:t>
            </w:r>
          </w:p>
        </w:tc>
        <w:tc>
          <w:tcPr>
            <w:tcW w:w="1030" w:type="pct"/>
            <w:vAlign w:val="center"/>
          </w:tcPr>
          <w:p w14:paraId="4BCEC2A9"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35 (60,3)</w:t>
            </w:r>
          </w:p>
        </w:tc>
        <w:tc>
          <w:tcPr>
            <w:tcW w:w="952" w:type="pct"/>
            <w:vAlign w:val="center"/>
          </w:tcPr>
          <w:p w14:paraId="560EB47F"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75 (56,</w:t>
            </w:r>
            <w:r w:rsidRPr="00916B3A">
              <w:rPr>
                <w:rFonts w:ascii="Times New Roman" w:eastAsia="Arial Unicode MS" w:hAnsi="Times New Roman" w:cs="Times New Roman"/>
                <w:color w:val="000000"/>
                <w:sz w:val="28"/>
                <w:szCs w:val="28"/>
                <w:u w:color="000000"/>
                <w:bdr w:val="nil"/>
                <w:lang w:val="en-US"/>
              </w:rPr>
              <w:t>4</w:t>
            </w:r>
            <w:r w:rsidRPr="00916B3A">
              <w:rPr>
                <w:rFonts w:ascii="Times New Roman" w:eastAsia="Arial Unicode MS" w:hAnsi="Times New Roman" w:cs="Times New Roman"/>
                <w:color w:val="000000"/>
                <w:sz w:val="28"/>
                <w:szCs w:val="28"/>
                <w:u w:color="000000"/>
                <w:bdr w:val="nil"/>
              </w:rPr>
              <w:t>)</w:t>
            </w:r>
          </w:p>
        </w:tc>
        <w:tc>
          <w:tcPr>
            <w:tcW w:w="923" w:type="pct"/>
          </w:tcPr>
          <w:p w14:paraId="0D2F4395" w14:textId="77777777" w:rsidR="0038219A" w:rsidRPr="00916B3A" w:rsidRDefault="0038219A" w:rsidP="0038219A">
            <w:pPr>
              <w:contextualSpacing/>
              <w:jc w:val="center"/>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110 (52,4)</w:t>
            </w:r>
          </w:p>
        </w:tc>
      </w:tr>
      <w:tr w:rsidR="00E475DC" w:rsidRPr="00916B3A" w14:paraId="2DFA909B" w14:textId="77777777" w:rsidTr="00E475DC">
        <w:trPr>
          <w:trHeight w:val="359"/>
        </w:trPr>
        <w:tc>
          <w:tcPr>
            <w:tcW w:w="5000" w:type="pct"/>
            <w:gridSpan w:val="4"/>
          </w:tcPr>
          <w:p w14:paraId="1A7FA571" w14:textId="7C9EC831" w:rsidR="00E475DC" w:rsidRPr="00916B3A" w:rsidRDefault="00E475DC" w:rsidP="00A66F48">
            <w:pPr>
              <w:ind w:firstLine="744"/>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Примечания: * - различия статистически значимы при р&lt;0,05 между (1) и (2) группами; # - между (1) и (3) группами; &amp; - между (2) и (3) группами.</w:t>
            </w:r>
          </w:p>
        </w:tc>
      </w:tr>
    </w:tbl>
    <w:p w14:paraId="0248E300" w14:textId="77777777" w:rsidR="0038219A" w:rsidRPr="00916B3A" w:rsidRDefault="0038219A" w:rsidP="0038219A">
      <w:pPr>
        <w:spacing w:after="0" w:line="240" w:lineRule="auto"/>
        <w:ind w:firstLine="567"/>
        <w:jc w:val="both"/>
        <w:rPr>
          <w:rFonts w:ascii="Times New Roman" w:eastAsia="Arial Unicode MS" w:hAnsi="Times New Roman" w:cs="Times New Roman"/>
          <w:color w:val="000000"/>
          <w:sz w:val="28"/>
          <w:szCs w:val="28"/>
          <w:u w:color="000000"/>
          <w:bdr w:val="nil"/>
        </w:rPr>
      </w:pPr>
      <w:bookmarkStart w:id="26" w:name="_Hlk122041259"/>
    </w:p>
    <w:p w14:paraId="413919FE"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В структуре пациенток в период реализации госпрограммы преобладали пациентки в возрасте до 34 лет (54,5-60% в 2021-2022 гг. и 24,1% в 2020 г. соответственно), с трубным фактором бесплодия (74,2-76,2% и 55,2% соответственно), при этом бесплодие неясного генеза наблюдалось достоверно реже (3,0-4,8%), чем до внедрения госпрограммы (17,2%). В 2022 г. увеличилась доля пациенток с наличием невынашивания беременности в анамнезе (32,4%), и уменьшилось доля пациенток с эндометриозом.</w:t>
      </w:r>
    </w:p>
    <w:p w14:paraId="46A6F872"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xml:space="preserve">Следует отметить, что в прегравидарной подготовке у пациенток проводилось обследование на наличие антихламидийных антител методом ИФА, оценка овариального резерва по уровню антимюллерова гормона, ультразвуковое исследование органов малого таза и гистеросальпингография. </w:t>
      </w:r>
    </w:p>
    <w:p w14:paraId="0E960FB9"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xml:space="preserve">Результаты лабораторно-инструментального обследования пациенток, вступивших в процедуру ЭКО до и после внедрения госпрограммы, представлены в таблице 8.   </w:t>
      </w:r>
    </w:p>
    <w:p w14:paraId="2DE5EBAC"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p>
    <w:bookmarkEnd w:id="26"/>
    <w:p w14:paraId="688EF98D" w14:textId="77777777" w:rsidR="0038219A" w:rsidRPr="00916B3A" w:rsidRDefault="0038219A" w:rsidP="0038219A">
      <w:pPr>
        <w:spacing w:after="0" w:line="240" w:lineRule="auto"/>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Таблица 8 – Результаты лабораторно-инструментального обследования пациенток, вступивших в процедуру ЭКО до и после внедрения «</w:t>
      </w:r>
      <w:r w:rsidRPr="00916B3A">
        <w:rPr>
          <w:rFonts w:ascii="Times New Roman" w:eastAsia="Arial Unicode MS" w:hAnsi="Times New Roman" w:cs="Times New Roman"/>
          <w:color w:val="000000"/>
          <w:sz w:val="28"/>
          <w:szCs w:val="28"/>
          <w:u w:color="000000"/>
          <w:bdr w:val="nil"/>
          <w:lang w:val="kk-KZ"/>
        </w:rPr>
        <w:t>Аңсаған</w:t>
      </w:r>
      <w:r w:rsidRPr="00916B3A">
        <w:rPr>
          <w:rFonts w:ascii="Times New Roman" w:eastAsia="Arial Unicode MS" w:hAnsi="Times New Roman" w:cs="Times New Roman"/>
          <w:color w:val="000000"/>
          <w:sz w:val="28"/>
          <w:szCs w:val="28"/>
          <w:u w:color="000000"/>
          <w:bdr w:val="nil"/>
        </w:rPr>
        <w:t xml:space="preserve"> </w:t>
      </w:r>
      <w:r w:rsidRPr="00916B3A">
        <w:rPr>
          <w:rFonts w:ascii="Times New Roman" w:eastAsia="Arial Unicode MS" w:hAnsi="Times New Roman" w:cs="Times New Roman"/>
          <w:color w:val="000000"/>
          <w:sz w:val="28"/>
          <w:szCs w:val="28"/>
          <w:u w:color="000000"/>
          <w:bdr w:val="nil"/>
          <w:lang w:val="kk-KZ"/>
        </w:rPr>
        <w:t>сәби</w:t>
      </w:r>
      <w:r w:rsidRPr="00916B3A">
        <w:rPr>
          <w:rFonts w:ascii="Times New Roman" w:eastAsia="Arial Unicode MS" w:hAnsi="Times New Roman" w:cs="Times New Roman"/>
          <w:color w:val="000000"/>
          <w:sz w:val="28"/>
          <w:szCs w:val="28"/>
          <w:u w:color="000000"/>
          <w:bdr w:val="nil"/>
        </w:rPr>
        <w:t>»</w:t>
      </w:r>
    </w:p>
    <w:p w14:paraId="50088EC8" w14:textId="77777777" w:rsidR="0038219A" w:rsidRPr="00916B3A" w:rsidRDefault="0038219A" w:rsidP="0038219A">
      <w:pPr>
        <w:spacing w:after="0" w:line="240" w:lineRule="auto"/>
        <w:jc w:val="both"/>
        <w:rPr>
          <w:rFonts w:ascii="Times New Roman" w:eastAsia="Arial Unicode MS" w:hAnsi="Times New Roman" w:cs="Times New Roman"/>
          <w:color w:val="000000"/>
          <w:sz w:val="28"/>
          <w:szCs w:val="28"/>
          <w:u w:color="000000"/>
          <w:bdr w:val="nil"/>
        </w:rPr>
      </w:pPr>
    </w:p>
    <w:tbl>
      <w:tblPr>
        <w:tblStyle w:val="ae"/>
        <w:tblW w:w="5000" w:type="pct"/>
        <w:tblLook w:val="04A0" w:firstRow="1" w:lastRow="0" w:firstColumn="1" w:lastColumn="0" w:noHBand="0" w:noVBand="1"/>
      </w:tblPr>
      <w:tblGrid>
        <w:gridCol w:w="3969"/>
        <w:gridCol w:w="1723"/>
        <w:gridCol w:w="2189"/>
        <w:gridCol w:w="1747"/>
      </w:tblGrid>
      <w:tr w:rsidR="0038219A" w:rsidRPr="00A66F48" w14:paraId="634C5F1F" w14:textId="77777777" w:rsidTr="00A66F48">
        <w:trPr>
          <w:trHeight w:val="453"/>
        </w:trPr>
        <w:tc>
          <w:tcPr>
            <w:tcW w:w="2061" w:type="pct"/>
            <w:vMerge w:val="restart"/>
          </w:tcPr>
          <w:p w14:paraId="735A7275"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Показатели</w:t>
            </w:r>
          </w:p>
        </w:tc>
        <w:tc>
          <w:tcPr>
            <w:tcW w:w="2939" w:type="pct"/>
            <w:gridSpan w:val="3"/>
          </w:tcPr>
          <w:p w14:paraId="6FE5F09B"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Группы пациенток, абс. (%)</w:t>
            </w:r>
          </w:p>
        </w:tc>
      </w:tr>
      <w:tr w:rsidR="0038219A" w:rsidRPr="00A66F48" w14:paraId="1B45E1E0" w14:textId="77777777" w:rsidTr="00E84A0A">
        <w:trPr>
          <w:trHeight w:val="386"/>
        </w:trPr>
        <w:tc>
          <w:tcPr>
            <w:tcW w:w="2061" w:type="pct"/>
            <w:vMerge/>
          </w:tcPr>
          <w:p w14:paraId="03EA0900" w14:textId="77777777" w:rsidR="0038219A" w:rsidRPr="00A66F48" w:rsidRDefault="0038219A" w:rsidP="0038219A">
            <w:pPr>
              <w:contextualSpacing/>
              <w:jc w:val="both"/>
              <w:rPr>
                <w:rFonts w:ascii="Times New Roman" w:eastAsia="Arial Unicode MS" w:hAnsi="Times New Roman" w:cs="Times New Roman"/>
                <w:color w:val="000000"/>
                <w:sz w:val="24"/>
                <w:szCs w:val="24"/>
                <w:u w:color="000000"/>
                <w:bdr w:val="nil"/>
              </w:rPr>
            </w:pPr>
          </w:p>
        </w:tc>
        <w:tc>
          <w:tcPr>
            <w:tcW w:w="895" w:type="pct"/>
          </w:tcPr>
          <w:p w14:paraId="4467E538"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2020 (1)</w:t>
            </w:r>
          </w:p>
        </w:tc>
        <w:tc>
          <w:tcPr>
            <w:tcW w:w="1137" w:type="pct"/>
          </w:tcPr>
          <w:p w14:paraId="60D1733A"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2021 (2)</w:t>
            </w:r>
          </w:p>
        </w:tc>
        <w:tc>
          <w:tcPr>
            <w:tcW w:w="907" w:type="pct"/>
          </w:tcPr>
          <w:p w14:paraId="5E3E68C3"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lang w:val="en-US"/>
              </w:rPr>
            </w:pPr>
            <w:r w:rsidRPr="00A66F48">
              <w:rPr>
                <w:rFonts w:ascii="Times New Roman" w:eastAsia="Arial Unicode MS" w:hAnsi="Times New Roman" w:cs="Times New Roman"/>
                <w:color w:val="000000"/>
                <w:sz w:val="24"/>
                <w:szCs w:val="24"/>
                <w:u w:color="000000"/>
                <w:bdr w:val="nil"/>
              </w:rPr>
              <w:t>2022 (3)</w:t>
            </w:r>
          </w:p>
        </w:tc>
      </w:tr>
      <w:tr w:rsidR="00E84A0A" w:rsidRPr="00A66F48" w14:paraId="0E8F90CF" w14:textId="77777777" w:rsidTr="00E84A0A">
        <w:trPr>
          <w:trHeight w:val="386"/>
        </w:trPr>
        <w:tc>
          <w:tcPr>
            <w:tcW w:w="2061" w:type="pct"/>
            <w:tcBorders>
              <w:bottom w:val="single" w:sz="4" w:space="0" w:color="auto"/>
            </w:tcBorders>
          </w:tcPr>
          <w:p w14:paraId="0AB0B5FD" w14:textId="34B3121E" w:rsidR="00E84A0A" w:rsidRPr="00A66F48" w:rsidRDefault="00E84A0A" w:rsidP="00E84A0A">
            <w:pPr>
              <w:contextualSpacing/>
              <w:jc w:val="center"/>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1</w:t>
            </w:r>
          </w:p>
        </w:tc>
        <w:tc>
          <w:tcPr>
            <w:tcW w:w="895" w:type="pct"/>
            <w:tcBorders>
              <w:bottom w:val="single" w:sz="4" w:space="0" w:color="auto"/>
            </w:tcBorders>
          </w:tcPr>
          <w:p w14:paraId="38426056" w14:textId="54CAD639" w:rsidR="00E84A0A" w:rsidRPr="00A66F48" w:rsidRDefault="00E84A0A" w:rsidP="0038219A">
            <w:pPr>
              <w:contextualSpacing/>
              <w:jc w:val="center"/>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2</w:t>
            </w:r>
          </w:p>
        </w:tc>
        <w:tc>
          <w:tcPr>
            <w:tcW w:w="1137" w:type="pct"/>
            <w:tcBorders>
              <w:bottom w:val="single" w:sz="4" w:space="0" w:color="auto"/>
            </w:tcBorders>
          </w:tcPr>
          <w:p w14:paraId="65768A46" w14:textId="048933EF" w:rsidR="00E84A0A" w:rsidRPr="00A66F48" w:rsidRDefault="00E84A0A" w:rsidP="0038219A">
            <w:pPr>
              <w:contextualSpacing/>
              <w:jc w:val="center"/>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3</w:t>
            </w:r>
          </w:p>
        </w:tc>
        <w:tc>
          <w:tcPr>
            <w:tcW w:w="907" w:type="pct"/>
            <w:tcBorders>
              <w:bottom w:val="single" w:sz="4" w:space="0" w:color="auto"/>
            </w:tcBorders>
          </w:tcPr>
          <w:p w14:paraId="0FA380C4" w14:textId="1E9A0888" w:rsidR="00E84A0A" w:rsidRPr="00A66F48" w:rsidRDefault="00E84A0A" w:rsidP="0038219A">
            <w:pPr>
              <w:contextualSpacing/>
              <w:jc w:val="center"/>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4</w:t>
            </w:r>
          </w:p>
        </w:tc>
      </w:tr>
      <w:tr w:rsidR="0038219A" w:rsidRPr="00A66F48" w14:paraId="000D680B" w14:textId="77777777" w:rsidTr="00E84A0A">
        <w:trPr>
          <w:trHeight w:val="302"/>
        </w:trPr>
        <w:tc>
          <w:tcPr>
            <w:tcW w:w="2061" w:type="pct"/>
            <w:tcBorders>
              <w:bottom w:val="nil"/>
            </w:tcBorders>
          </w:tcPr>
          <w:p w14:paraId="62F70A77" w14:textId="77777777" w:rsidR="0038219A" w:rsidRPr="00A66F48" w:rsidRDefault="0038219A" w:rsidP="0038219A">
            <w:pPr>
              <w:contextualSpacing/>
              <w:jc w:val="both"/>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 xml:space="preserve">ИФА на хламидиоз (положительный) </w:t>
            </w:r>
          </w:p>
        </w:tc>
        <w:tc>
          <w:tcPr>
            <w:tcW w:w="895" w:type="pct"/>
            <w:tcBorders>
              <w:bottom w:val="nil"/>
            </w:tcBorders>
            <w:vAlign w:val="center"/>
          </w:tcPr>
          <w:p w14:paraId="3A596AFF"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2 (3,4)</w:t>
            </w:r>
          </w:p>
          <w:p w14:paraId="136A8478"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rPr>
            </w:pPr>
          </w:p>
        </w:tc>
        <w:tc>
          <w:tcPr>
            <w:tcW w:w="1137" w:type="pct"/>
            <w:tcBorders>
              <w:bottom w:val="nil"/>
            </w:tcBorders>
            <w:vAlign w:val="center"/>
          </w:tcPr>
          <w:p w14:paraId="78689C2C"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5 (3,8)</w:t>
            </w:r>
          </w:p>
          <w:p w14:paraId="603C471B"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rPr>
            </w:pPr>
          </w:p>
        </w:tc>
        <w:tc>
          <w:tcPr>
            <w:tcW w:w="907" w:type="pct"/>
            <w:tcBorders>
              <w:bottom w:val="nil"/>
            </w:tcBorders>
          </w:tcPr>
          <w:p w14:paraId="0380D238" w14:textId="77777777" w:rsidR="0038219A" w:rsidRPr="00A66F48" w:rsidRDefault="0038219A" w:rsidP="0038219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15 (7,1)</w:t>
            </w:r>
          </w:p>
        </w:tc>
      </w:tr>
    </w:tbl>
    <w:p w14:paraId="716F6EDC" w14:textId="77777777" w:rsidR="003235EC" w:rsidRDefault="003235EC" w:rsidP="00E84A0A">
      <w:pPr>
        <w:spacing w:after="0" w:line="240" w:lineRule="auto"/>
        <w:rPr>
          <w:rFonts w:ascii="Times New Roman" w:eastAsia="Calibri" w:hAnsi="Times New Roman" w:cs="Times New Roman"/>
          <w:sz w:val="28"/>
          <w:szCs w:val="28"/>
        </w:rPr>
      </w:pPr>
    </w:p>
    <w:p w14:paraId="698462E8" w14:textId="1B679FF0" w:rsidR="00E84A0A" w:rsidRDefault="00E84A0A" w:rsidP="00E84A0A">
      <w:pPr>
        <w:spacing w:after="0" w:line="240" w:lineRule="auto"/>
        <w:rPr>
          <w:rFonts w:ascii="Times New Roman" w:eastAsia="Calibri" w:hAnsi="Times New Roman" w:cs="Times New Roman"/>
          <w:sz w:val="28"/>
          <w:szCs w:val="28"/>
        </w:rPr>
      </w:pPr>
      <w:r w:rsidRPr="00E84A0A">
        <w:rPr>
          <w:rFonts w:ascii="Times New Roman" w:eastAsia="Calibri" w:hAnsi="Times New Roman" w:cs="Times New Roman"/>
          <w:sz w:val="28"/>
          <w:szCs w:val="28"/>
        </w:rPr>
        <w:t xml:space="preserve">Продолжение таблицы </w:t>
      </w:r>
      <w:r>
        <w:rPr>
          <w:rFonts w:ascii="Times New Roman" w:eastAsia="Calibri" w:hAnsi="Times New Roman" w:cs="Times New Roman"/>
          <w:sz w:val="28"/>
          <w:szCs w:val="28"/>
        </w:rPr>
        <w:t>8</w:t>
      </w:r>
    </w:p>
    <w:p w14:paraId="1645FF6F" w14:textId="77777777" w:rsidR="00E84A0A" w:rsidRDefault="00E84A0A"/>
    <w:tbl>
      <w:tblPr>
        <w:tblStyle w:val="ae"/>
        <w:tblW w:w="5000" w:type="pct"/>
        <w:tblLook w:val="04A0" w:firstRow="1" w:lastRow="0" w:firstColumn="1" w:lastColumn="0" w:noHBand="0" w:noVBand="1"/>
      </w:tblPr>
      <w:tblGrid>
        <w:gridCol w:w="3969"/>
        <w:gridCol w:w="1723"/>
        <w:gridCol w:w="2189"/>
        <w:gridCol w:w="1747"/>
      </w:tblGrid>
      <w:tr w:rsidR="0038219A" w:rsidRPr="00A66F48" w14:paraId="6B88B5C0" w14:textId="77777777" w:rsidTr="00E84A0A">
        <w:trPr>
          <w:trHeight w:val="302"/>
        </w:trPr>
        <w:tc>
          <w:tcPr>
            <w:tcW w:w="2061" w:type="pct"/>
          </w:tcPr>
          <w:p w14:paraId="1D5D1C3B" w14:textId="0D70A745" w:rsidR="0038219A" w:rsidRPr="00A66F48" w:rsidRDefault="00E84A0A" w:rsidP="00E84A0A">
            <w:pPr>
              <w:contextualSpacing/>
              <w:jc w:val="center"/>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1</w:t>
            </w:r>
          </w:p>
        </w:tc>
        <w:tc>
          <w:tcPr>
            <w:tcW w:w="895" w:type="pct"/>
            <w:vAlign w:val="center"/>
          </w:tcPr>
          <w:p w14:paraId="1810B9B0" w14:textId="35CDA7AE" w:rsidR="0038219A" w:rsidRPr="00A66F48" w:rsidRDefault="00E84A0A" w:rsidP="0038219A">
            <w:pPr>
              <w:contextualSpacing/>
              <w:jc w:val="center"/>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2</w:t>
            </w:r>
          </w:p>
        </w:tc>
        <w:tc>
          <w:tcPr>
            <w:tcW w:w="1137" w:type="pct"/>
            <w:vAlign w:val="center"/>
          </w:tcPr>
          <w:p w14:paraId="54B0432B" w14:textId="2DA69F18" w:rsidR="0038219A" w:rsidRPr="00A66F48" w:rsidRDefault="00E84A0A" w:rsidP="0038219A">
            <w:pPr>
              <w:contextualSpacing/>
              <w:jc w:val="center"/>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3</w:t>
            </w:r>
          </w:p>
        </w:tc>
        <w:tc>
          <w:tcPr>
            <w:tcW w:w="907" w:type="pct"/>
          </w:tcPr>
          <w:p w14:paraId="090DA53C" w14:textId="6C32303C" w:rsidR="0038219A" w:rsidRPr="00A66F48" w:rsidRDefault="00E84A0A" w:rsidP="0038219A">
            <w:pPr>
              <w:contextualSpacing/>
              <w:jc w:val="center"/>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4</w:t>
            </w:r>
          </w:p>
        </w:tc>
      </w:tr>
      <w:tr w:rsidR="00E84A0A" w:rsidRPr="00A66F48" w14:paraId="46040269" w14:textId="77777777" w:rsidTr="00E84A0A">
        <w:trPr>
          <w:trHeight w:val="302"/>
        </w:trPr>
        <w:tc>
          <w:tcPr>
            <w:tcW w:w="2061" w:type="pct"/>
          </w:tcPr>
          <w:p w14:paraId="57645BBE" w14:textId="794992FB" w:rsidR="00E84A0A" w:rsidRPr="00A66F48" w:rsidRDefault="00E84A0A" w:rsidP="00E84A0A">
            <w:pPr>
              <w:contextualSpacing/>
              <w:jc w:val="both"/>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Снижение уровня антимюллерова гормона (менее 1,0 нг/мл)</w:t>
            </w:r>
          </w:p>
        </w:tc>
        <w:tc>
          <w:tcPr>
            <w:tcW w:w="895" w:type="pct"/>
            <w:vAlign w:val="center"/>
          </w:tcPr>
          <w:p w14:paraId="402069CE" w14:textId="1698A6DD" w:rsidR="00E84A0A" w:rsidRPr="00A66F48" w:rsidRDefault="00E84A0A" w:rsidP="00E84A0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8 (13,8)</w:t>
            </w:r>
          </w:p>
        </w:tc>
        <w:tc>
          <w:tcPr>
            <w:tcW w:w="1137" w:type="pct"/>
            <w:vAlign w:val="center"/>
          </w:tcPr>
          <w:p w14:paraId="3687DF40" w14:textId="7946338A" w:rsidR="00E84A0A" w:rsidRPr="00A66F48" w:rsidRDefault="00E84A0A" w:rsidP="00E84A0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14 (10,5)</w:t>
            </w:r>
          </w:p>
        </w:tc>
        <w:tc>
          <w:tcPr>
            <w:tcW w:w="907" w:type="pct"/>
          </w:tcPr>
          <w:p w14:paraId="158C64CE" w14:textId="15342B5F" w:rsidR="00E84A0A" w:rsidRPr="00A66F48" w:rsidRDefault="00E84A0A" w:rsidP="00E84A0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12 (5,7)</w:t>
            </w:r>
          </w:p>
        </w:tc>
      </w:tr>
      <w:tr w:rsidR="00E84A0A" w:rsidRPr="00A66F48" w14:paraId="505495C8" w14:textId="77777777" w:rsidTr="00E84A0A">
        <w:trPr>
          <w:trHeight w:val="302"/>
        </w:trPr>
        <w:tc>
          <w:tcPr>
            <w:tcW w:w="2061" w:type="pct"/>
          </w:tcPr>
          <w:p w14:paraId="76B18779" w14:textId="77777777" w:rsidR="00E84A0A" w:rsidRPr="00A66F48" w:rsidRDefault="00E84A0A" w:rsidP="00E84A0A">
            <w:pPr>
              <w:contextualSpacing/>
              <w:jc w:val="both"/>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Выявлена патология при ГСГ</w:t>
            </w:r>
          </w:p>
        </w:tc>
        <w:tc>
          <w:tcPr>
            <w:tcW w:w="895" w:type="pct"/>
            <w:vAlign w:val="center"/>
          </w:tcPr>
          <w:p w14:paraId="13A72F8F" w14:textId="77777777" w:rsidR="00E84A0A" w:rsidRPr="00A66F48" w:rsidRDefault="00E84A0A" w:rsidP="00E84A0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15 (30,0)</w:t>
            </w:r>
          </w:p>
        </w:tc>
        <w:tc>
          <w:tcPr>
            <w:tcW w:w="1137" w:type="pct"/>
            <w:vAlign w:val="center"/>
          </w:tcPr>
          <w:p w14:paraId="0FD84B82" w14:textId="77777777" w:rsidR="00E84A0A" w:rsidRPr="00A66F48" w:rsidRDefault="00E84A0A" w:rsidP="00E84A0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 xml:space="preserve">39 (33,9) </w:t>
            </w:r>
          </w:p>
        </w:tc>
        <w:tc>
          <w:tcPr>
            <w:tcW w:w="907" w:type="pct"/>
          </w:tcPr>
          <w:p w14:paraId="77D5636F" w14:textId="77777777" w:rsidR="00E84A0A" w:rsidRPr="00A66F48" w:rsidRDefault="00E84A0A" w:rsidP="00E84A0A">
            <w:pPr>
              <w:contextualSpacing/>
              <w:jc w:val="center"/>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6 (3,2) #&amp;</w:t>
            </w:r>
          </w:p>
        </w:tc>
      </w:tr>
      <w:tr w:rsidR="00E84A0A" w:rsidRPr="00A66F48" w14:paraId="13D497F5" w14:textId="77777777" w:rsidTr="00A66F48">
        <w:trPr>
          <w:trHeight w:val="302"/>
        </w:trPr>
        <w:tc>
          <w:tcPr>
            <w:tcW w:w="5000" w:type="pct"/>
            <w:gridSpan w:val="4"/>
          </w:tcPr>
          <w:p w14:paraId="72DFDE51" w14:textId="77777777" w:rsidR="00E84A0A" w:rsidRPr="00A66F48" w:rsidRDefault="00E84A0A" w:rsidP="00E84A0A">
            <w:pPr>
              <w:jc w:val="both"/>
              <w:rPr>
                <w:rFonts w:ascii="Times New Roman" w:eastAsia="Arial Unicode MS" w:hAnsi="Times New Roman" w:cs="Times New Roman"/>
                <w:color w:val="000000"/>
                <w:sz w:val="24"/>
                <w:szCs w:val="24"/>
                <w:u w:color="000000"/>
                <w:bdr w:val="nil"/>
              </w:rPr>
            </w:pPr>
            <w:r w:rsidRPr="00A66F48">
              <w:rPr>
                <w:rFonts w:ascii="Times New Roman" w:eastAsia="Arial Unicode MS" w:hAnsi="Times New Roman" w:cs="Times New Roman"/>
                <w:color w:val="000000"/>
                <w:sz w:val="24"/>
                <w:szCs w:val="24"/>
                <w:u w:color="000000"/>
                <w:bdr w:val="nil"/>
              </w:rPr>
              <w:t xml:space="preserve">Примечания: ИФА – иммуноферментный анализ, ГСГ – гистеросальпингография.  </w:t>
            </w:r>
          </w:p>
          <w:p w14:paraId="509C361B" w14:textId="4791A2AD" w:rsidR="00E84A0A" w:rsidRPr="00A66F48" w:rsidRDefault="00E84A0A" w:rsidP="00E84A0A">
            <w:pPr>
              <w:jc w:val="both"/>
              <w:rPr>
                <w:rFonts w:ascii="Times New Roman" w:eastAsia="Arial Unicode MS" w:hAnsi="Times New Roman" w:cs="Times New Roman"/>
                <w:color w:val="000000"/>
                <w:sz w:val="24"/>
                <w:szCs w:val="24"/>
                <w:u w:color="000000"/>
                <w:bdr w:val="nil"/>
              </w:rPr>
            </w:pPr>
            <w:r w:rsidRPr="00916B3A">
              <w:rPr>
                <w:rFonts w:ascii="Times New Roman" w:eastAsia="Arial Unicode MS" w:hAnsi="Times New Roman" w:cs="Times New Roman"/>
                <w:color w:val="000000"/>
                <w:sz w:val="24"/>
                <w:szCs w:val="24"/>
                <w:u w:color="000000"/>
                <w:bdr w:val="nil"/>
              </w:rPr>
              <w:t># - различия статистически значимы при р&lt;0,05 между (1) и (3) группами; &amp; - между (2) и (3) группами.</w:t>
            </w:r>
          </w:p>
        </w:tc>
      </w:tr>
    </w:tbl>
    <w:p w14:paraId="276972FE"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p>
    <w:p w14:paraId="136D36AC"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xml:space="preserve">Было выявлено, что в структуре пациенток, вступивших в госпрограмму в 2022 году, выявление патологии при гистеросальпингографии было значимо ниже (3,2%), чем до реализации программы (30%) и в первый год реализации (33,9%). </w:t>
      </w:r>
    </w:p>
    <w:p w14:paraId="5FD71809"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xml:space="preserve">Мониторинг эффективности процедур ВРТ представлен в таблице 9. </w:t>
      </w:r>
    </w:p>
    <w:p w14:paraId="59C1E9E9" w14:textId="77777777" w:rsidR="0038219A" w:rsidRPr="00916B3A" w:rsidRDefault="0038219A" w:rsidP="0038219A">
      <w:pPr>
        <w:spacing w:after="0" w:line="240" w:lineRule="auto"/>
        <w:ind w:firstLine="567"/>
        <w:jc w:val="both"/>
        <w:rPr>
          <w:rFonts w:ascii="Times New Roman" w:eastAsia="Arial Unicode MS" w:hAnsi="Times New Roman" w:cs="Times New Roman"/>
          <w:color w:val="000000"/>
          <w:sz w:val="28"/>
          <w:szCs w:val="28"/>
          <w:u w:color="000000"/>
          <w:bdr w:val="nil"/>
        </w:rPr>
      </w:pPr>
    </w:p>
    <w:p w14:paraId="7F3764E9" w14:textId="77777777" w:rsidR="0038219A" w:rsidRPr="00916B3A" w:rsidRDefault="0038219A" w:rsidP="0038219A">
      <w:pPr>
        <w:spacing w:after="0" w:line="240" w:lineRule="auto"/>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Таблица 9 – Мониторинг эффективности процедур ВРТ пациенток, вступивших в процедуру ЭКО до и после внедрения «</w:t>
      </w:r>
      <w:r w:rsidRPr="00916B3A">
        <w:rPr>
          <w:rFonts w:ascii="Times New Roman" w:eastAsia="Arial Unicode MS" w:hAnsi="Times New Roman" w:cs="Times New Roman"/>
          <w:color w:val="000000"/>
          <w:sz w:val="28"/>
          <w:szCs w:val="28"/>
          <w:u w:color="000000"/>
          <w:bdr w:val="nil"/>
          <w:lang w:val="kk-KZ"/>
        </w:rPr>
        <w:t>Аңсаған</w:t>
      </w:r>
      <w:r w:rsidRPr="00916B3A">
        <w:rPr>
          <w:rFonts w:ascii="Times New Roman" w:eastAsia="Arial Unicode MS" w:hAnsi="Times New Roman" w:cs="Times New Roman"/>
          <w:color w:val="000000"/>
          <w:sz w:val="28"/>
          <w:szCs w:val="28"/>
          <w:u w:color="000000"/>
          <w:bdr w:val="nil"/>
        </w:rPr>
        <w:t xml:space="preserve"> </w:t>
      </w:r>
      <w:r w:rsidRPr="00916B3A">
        <w:rPr>
          <w:rFonts w:ascii="Times New Roman" w:eastAsia="Arial Unicode MS" w:hAnsi="Times New Roman" w:cs="Times New Roman"/>
          <w:color w:val="000000"/>
          <w:sz w:val="28"/>
          <w:szCs w:val="28"/>
          <w:u w:color="000000"/>
          <w:bdr w:val="nil"/>
          <w:lang w:val="kk-KZ"/>
        </w:rPr>
        <w:t>сәби</w:t>
      </w:r>
      <w:r w:rsidRPr="00916B3A">
        <w:rPr>
          <w:rFonts w:ascii="Times New Roman" w:eastAsia="Arial Unicode MS" w:hAnsi="Times New Roman" w:cs="Times New Roman"/>
          <w:color w:val="000000"/>
          <w:sz w:val="28"/>
          <w:szCs w:val="28"/>
          <w:u w:color="000000"/>
          <w:bdr w:val="nil"/>
        </w:rPr>
        <w:t>»</w:t>
      </w:r>
    </w:p>
    <w:p w14:paraId="0B27339C" w14:textId="77777777" w:rsidR="0038219A" w:rsidRPr="00916B3A" w:rsidRDefault="0038219A" w:rsidP="0038219A">
      <w:pPr>
        <w:spacing w:after="0" w:line="240" w:lineRule="auto"/>
        <w:jc w:val="both"/>
        <w:rPr>
          <w:rFonts w:ascii="Times New Roman" w:eastAsia="Arial Unicode MS" w:hAnsi="Times New Roman" w:cs="Times New Roman"/>
          <w:color w:val="000000"/>
          <w:sz w:val="28"/>
          <w:szCs w:val="28"/>
          <w:u w:color="000000"/>
          <w:bdr w:val="nil"/>
        </w:rPr>
      </w:pPr>
    </w:p>
    <w:tbl>
      <w:tblPr>
        <w:tblStyle w:val="ae"/>
        <w:tblW w:w="5000" w:type="pct"/>
        <w:tblLook w:val="04A0" w:firstRow="1" w:lastRow="0" w:firstColumn="1" w:lastColumn="0" w:noHBand="0" w:noVBand="1"/>
      </w:tblPr>
      <w:tblGrid>
        <w:gridCol w:w="4211"/>
        <w:gridCol w:w="1604"/>
        <w:gridCol w:w="1731"/>
        <w:gridCol w:w="2082"/>
      </w:tblGrid>
      <w:tr w:rsidR="0038219A" w:rsidRPr="00A66F48" w14:paraId="2F756951" w14:textId="77777777" w:rsidTr="00E84A0A">
        <w:tc>
          <w:tcPr>
            <w:tcW w:w="2187" w:type="pct"/>
            <w:vMerge w:val="restart"/>
          </w:tcPr>
          <w:p w14:paraId="79F3AFF9"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Показатели</w:t>
            </w:r>
          </w:p>
        </w:tc>
        <w:tc>
          <w:tcPr>
            <w:tcW w:w="2813" w:type="pct"/>
            <w:gridSpan w:val="3"/>
          </w:tcPr>
          <w:p w14:paraId="14B2EE87"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Группы пациенток, абс. (%)</w:t>
            </w:r>
          </w:p>
        </w:tc>
      </w:tr>
      <w:tr w:rsidR="0038219A" w:rsidRPr="00A66F48" w14:paraId="33D26A26" w14:textId="77777777" w:rsidTr="00E84A0A">
        <w:trPr>
          <w:trHeight w:val="386"/>
        </w:trPr>
        <w:tc>
          <w:tcPr>
            <w:tcW w:w="2187" w:type="pct"/>
            <w:vMerge/>
          </w:tcPr>
          <w:p w14:paraId="46560BB6"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rPr>
            </w:pPr>
          </w:p>
        </w:tc>
        <w:tc>
          <w:tcPr>
            <w:tcW w:w="833" w:type="pct"/>
          </w:tcPr>
          <w:p w14:paraId="6E0C234D"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xml:space="preserve">2020 (1) </w:t>
            </w:r>
          </w:p>
        </w:tc>
        <w:tc>
          <w:tcPr>
            <w:tcW w:w="899" w:type="pct"/>
          </w:tcPr>
          <w:p w14:paraId="62B3272C"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2021 (2)</w:t>
            </w:r>
          </w:p>
        </w:tc>
        <w:tc>
          <w:tcPr>
            <w:tcW w:w="1081" w:type="pct"/>
          </w:tcPr>
          <w:p w14:paraId="0DF2B9E6"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lang w:val="en-US"/>
              </w:rPr>
            </w:pPr>
            <w:r w:rsidRPr="00A66F48">
              <w:rPr>
                <w:rFonts w:ascii="Times New Roman" w:eastAsia="Arial Unicode MS" w:hAnsi="Times New Roman" w:cs="Times New Roman"/>
                <w:color w:val="000000"/>
                <w:sz w:val="28"/>
                <w:szCs w:val="28"/>
                <w:u w:color="000000"/>
                <w:bdr w:val="nil"/>
              </w:rPr>
              <w:t>2022 (3)</w:t>
            </w:r>
          </w:p>
        </w:tc>
      </w:tr>
      <w:tr w:rsidR="0038219A" w:rsidRPr="00A66F48" w14:paraId="510204EE" w14:textId="77777777" w:rsidTr="00E84A0A">
        <w:trPr>
          <w:trHeight w:val="386"/>
        </w:trPr>
        <w:tc>
          <w:tcPr>
            <w:tcW w:w="2187" w:type="pct"/>
          </w:tcPr>
          <w:p w14:paraId="2A3EF31F"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Количество полученных ооцитов на 1 пациентку</w:t>
            </w:r>
          </w:p>
        </w:tc>
        <w:tc>
          <w:tcPr>
            <w:tcW w:w="833" w:type="pct"/>
          </w:tcPr>
          <w:p w14:paraId="4C01B265"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6,6 (11,3)</w:t>
            </w:r>
          </w:p>
        </w:tc>
        <w:tc>
          <w:tcPr>
            <w:tcW w:w="899" w:type="pct"/>
          </w:tcPr>
          <w:p w14:paraId="7825A720"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7,4 (5,6)</w:t>
            </w:r>
          </w:p>
        </w:tc>
        <w:tc>
          <w:tcPr>
            <w:tcW w:w="1081" w:type="pct"/>
          </w:tcPr>
          <w:p w14:paraId="5789800B"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7,0 (3,3)</w:t>
            </w:r>
          </w:p>
        </w:tc>
      </w:tr>
      <w:tr w:rsidR="0038219A" w:rsidRPr="00A66F48" w14:paraId="48B4BBC2" w14:textId="77777777" w:rsidTr="00E84A0A">
        <w:trPr>
          <w:trHeight w:val="386"/>
        </w:trPr>
        <w:tc>
          <w:tcPr>
            <w:tcW w:w="2187" w:type="pct"/>
          </w:tcPr>
          <w:p w14:paraId="5583FD9E"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Количество полученных эмбрионов на 1 пациентку</w:t>
            </w:r>
          </w:p>
        </w:tc>
        <w:tc>
          <w:tcPr>
            <w:tcW w:w="833" w:type="pct"/>
          </w:tcPr>
          <w:p w14:paraId="43A58A76"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2,9 (5,1)</w:t>
            </w:r>
          </w:p>
        </w:tc>
        <w:tc>
          <w:tcPr>
            <w:tcW w:w="899" w:type="pct"/>
          </w:tcPr>
          <w:p w14:paraId="40BDB891"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2,8 (2,1)</w:t>
            </w:r>
          </w:p>
        </w:tc>
        <w:tc>
          <w:tcPr>
            <w:tcW w:w="1081" w:type="pct"/>
          </w:tcPr>
          <w:p w14:paraId="495E7B80"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3,7 (1,8)</w:t>
            </w:r>
          </w:p>
        </w:tc>
      </w:tr>
      <w:tr w:rsidR="0038219A" w:rsidRPr="00A66F48" w14:paraId="0328F27D" w14:textId="77777777" w:rsidTr="00E84A0A">
        <w:trPr>
          <w:trHeight w:val="386"/>
        </w:trPr>
        <w:tc>
          <w:tcPr>
            <w:tcW w:w="2187" w:type="pct"/>
          </w:tcPr>
          <w:p w14:paraId="5893EEA5"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Перенос 1 эмбриона</w:t>
            </w:r>
          </w:p>
          <w:p w14:paraId="3E3722BB"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Перенес 2 эмбрионов</w:t>
            </w:r>
          </w:p>
        </w:tc>
        <w:tc>
          <w:tcPr>
            <w:tcW w:w="833" w:type="pct"/>
          </w:tcPr>
          <w:p w14:paraId="643C4443"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28 (48,3)</w:t>
            </w:r>
          </w:p>
          <w:p w14:paraId="7713A07E"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30 (51,7)</w:t>
            </w:r>
          </w:p>
        </w:tc>
        <w:tc>
          <w:tcPr>
            <w:tcW w:w="899" w:type="pct"/>
          </w:tcPr>
          <w:p w14:paraId="47010007"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41 (31,</w:t>
            </w:r>
            <w:proofErr w:type="gramStart"/>
            <w:r w:rsidRPr="00A66F48">
              <w:rPr>
                <w:rFonts w:ascii="Times New Roman" w:eastAsia="Arial Unicode MS" w:hAnsi="Times New Roman" w:cs="Times New Roman"/>
                <w:color w:val="000000"/>
                <w:sz w:val="28"/>
                <w:szCs w:val="28"/>
                <w:u w:color="000000"/>
                <w:bdr w:val="nil"/>
              </w:rPr>
              <w:t>1)*</w:t>
            </w:r>
            <w:proofErr w:type="gramEnd"/>
          </w:p>
          <w:p w14:paraId="0C6AE8EF"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A66F48">
              <w:rPr>
                <w:rFonts w:ascii="Times New Roman" w:eastAsia="Arial Unicode MS" w:hAnsi="Times New Roman" w:cs="Times New Roman"/>
                <w:color w:val="000000"/>
                <w:sz w:val="28"/>
                <w:szCs w:val="28"/>
                <w:u w:color="000000"/>
                <w:bdr w:val="nil"/>
              </w:rPr>
              <w:t>89 (67,4)</w:t>
            </w:r>
            <w:r w:rsidRPr="00A66F48">
              <w:rPr>
                <w:rFonts w:ascii="Times New Roman" w:eastAsia="Arial Unicode MS" w:hAnsi="Times New Roman" w:cs="Times New Roman"/>
                <w:color w:val="000000"/>
                <w:sz w:val="28"/>
                <w:szCs w:val="28"/>
                <w:u w:color="000000"/>
                <w:bdr w:val="nil"/>
                <w:lang w:val="en-US"/>
              </w:rPr>
              <w:t>*</w:t>
            </w:r>
          </w:p>
        </w:tc>
        <w:tc>
          <w:tcPr>
            <w:tcW w:w="1081" w:type="pct"/>
          </w:tcPr>
          <w:p w14:paraId="7C76CADF"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lang w:val="en-US"/>
              </w:rPr>
            </w:pPr>
            <w:r w:rsidRPr="00A66F48">
              <w:rPr>
                <w:rFonts w:ascii="Times New Roman" w:eastAsia="Arial Unicode MS" w:hAnsi="Times New Roman" w:cs="Times New Roman"/>
                <w:color w:val="000000"/>
                <w:sz w:val="28"/>
                <w:szCs w:val="28"/>
                <w:u w:color="000000"/>
                <w:bdr w:val="nil"/>
              </w:rPr>
              <w:t>180 (85,</w:t>
            </w:r>
            <w:proofErr w:type="gramStart"/>
            <w:r w:rsidRPr="00A66F48">
              <w:rPr>
                <w:rFonts w:ascii="Times New Roman" w:eastAsia="Arial Unicode MS" w:hAnsi="Times New Roman" w:cs="Times New Roman"/>
                <w:color w:val="000000"/>
                <w:sz w:val="28"/>
                <w:szCs w:val="28"/>
                <w:u w:color="000000"/>
                <w:bdr w:val="nil"/>
              </w:rPr>
              <w:t>7)</w:t>
            </w:r>
            <w:r w:rsidRPr="00A66F48">
              <w:rPr>
                <w:rFonts w:ascii="Times New Roman" w:eastAsia="Arial Unicode MS" w:hAnsi="Times New Roman" w:cs="Times New Roman"/>
                <w:color w:val="000000"/>
                <w:sz w:val="28"/>
                <w:szCs w:val="28"/>
                <w:u w:color="000000"/>
                <w:bdr w:val="nil"/>
                <w:lang w:val="en-US"/>
              </w:rPr>
              <w:t>#</w:t>
            </w:r>
            <w:proofErr w:type="gramEnd"/>
            <w:r w:rsidRPr="00A66F48">
              <w:rPr>
                <w:rFonts w:ascii="Times New Roman" w:eastAsia="Arial Unicode MS" w:hAnsi="Times New Roman" w:cs="Times New Roman"/>
                <w:color w:val="000000"/>
                <w:sz w:val="28"/>
                <w:szCs w:val="28"/>
                <w:u w:color="000000"/>
                <w:bdr w:val="nil"/>
              </w:rPr>
              <w:t xml:space="preserve"> &amp;</w:t>
            </w:r>
          </w:p>
          <w:p w14:paraId="7451DA19"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30 (14,3)</w:t>
            </w:r>
            <w:r w:rsidRPr="00A66F48">
              <w:rPr>
                <w:rFonts w:ascii="Times New Roman" w:eastAsia="Arial Unicode MS" w:hAnsi="Times New Roman" w:cs="Times New Roman"/>
                <w:color w:val="000000"/>
                <w:sz w:val="28"/>
                <w:szCs w:val="28"/>
                <w:u w:color="000000"/>
                <w:bdr w:val="nil"/>
                <w:lang w:val="en-US"/>
              </w:rPr>
              <w:t>#</w:t>
            </w:r>
            <w:r w:rsidRPr="00A66F48">
              <w:rPr>
                <w:rFonts w:ascii="Times New Roman" w:eastAsia="Arial Unicode MS" w:hAnsi="Times New Roman" w:cs="Times New Roman"/>
                <w:color w:val="000000"/>
                <w:sz w:val="28"/>
                <w:szCs w:val="28"/>
                <w:u w:color="000000"/>
                <w:bdr w:val="nil"/>
              </w:rPr>
              <w:t xml:space="preserve"> &amp;</w:t>
            </w:r>
          </w:p>
        </w:tc>
      </w:tr>
      <w:tr w:rsidR="0038219A" w:rsidRPr="00A66F48" w14:paraId="2F88F3E5" w14:textId="77777777" w:rsidTr="00E84A0A">
        <w:trPr>
          <w:trHeight w:val="281"/>
        </w:trPr>
        <w:tc>
          <w:tcPr>
            <w:tcW w:w="2187" w:type="pct"/>
          </w:tcPr>
          <w:p w14:paraId="54EB4D32"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Результаты ЭКО:</w:t>
            </w:r>
          </w:p>
        </w:tc>
        <w:tc>
          <w:tcPr>
            <w:tcW w:w="833" w:type="pct"/>
          </w:tcPr>
          <w:p w14:paraId="61FD6250"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p>
        </w:tc>
        <w:tc>
          <w:tcPr>
            <w:tcW w:w="899" w:type="pct"/>
          </w:tcPr>
          <w:p w14:paraId="50B17E2A"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p>
        </w:tc>
        <w:tc>
          <w:tcPr>
            <w:tcW w:w="1081" w:type="pct"/>
          </w:tcPr>
          <w:p w14:paraId="4441E8B3"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p>
        </w:tc>
      </w:tr>
      <w:tr w:rsidR="0038219A" w:rsidRPr="00A66F48" w14:paraId="12AC48BF" w14:textId="77777777" w:rsidTr="00E84A0A">
        <w:trPr>
          <w:trHeight w:val="313"/>
        </w:trPr>
        <w:tc>
          <w:tcPr>
            <w:tcW w:w="2187" w:type="pct"/>
          </w:tcPr>
          <w:p w14:paraId="34015C01"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визуализация плодного яйца по УЗИ</w:t>
            </w:r>
          </w:p>
        </w:tc>
        <w:tc>
          <w:tcPr>
            <w:tcW w:w="833" w:type="pct"/>
            <w:vAlign w:val="center"/>
          </w:tcPr>
          <w:p w14:paraId="3333549A"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18 (31,0)</w:t>
            </w:r>
          </w:p>
        </w:tc>
        <w:tc>
          <w:tcPr>
            <w:tcW w:w="899" w:type="pct"/>
            <w:vAlign w:val="center"/>
          </w:tcPr>
          <w:p w14:paraId="5341614D"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40 (30,1)</w:t>
            </w:r>
          </w:p>
        </w:tc>
        <w:tc>
          <w:tcPr>
            <w:tcW w:w="1081" w:type="pct"/>
          </w:tcPr>
          <w:p w14:paraId="0E3E9A25"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61 (29,0)</w:t>
            </w:r>
          </w:p>
        </w:tc>
      </w:tr>
      <w:tr w:rsidR="0038219A" w:rsidRPr="00A66F48" w14:paraId="62B958B3" w14:textId="77777777" w:rsidTr="00E84A0A">
        <w:trPr>
          <w:trHeight w:val="263"/>
        </w:trPr>
        <w:tc>
          <w:tcPr>
            <w:tcW w:w="2187" w:type="pct"/>
            <w:tcBorders>
              <w:bottom w:val="single" w:sz="4" w:space="0" w:color="auto"/>
            </w:tcBorders>
          </w:tcPr>
          <w:p w14:paraId="766F8FEA"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пролонгированная беременность</w:t>
            </w:r>
          </w:p>
        </w:tc>
        <w:tc>
          <w:tcPr>
            <w:tcW w:w="833" w:type="pct"/>
            <w:tcBorders>
              <w:bottom w:val="single" w:sz="4" w:space="0" w:color="auto"/>
            </w:tcBorders>
            <w:vAlign w:val="center"/>
          </w:tcPr>
          <w:p w14:paraId="30F0FD9E"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13 (72,2)</w:t>
            </w:r>
          </w:p>
        </w:tc>
        <w:tc>
          <w:tcPr>
            <w:tcW w:w="899" w:type="pct"/>
            <w:tcBorders>
              <w:bottom w:val="single" w:sz="4" w:space="0" w:color="auto"/>
            </w:tcBorders>
          </w:tcPr>
          <w:p w14:paraId="283E68BF"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34 (85,0)</w:t>
            </w:r>
          </w:p>
        </w:tc>
        <w:tc>
          <w:tcPr>
            <w:tcW w:w="1081" w:type="pct"/>
            <w:tcBorders>
              <w:bottom w:val="single" w:sz="4" w:space="0" w:color="auto"/>
            </w:tcBorders>
          </w:tcPr>
          <w:p w14:paraId="7D4532C3"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43 (70,5)</w:t>
            </w:r>
          </w:p>
        </w:tc>
      </w:tr>
      <w:tr w:rsidR="0038219A" w:rsidRPr="00A66F48" w14:paraId="23196B5E" w14:textId="77777777" w:rsidTr="00E84A0A">
        <w:trPr>
          <w:trHeight w:val="741"/>
        </w:trPr>
        <w:tc>
          <w:tcPr>
            <w:tcW w:w="2187" w:type="pct"/>
          </w:tcPr>
          <w:p w14:paraId="7B8CC096" w14:textId="77777777" w:rsidR="0038219A" w:rsidRPr="00A66F48" w:rsidRDefault="0038219A" w:rsidP="0038219A">
            <w:pPr>
              <w:ind w:left="595"/>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xml:space="preserve">- роды одним плодом </w:t>
            </w:r>
          </w:p>
          <w:p w14:paraId="61C53A78" w14:textId="77777777" w:rsidR="0038219A" w:rsidRPr="00A66F48" w:rsidRDefault="0038219A" w:rsidP="0038219A">
            <w:pPr>
              <w:ind w:left="595"/>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роды двойней</w:t>
            </w:r>
          </w:p>
          <w:p w14:paraId="6660F0B9" w14:textId="77777777" w:rsidR="0038219A" w:rsidRPr="00A66F48" w:rsidRDefault="0038219A" w:rsidP="0038219A">
            <w:pPr>
              <w:ind w:left="595"/>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преждевременные роды</w:t>
            </w:r>
          </w:p>
        </w:tc>
        <w:tc>
          <w:tcPr>
            <w:tcW w:w="833" w:type="pct"/>
            <w:vAlign w:val="center"/>
          </w:tcPr>
          <w:p w14:paraId="2FFFCEF6"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10 (55,6)</w:t>
            </w:r>
          </w:p>
          <w:p w14:paraId="03B38079"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3 (5,2)</w:t>
            </w:r>
          </w:p>
          <w:p w14:paraId="185451EA"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xml:space="preserve">- </w:t>
            </w:r>
          </w:p>
        </w:tc>
        <w:tc>
          <w:tcPr>
            <w:tcW w:w="899" w:type="pct"/>
          </w:tcPr>
          <w:p w14:paraId="75D73B12"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7 (17,</w:t>
            </w:r>
            <w:proofErr w:type="gramStart"/>
            <w:r w:rsidRPr="00A66F48">
              <w:rPr>
                <w:rFonts w:ascii="Times New Roman" w:eastAsia="Arial Unicode MS" w:hAnsi="Times New Roman" w:cs="Times New Roman"/>
                <w:color w:val="000000"/>
                <w:sz w:val="28"/>
                <w:szCs w:val="28"/>
                <w:u w:color="000000"/>
                <w:bdr w:val="nil"/>
              </w:rPr>
              <w:t>5)*</w:t>
            </w:r>
            <w:proofErr w:type="gramEnd"/>
          </w:p>
          <w:p w14:paraId="5D02232A"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1 (2,</w:t>
            </w:r>
            <w:proofErr w:type="gramStart"/>
            <w:r w:rsidRPr="00A66F48">
              <w:rPr>
                <w:rFonts w:ascii="Times New Roman" w:eastAsia="Arial Unicode MS" w:hAnsi="Times New Roman" w:cs="Times New Roman"/>
                <w:color w:val="000000"/>
                <w:sz w:val="28"/>
                <w:szCs w:val="28"/>
                <w:u w:color="000000"/>
                <w:bdr w:val="nil"/>
              </w:rPr>
              <w:t>5)*</w:t>
            </w:r>
            <w:proofErr w:type="gramEnd"/>
          </w:p>
          <w:p w14:paraId="360BE564"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3 (7,5)*</w:t>
            </w:r>
          </w:p>
        </w:tc>
        <w:tc>
          <w:tcPr>
            <w:tcW w:w="1081" w:type="pct"/>
          </w:tcPr>
          <w:p w14:paraId="016BECB9"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xml:space="preserve">Нд </w:t>
            </w:r>
          </w:p>
          <w:p w14:paraId="24651BF2"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1 (1,6) #</w:t>
            </w:r>
          </w:p>
          <w:p w14:paraId="55EDE93B"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1 (1,6)</w:t>
            </w:r>
          </w:p>
        </w:tc>
      </w:tr>
      <w:tr w:rsidR="0038219A" w:rsidRPr="00A66F48" w14:paraId="58476C6B" w14:textId="77777777" w:rsidTr="00E84A0A">
        <w:trPr>
          <w:trHeight w:val="386"/>
        </w:trPr>
        <w:tc>
          <w:tcPr>
            <w:tcW w:w="2187" w:type="pct"/>
          </w:tcPr>
          <w:p w14:paraId="2138B8BC" w14:textId="77777777" w:rsidR="0038219A" w:rsidRPr="00A66F48" w:rsidRDefault="0038219A" w:rsidP="0038219A">
            <w:pPr>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выкидыш:</w:t>
            </w:r>
          </w:p>
          <w:p w14:paraId="1813D7FF" w14:textId="77777777" w:rsidR="0038219A" w:rsidRPr="00A66F48" w:rsidRDefault="0038219A" w:rsidP="0038219A">
            <w:pPr>
              <w:ind w:left="595"/>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-неразвивающаяся беременность</w:t>
            </w:r>
          </w:p>
          <w:p w14:paraId="4C5200FE" w14:textId="77777777" w:rsidR="0038219A" w:rsidRPr="00A66F48" w:rsidRDefault="0038219A" w:rsidP="0038219A">
            <w:pPr>
              <w:ind w:left="595"/>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выкидыш до 12 недель</w:t>
            </w:r>
          </w:p>
          <w:p w14:paraId="00FCE253" w14:textId="77777777" w:rsidR="0038219A" w:rsidRPr="00A66F48" w:rsidRDefault="0038219A" w:rsidP="0038219A">
            <w:pPr>
              <w:ind w:left="595"/>
              <w:contextualSpacing/>
              <w:jc w:val="both"/>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 выкидыш в 13-22 недель</w:t>
            </w:r>
          </w:p>
        </w:tc>
        <w:tc>
          <w:tcPr>
            <w:tcW w:w="833" w:type="pct"/>
            <w:vAlign w:val="center"/>
          </w:tcPr>
          <w:p w14:paraId="008339A9"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5 (27,8)</w:t>
            </w:r>
          </w:p>
          <w:p w14:paraId="4547C204"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2 (11,1)</w:t>
            </w:r>
          </w:p>
          <w:p w14:paraId="6CEAEC93"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3 (16,7)</w:t>
            </w:r>
          </w:p>
          <w:p w14:paraId="0B82C22F"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0</w:t>
            </w:r>
          </w:p>
        </w:tc>
        <w:tc>
          <w:tcPr>
            <w:tcW w:w="899" w:type="pct"/>
            <w:vAlign w:val="center"/>
          </w:tcPr>
          <w:p w14:paraId="32604570"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6 (15,0)</w:t>
            </w:r>
          </w:p>
          <w:p w14:paraId="3254B4A7"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3 (7,5)</w:t>
            </w:r>
          </w:p>
          <w:p w14:paraId="76A331C6"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2 (5,0)</w:t>
            </w:r>
          </w:p>
          <w:p w14:paraId="6DB9613A"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1 (2,5)</w:t>
            </w:r>
          </w:p>
        </w:tc>
        <w:tc>
          <w:tcPr>
            <w:tcW w:w="1081" w:type="pct"/>
          </w:tcPr>
          <w:p w14:paraId="7BD3E846"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18 (29,5) &amp;</w:t>
            </w:r>
          </w:p>
          <w:p w14:paraId="0B82CF87"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12 (19,7) &amp;</w:t>
            </w:r>
          </w:p>
          <w:p w14:paraId="34601887"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6 (9,8)</w:t>
            </w:r>
          </w:p>
          <w:p w14:paraId="6599CC81" w14:textId="77777777" w:rsidR="0038219A" w:rsidRPr="00A66F48" w:rsidRDefault="0038219A" w:rsidP="0038219A">
            <w:pPr>
              <w:contextualSpacing/>
              <w:jc w:val="center"/>
              <w:rPr>
                <w:rFonts w:ascii="Times New Roman" w:eastAsia="Arial Unicode MS" w:hAnsi="Times New Roman" w:cs="Times New Roman"/>
                <w:color w:val="000000"/>
                <w:sz w:val="28"/>
                <w:szCs w:val="28"/>
                <w:u w:color="000000"/>
                <w:bdr w:val="nil"/>
              </w:rPr>
            </w:pPr>
            <w:r w:rsidRPr="00A66F48">
              <w:rPr>
                <w:rFonts w:ascii="Times New Roman" w:eastAsia="Arial Unicode MS" w:hAnsi="Times New Roman" w:cs="Times New Roman"/>
                <w:color w:val="000000"/>
                <w:sz w:val="28"/>
                <w:szCs w:val="28"/>
                <w:u w:color="000000"/>
                <w:bdr w:val="nil"/>
              </w:rPr>
              <w:t>0</w:t>
            </w:r>
          </w:p>
        </w:tc>
      </w:tr>
      <w:tr w:rsidR="00A66F48" w:rsidRPr="00A66F48" w14:paraId="26BF958A" w14:textId="77777777" w:rsidTr="00E84A0A">
        <w:trPr>
          <w:trHeight w:val="386"/>
        </w:trPr>
        <w:tc>
          <w:tcPr>
            <w:tcW w:w="5000" w:type="pct"/>
            <w:gridSpan w:val="4"/>
          </w:tcPr>
          <w:p w14:paraId="68FF5728" w14:textId="63B2380F" w:rsidR="00A66F48" w:rsidRPr="00A66F48" w:rsidRDefault="00A66F48" w:rsidP="00A66F48">
            <w:pPr>
              <w:ind w:firstLine="744"/>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xml:space="preserve">Примечания: УЗИ – ультразвуковое исследование.  *  - различия статистически значимы при </w:t>
            </w:r>
            <w:proofErr w:type="gramStart"/>
            <w:r w:rsidRPr="00916B3A">
              <w:rPr>
                <w:rFonts w:ascii="Times New Roman" w:eastAsia="Arial Unicode MS" w:hAnsi="Times New Roman" w:cs="Times New Roman"/>
                <w:color w:val="000000"/>
                <w:sz w:val="28"/>
                <w:szCs w:val="28"/>
                <w:u w:color="000000"/>
                <w:bdr w:val="nil"/>
              </w:rPr>
              <w:t>р&lt;</w:t>
            </w:r>
            <w:proofErr w:type="gramEnd"/>
            <w:r w:rsidRPr="00916B3A">
              <w:rPr>
                <w:rFonts w:ascii="Times New Roman" w:eastAsia="Arial Unicode MS" w:hAnsi="Times New Roman" w:cs="Times New Roman"/>
                <w:color w:val="000000"/>
                <w:sz w:val="28"/>
                <w:szCs w:val="28"/>
                <w:u w:color="000000"/>
                <w:bdr w:val="nil"/>
              </w:rPr>
              <w:t>0,05  между (1) и (2) группами;  # - между (1) и (3) группами; &amp; - между (2) и (3) группами. Нд – нет данных</w:t>
            </w:r>
            <w:r>
              <w:rPr>
                <w:rFonts w:ascii="Times New Roman" w:eastAsia="Arial Unicode MS" w:hAnsi="Times New Roman" w:cs="Times New Roman"/>
                <w:color w:val="000000"/>
                <w:sz w:val="28"/>
                <w:szCs w:val="28"/>
                <w:u w:color="000000"/>
                <w:bdr w:val="nil"/>
              </w:rPr>
              <w:t>.</w:t>
            </w:r>
          </w:p>
        </w:tc>
      </w:tr>
    </w:tbl>
    <w:p w14:paraId="106F4C5D"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hAnsi="Times New Roman" w:cs="Times New Roman"/>
          <w:color w:val="000000" w:themeColor="text1"/>
          <w:sz w:val="28"/>
          <w:szCs w:val="28"/>
        </w:rPr>
        <w:t xml:space="preserve">Таким образом, внедрение Государственной программы «Аңсаған сәби» </w:t>
      </w:r>
      <w:r w:rsidRPr="00916B3A">
        <w:rPr>
          <w:rFonts w:ascii="Times New Roman" w:eastAsia="Arial Unicode MS" w:hAnsi="Times New Roman" w:cs="Times New Roman"/>
          <w:color w:val="000000"/>
          <w:sz w:val="28"/>
          <w:szCs w:val="28"/>
          <w:u w:color="000000"/>
          <w:bdr w:val="nil"/>
        </w:rPr>
        <w:t xml:space="preserve">Гормональная стимуляция фолликулогенеза, пункция фолликулов яичников посттрансферная гормональная поддержка проводилась у всех пациенток, находящихся в программе ЭКО. Количество полученных ооцитов и эмбрионов на 1 пациентку во всех трех группах статистически не отличалось. Были выявлены статистически значимые различия по количеству перенесенных эмбрионов – в первый год реализации госпрограммы несколько чаще был осуществлен перенос 2 эмбрионов (67,4%) в сравнении с 2020 и 2022 годами. Во второй год (2022) реализации статистически чаще производился перенос 1 эмбриона (85,7%) по сравнению с 2020 и 2021 годами.  </w:t>
      </w:r>
    </w:p>
    <w:p w14:paraId="18D14BB4" w14:textId="77777777" w:rsidR="0038219A" w:rsidRPr="00916B3A" w:rsidRDefault="0038219A" w:rsidP="0038219A">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xml:space="preserve">Результативность ЭКО оценивалась по частоте наступления беременности (визуализации плодного яйца по УЗИ), пролонгированной беременности/родов, потери беременности. Частота наступления беременности во всех группах статистически не отличалась и составила 31,0-30,1-29,0%. В 2021-2022 гг. наблюдается значимый тренд снижения доли родов двойней (2,5% и 1,6%). Однако, в 2022 г. наблюдалось значимое увеличение доли потерь беременности (29,5%), за счет неразвивающейся (19,7%).  </w:t>
      </w:r>
    </w:p>
    <w:p w14:paraId="3051E98B" w14:textId="77777777" w:rsidR="0038219A" w:rsidRPr="00916B3A" w:rsidRDefault="0038219A" w:rsidP="0038219A">
      <w:pPr>
        <w:spacing w:after="0" w:line="240"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Внедрение программы </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Аңсаған сәби</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 xml:space="preserve"> </w:t>
      </w:r>
      <w:r w:rsidRPr="00916B3A">
        <w:rPr>
          <w:rFonts w:ascii="Times New Roman" w:hAnsi="Times New Roman" w:cs="Times New Roman"/>
          <w:color w:val="000000" w:themeColor="text1"/>
          <w:sz w:val="28"/>
          <w:szCs w:val="28"/>
        </w:rPr>
        <w:t>позволило увеличить количество процедур ВРТ в 2,2 раза в 2021 году и 1,6 раз в 2022 году, при этом средний показатель эффективности процедуры (наступление беременности) составил 29,6%. В 2021-2022 гг. увеличилась обращаемость пациенток с более благоприятным анамнезом, позволяющим увеличить шансы на успешность процедуры ЭКО (возраст до 34 лет, наличие трубного фактора), однако, в системе ОСМС сохраняется проблема недообследования пациенток перед ЭКО, и как следствие, значимое увеличение доли потерь беременности (29,5%), недооценки других фактора риска неудач имплантации. Для повышения эффективности программ ЭКО по ОСМС необходимо разработать рекомендации по предимплантационной подготовке супружеских пар на уровне первичной медико-социальной помощи (ПМСП).</w:t>
      </w:r>
    </w:p>
    <w:p w14:paraId="744D879E" w14:textId="07A839B3" w:rsidR="0038219A" w:rsidRDefault="0038219A" w:rsidP="00A071D5">
      <w:pPr>
        <w:spacing w:after="0" w:line="240" w:lineRule="auto"/>
        <w:ind w:firstLine="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24DD7325" w14:textId="471D8EF6" w:rsidR="00783C4B" w:rsidRPr="00A66F48" w:rsidRDefault="00783C4B" w:rsidP="00A66F48">
      <w:pPr>
        <w:spacing w:after="0" w:line="240" w:lineRule="auto"/>
        <w:ind w:firstLine="567"/>
        <w:contextualSpacing/>
        <w:jc w:val="both"/>
        <w:rPr>
          <w:rFonts w:ascii="Times New Roman" w:eastAsia="Calibri" w:hAnsi="Times New Roman" w:cs="Times New Roman"/>
          <w:bCs/>
          <w:sz w:val="28"/>
          <w:szCs w:val="28"/>
        </w:rPr>
      </w:pPr>
      <w:r w:rsidRPr="00A66F48">
        <w:rPr>
          <w:rFonts w:ascii="Times New Roman" w:eastAsia="Calibri" w:hAnsi="Times New Roman" w:cs="Times New Roman"/>
          <w:bCs/>
          <w:sz w:val="28"/>
          <w:szCs w:val="28"/>
        </w:rPr>
        <w:t>3.1.2</w:t>
      </w:r>
      <w:r w:rsidR="00B17F46" w:rsidRPr="00A66F48">
        <w:rPr>
          <w:rFonts w:ascii="Times New Roman" w:eastAsia="Calibri" w:hAnsi="Times New Roman" w:cs="Times New Roman"/>
          <w:bCs/>
          <w:sz w:val="28"/>
          <w:szCs w:val="28"/>
        </w:rPr>
        <w:t xml:space="preserve"> Изучения толщины эндометрия в прогнозирования результатов ЭКО</w:t>
      </w:r>
    </w:p>
    <w:p w14:paraId="6482365B" w14:textId="77777777" w:rsidR="00A071D5" w:rsidRPr="00916B3A" w:rsidRDefault="00C11A77" w:rsidP="00A66F48">
      <w:pPr>
        <w:spacing w:after="0" w:line="240" w:lineRule="auto"/>
        <w:ind w:firstLine="567"/>
        <w:jc w:val="both"/>
        <w:rPr>
          <w:rFonts w:ascii="Times New Roman" w:hAnsi="Times New Roman" w:cs="Times New Roman"/>
          <w:color w:val="000000" w:themeColor="text1"/>
          <w:sz w:val="28"/>
          <w:szCs w:val="28"/>
          <w:lang w:eastAsia="it-IT"/>
        </w:rPr>
      </w:pPr>
      <w:r w:rsidRPr="00916B3A">
        <w:rPr>
          <w:rFonts w:ascii="Times New Roman" w:hAnsi="Times New Roman" w:cs="Times New Roman"/>
          <w:bCs/>
          <w:color w:val="231F20"/>
          <w:spacing w:val="-6"/>
          <w:sz w:val="28"/>
          <w:szCs w:val="28"/>
          <w:lang w:val="kk-KZ"/>
        </w:rPr>
        <w:t>На следующем этапе проанализированы р</w:t>
      </w:r>
      <w:r w:rsidRPr="00916B3A">
        <w:rPr>
          <w:rFonts w:ascii="Times New Roman" w:hAnsi="Times New Roman" w:cs="Times New Roman"/>
          <w:color w:val="000000" w:themeColor="text1"/>
          <w:sz w:val="28"/>
          <w:szCs w:val="28"/>
          <w:lang w:eastAsia="it-IT"/>
        </w:rPr>
        <w:t xml:space="preserve">етроспективно проанализированы 279 медицинских карт пациенток, которым было проведено ЭКО с переносом свежих эмбрионов. Всем пациентам также была проведена процедура интрацитоплазматической инъекции сперматозоида (ИКСИ). Среди них 222 (79,6%) пациентки придерживались коротких протоколов лечения, а 57 (20,4%) - длинных. Возраст участников варьировался от 19 до 42 лет, средний возраст составил 32,94 ± 4,9 года (среднее ± </w:t>
      </w:r>
      <w:r w:rsidRPr="00916B3A">
        <w:rPr>
          <w:rFonts w:ascii="Times New Roman" w:hAnsi="Times New Roman" w:cs="Times New Roman"/>
          <w:color w:val="000000" w:themeColor="text1"/>
          <w:sz w:val="28"/>
          <w:szCs w:val="28"/>
          <w:lang w:val="en-US" w:eastAsia="it-IT"/>
        </w:rPr>
        <w:t>SD</w:t>
      </w:r>
      <w:r w:rsidRPr="00916B3A">
        <w:rPr>
          <w:rFonts w:ascii="Times New Roman" w:hAnsi="Times New Roman" w:cs="Times New Roman"/>
          <w:color w:val="000000" w:themeColor="text1"/>
          <w:sz w:val="28"/>
          <w:szCs w:val="28"/>
          <w:lang w:eastAsia="it-IT"/>
        </w:rPr>
        <w:t>). Средний ИМТ составил 24,18 ± 4,4. Длительность бесплодия варьировала от 1 до 20 лет, средняя продолжительность составила 6,54 ± 3,9 года. В анамнезе были отмечены такие репродуктивные потери, как самопроизвольные аборты (66 случаев, 23,7 %), внематочная беременность (64 случая, 22,9 %), а также неэффективность программ ЭКО (23 случая, 8,2 %). Гормональные профили выявили средний уровень АМГ в сыворотке крови - 3,2 ± 3 нг/мл, ЛГ - 6,36 ± 4,3 МЕ/л и ФСГ - 7,14 ± 5,6 мМЕ/мл.</w:t>
      </w:r>
    </w:p>
    <w:p w14:paraId="17148106" w14:textId="726C314C" w:rsidR="00A071D5" w:rsidRPr="00916B3A" w:rsidRDefault="00A071D5" w:rsidP="00A071D5">
      <w:pPr>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В день введения ХГЧ толщина эндометрия варьировалась от 3 до 18 мм. Среди всех участниц средняя толщина эндометрия (±</w:t>
      </w:r>
      <w:r w:rsidRPr="00916B3A">
        <w:rPr>
          <w:rFonts w:ascii="Times New Roman" w:hAnsi="Times New Roman" w:cs="Times New Roman"/>
          <w:color w:val="000000" w:themeColor="text1"/>
          <w:sz w:val="28"/>
          <w:szCs w:val="28"/>
          <w:lang w:val="en-US"/>
        </w:rPr>
        <w:t>SD</w:t>
      </w:r>
      <w:r w:rsidRPr="00916B3A">
        <w:rPr>
          <w:rFonts w:ascii="Times New Roman" w:hAnsi="Times New Roman" w:cs="Times New Roman"/>
          <w:color w:val="000000" w:themeColor="text1"/>
          <w:sz w:val="28"/>
          <w:szCs w:val="28"/>
        </w:rPr>
        <w:t xml:space="preserve">) составила 6,2 ± 2,5. Анализ групп по толщине эндометрия показал: 25,1% пациенток вошли в группу 1, 43,0% - в группу 2 и 31,9% - в группу 3. Общее распределение частот толщины эндометрия представлено на рисунке 4. </w:t>
      </w:r>
    </w:p>
    <w:p w14:paraId="5256CAA2" w14:textId="77777777" w:rsidR="00C11A77" w:rsidRPr="00916B3A" w:rsidRDefault="00C11A77" w:rsidP="00E84A0A">
      <w:pPr>
        <w:pStyle w:val="a9"/>
        <w:shd w:val="clear" w:color="auto" w:fill="FFFFFF"/>
        <w:spacing w:before="0" w:beforeAutospacing="0" w:after="0" w:afterAutospacing="0"/>
        <w:ind w:firstLine="567"/>
        <w:jc w:val="center"/>
        <w:rPr>
          <w:color w:val="000000" w:themeColor="text1"/>
          <w:sz w:val="28"/>
          <w:szCs w:val="28"/>
        </w:rPr>
      </w:pPr>
      <w:r w:rsidRPr="00916B3A">
        <w:rPr>
          <w:noProof/>
          <w:color w:val="000000" w:themeColor="text1"/>
          <w:sz w:val="28"/>
          <w:szCs w:val="28"/>
        </w:rPr>
        <w:drawing>
          <wp:inline distT="0" distB="0" distL="0" distR="0" wp14:anchorId="5F07F399" wp14:editId="4D295CF1">
            <wp:extent cx="4981433" cy="4055397"/>
            <wp:effectExtent l="0" t="0" r="0" b="2540"/>
            <wp:docPr id="476360020" name="Picture 4" descr="A graph of a graph of a number of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60020" name="Picture 4" descr="A graph of a graph of a number of columns"/>
                    <pic:cNvPicPr/>
                  </pic:nvPicPr>
                  <pic:blipFill>
                    <a:blip r:embed="rId10">
                      <a:extLst>
                        <a:ext uri="{28A0092B-C50C-407E-A947-70E740481C1C}">
                          <a14:useLocalDpi xmlns:a14="http://schemas.microsoft.com/office/drawing/2010/main" val="0"/>
                        </a:ext>
                      </a:extLst>
                    </a:blip>
                    <a:stretch>
                      <a:fillRect/>
                    </a:stretch>
                  </pic:blipFill>
                  <pic:spPr>
                    <a:xfrm>
                      <a:off x="0" y="0"/>
                      <a:ext cx="4996869" cy="4067963"/>
                    </a:xfrm>
                    <a:prstGeom prst="rect">
                      <a:avLst/>
                    </a:prstGeom>
                  </pic:spPr>
                </pic:pic>
              </a:graphicData>
            </a:graphic>
          </wp:inline>
        </w:drawing>
      </w:r>
    </w:p>
    <w:p w14:paraId="66A88191" w14:textId="5E230080" w:rsidR="00C11A77" w:rsidRPr="00916B3A" w:rsidRDefault="007F19EC" w:rsidP="002635DA">
      <w:pPr>
        <w:spacing w:after="0" w:line="240" w:lineRule="auto"/>
        <w:jc w:val="center"/>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Рисунок 4</w:t>
      </w:r>
      <w:r w:rsidR="00E84A0A">
        <w:rPr>
          <w:rFonts w:ascii="Times New Roman" w:hAnsi="Times New Roman" w:cs="Times New Roman"/>
          <w:color w:val="000000" w:themeColor="text1"/>
          <w:sz w:val="28"/>
          <w:szCs w:val="28"/>
        </w:rPr>
        <w:t xml:space="preserve"> -</w:t>
      </w:r>
      <w:r w:rsidR="00C11A77" w:rsidRPr="00916B3A">
        <w:rPr>
          <w:rFonts w:ascii="Times New Roman" w:hAnsi="Times New Roman" w:cs="Times New Roman"/>
          <w:color w:val="000000" w:themeColor="text1"/>
          <w:sz w:val="28"/>
          <w:szCs w:val="28"/>
        </w:rPr>
        <w:t xml:space="preserve"> Распределение частот толщины эндометрия в день введения ХГЧ: 25-й процентиль: 4,9 мм; 50-й процентиль: 6,0 мм; 75-й процентиль: 7,0 мм</w:t>
      </w:r>
    </w:p>
    <w:p w14:paraId="697F73E9" w14:textId="77777777" w:rsidR="00C11A77" w:rsidRPr="00916B3A" w:rsidRDefault="00C11A77" w:rsidP="00C11A77">
      <w:pPr>
        <w:spacing w:after="0" w:line="240" w:lineRule="auto"/>
        <w:ind w:firstLine="567"/>
        <w:jc w:val="both"/>
        <w:rPr>
          <w:rFonts w:ascii="Times New Roman" w:hAnsi="Times New Roman" w:cs="Times New Roman"/>
          <w:color w:val="000000" w:themeColor="text1"/>
          <w:sz w:val="28"/>
          <w:szCs w:val="28"/>
        </w:rPr>
      </w:pPr>
    </w:p>
    <w:p w14:paraId="586926D8" w14:textId="77777777" w:rsidR="00A071D5" w:rsidRPr="00916B3A" w:rsidRDefault="00C90218" w:rsidP="00C11A77">
      <w:pPr>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В таблице 5</w:t>
      </w:r>
      <w:r w:rsidR="00C11A77" w:rsidRPr="00916B3A">
        <w:rPr>
          <w:rFonts w:ascii="Times New Roman" w:hAnsi="Times New Roman" w:cs="Times New Roman"/>
          <w:color w:val="000000" w:themeColor="text1"/>
          <w:sz w:val="28"/>
          <w:szCs w:val="28"/>
        </w:rPr>
        <w:t xml:space="preserve"> представлены коэффициенты вероятности (</w:t>
      </w:r>
      <w:r w:rsidR="00C11A77" w:rsidRPr="00916B3A">
        <w:rPr>
          <w:rFonts w:ascii="Times New Roman" w:hAnsi="Times New Roman" w:cs="Times New Roman"/>
          <w:color w:val="000000" w:themeColor="text1"/>
          <w:sz w:val="28"/>
          <w:szCs w:val="28"/>
          <w:lang w:val="en-US"/>
        </w:rPr>
        <w:t>OR</w:t>
      </w:r>
      <w:r w:rsidR="00C11A77" w:rsidRPr="00916B3A">
        <w:rPr>
          <w:rFonts w:ascii="Times New Roman" w:hAnsi="Times New Roman" w:cs="Times New Roman"/>
          <w:color w:val="000000" w:themeColor="text1"/>
          <w:sz w:val="28"/>
          <w:szCs w:val="28"/>
        </w:rPr>
        <w:t xml:space="preserve">), полученные в результате логистического регрессионного анализа, оценивающего влияние групп по толщине эндометрия на наступление беременности. </w:t>
      </w:r>
    </w:p>
    <w:p w14:paraId="15C3FD99" w14:textId="77777777" w:rsidR="00A071D5" w:rsidRPr="00916B3A" w:rsidRDefault="00A071D5" w:rsidP="00C11A77">
      <w:pPr>
        <w:spacing w:after="0" w:line="240" w:lineRule="auto"/>
        <w:ind w:firstLine="567"/>
        <w:jc w:val="both"/>
        <w:rPr>
          <w:rFonts w:ascii="Times New Roman" w:hAnsi="Times New Roman" w:cs="Times New Roman"/>
          <w:color w:val="000000" w:themeColor="text1"/>
          <w:sz w:val="28"/>
          <w:szCs w:val="28"/>
        </w:rPr>
      </w:pPr>
    </w:p>
    <w:p w14:paraId="1FAF99AB" w14:textId="7CC8B748" w:rsidR="00C11A77" w:rsidRPr="00916B3A" w:rsidRDefault="007F19EC" w:rsidP="00C11A77">
      <w:pPr>
        <w:spacing w:after="0" w:line="240" w:lineRule="auto"/>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Таблица 5</w:t>
      </w:r>
      <w:r w:rsidR="00A66F48">
        <w:rPr>
          <w:rFonts w:ascii="Times New Roman" w:hAnsi="Times New Roman" w:cs="Times New Roman"/>
          <w:color w:val="000000" w:themeColor="text1"/>
          <w:sz w:val="28"/>
          <w:szCs w:val="28"/>
        </w:rPr>
        <w:t xml:space="preserve"> -</w:t>
      </w:r>
      <w:r w:rsidR="00C11A77" w:rsidRPr="00916B3A">
        <w:rPr>
          <w:rFonts w:ascii="Times New Roman" w:hAnsi="Times New Roman" w:cs="Times New Roman"/>
          <w:color w:val="000000" w:themeColor="text1"/>
          <w:sz w:val="28"/>
          <w:szCs w:val="28"/>
        </w:rPr>
        <w:t xml:space="preserve"> Отношение шансов для влияния толщины эндометрия на наступление беременности по данным логистического регрессионного анализа</w:t>
      </w:r>
    </w:p>
    <w:p w14:paraId="2EA70346" w14:textId="77777777" w:rsidR="00C11A77" w:rsidRPr="00916B3A" w:rsidRDefault="00C11A77" w:rsidP="00C11A77">
      <w:pPr>
        <w:spacing w:after="0" w:line="240" w:lineRule="auto"/>
        <w:jc w:val="both"/>
        <w:rPr>
          <w:rFonts w:ascii="Times New Roman" w:hAnsi="Times New Roman" w:cs="Times New Roman"/>
          <w:b/>
          <w:bCs/>
          <w:color w:val="000000" w:themeColor="text1"/>
          <w:sz w:val="28"/>
          <w:szCs w:val="28"/>
        </w:rPr>
      </w:pPr>
    </w:p>
    <w:tbl>
      <w:tblPr>
        <w:tblStyle w:val="ae"/>
        <w:tblW w:w="9634" w:type="dxa"/>
        <w:tblLook w:val="04A0" w:firstRow="1" w:lastRow="0" w:firstColumn="1" w:lastColumn="0" w:noHBand="0" w:noVBand="1"/>
      </w:tblPr>
      <w:tblGrid>
        <w:gridCol w:w="2335"/>
        <w:gridCol w:w="2336"/>
        <w:gridCol w:w="2337"/>
        <w:gridCol w:w="2626"/>
      </w:tblGrid>
      <w:tr w:rsidR="00C11A77" w:rsidRPr="00916B3A" w14:paraId="3FE4B158" w14:textId="77777777" w:rsidTr="00A66F48">
        <w:tc>
          <w:tcPr>
            <w:tcW w:w="2335" w:type="dxa"/>
          </w:tcPr>
          <w:p w14:paraId="58355936"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 xml:space="preserve">Показатель </w:t>
            </w:r>
          </w:p>
        </w:tc>
        <w:tc>
          <w:tcPr>
            <w:tcW w:w="2336" w:type="dxa"/>
          </w:tcPr>
          <w:p w14:paraId="11AC6315"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OR</w:t>
            </w:r>
          </w:p>
        </w:tc>
        <w:tc>
          <w:tcPr>
            <w:tcW w:w="2337" w:type="dxa"/>
          </w:tcPr>
          <w:p w14:paraId="1D61D6C7"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95% CI</w:t>
            </w:r>
          </w:p>
        </w:tc>
        <w:tc>
          <w:tcPr>
            <w:tcW w:w="2626" w:type="dxa"/>
          </w:tcPr>
          <w:p w14:paraId="4D7941F8"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p-value</w:t>
            </w:r>
          </w:p>
        </w:tc>
      </w:tr>
      <w:tr w:rsidR="00C11A77" w:rsidRPr="00916B3A" w14:paraId="5EB4F194" w14:textId="77777777" w:rsidTr="00A66F48">
        <w:tc>
          <w:tcPr>
            <w:tcW w:w="9634" w:type="dxa"/>
            <w:gridSpan w:val="4"/>
          </w:tcPr>
          <w:p w14:paraId="4374462C" w14:textId="77777777" w:rsidR="00C11A77" w:rsidRPr="00916B3A" w:rsidRDefault="00C11A77" w:rsidP="00EE4AF0">
            <w:pPr>
              <w:jc w:val="both"/>
              <w:rPr>
                <w:rFonts w:ascii="Times New Roman" w:hAnsi="Times New Roman" w:cs="Times New Roman"/>
                <w:color w:val="000000" w:themeColor="text1"/>
                <w:sz w:val="28"/>
                <w:szCs w:val="28"/>
                <w:lang w:val="en-US"/>
              </w:rPr>
            </w:pPr>
            <w:r w:rsidRPr="00916B3A">
              <w:rPr>
                <w:rFonts w:ascii="Times New Roman" w:hAnsi="Times New Roman" w:cs="Times New Roman"/>
                <w:color w:val="000000" w:themeColor="text1"/>
                <w:sz w:val="28"/>
                <w:szCs w:val="28"/>
              </w:rPr>
              <w:t>Толщина</w:t>
            </w:r>
            <w:r w:rsidRPr="00916B3A">
              <w:rPr>
                <w:rFonts w:ascii="Times New Roman" w:hAnsi="Times New Roman" w:cs="Times New Roman"/>
                <w:color w:val="000000" w:themeColor="text1"/>
                <w:sz w:val="28"/>
                <w:szCs w:val="28"/>
                <w:lang w:val="en-US"/>
              </w:rPr>
              <w:t xml:space="preserve"> </w:t>
            </w:r>
            <w:r w:rsidRPr="00916B3A">
              <w:rPr>
                <w:rFonts w:ascii="Times New Roman" w:hAnsi="Times New Roman" w:cs="Times New Roman"/>
                <w:color w:val="000000" w:themeColor="text1"/>
                <w:sz w:val="28"/>
                <w:szCs w:val="28"/>
              </w:rPr>
              <w:t>эндометрия</w:t>
            </w:r>
            <w:r w:rsidRPr="00916B3A">
              <w:rPr>
                <w:rFonts w:ascii="Times New Roman" w:hAnsi="Times New Roman" w:cs="Times New Roman"/>
                <w:color w:val="000000" w:themeColor="text1"/>
                <w:sz w:val="28"/>
                <w:szCs w:val="28"/>
                <w:lang w:val="en-US"/>
              </w:rPr>
              <w:t xml:space="preserve"> (</w:t>
            </w:r>
            <w:r w:rsidRPr="00916B3A">
              <w:rPr>
                <w:rFonts w:ascii="Times New Roman" w:hAnsi="Times New Roman" w:cs="Times New Roman"/>
                <w:color w:val="000000" w:themeColor="text1"/>
                <w:sz w:val="28"/>
                <w:szCs w:val="28"/>
              </w:rPr>
              <w:t>референс: группа 3</w:t>
            </w:r>
            <w:r w:rsidRPr="00916B3A">
              <w:rPr>
                <w:rFonts w:ascii="Times New Roman" w:hAnsi="Times New Roman" w:cs="Times New Roman"/>
                <w:color w:val="000000" w:themeColor="text1"/>
                <w:sz w:val="28"/>
                <w:szCs w:val="28"/>
                <w:lang w:val="en-US"/>
              </w:rPr>
              <w:t>)</w:t>
            </w:r>
          </w:p>
        </w:tc>
      </w:tr>
      <w:tr w:rsidR="00C11A77" w:rsidRPr="00916B3A" w14:paraId="1A46F01F" w14:textId="77777777" w:rsidTr="00A66F48">
        <w:tc>
          <w:tcPr>
            <w:tcW w:w="2335" w:type="dxa"/>
          </w:tcPr>
          <w:p w14:paraId="5EA4B4AC" w14:textId="77777777" w:rsidR="00C11A77" w:rsidRPr="00916B3A" w:rsidRDefault="00C11A77" w:rsidP="00EE4AF0">
            <w:pPr>
              <w:jc w:val="both"/>
              <w:rPr>
                <w:rFonts w:ascii="Times New Roman" w:hAnsi="Times New Roman" w:cs="Times New Roman"/>
                <w:color w:val="000000" w:themeColor="text1"/>
                <w:sz w:val="28"/>
                <w:szCs w:val="28"/>
                <w:vertAlign w:val="superscript"/>
              </w:rPr>
            </w:pPr>
            <w:r w:rsidRPr="00916B3A">
              <w:rPr>
                <w:rFonts w:ascii="Times New Roman" w:hAnsi="Times New Roman" w:cs="Times New Roman"/>
                <w:color w:val="000000" w:themeColor="text1"/>
                <w:sz w:val="28"/>
                <w:szCs w:val="28"/>
                <w:lang w:val="kk-KZ"/>
              </w:rPr>
              <w:t>Группа</w:t>
            </w:r>
            <w:r w:rsidRPr="00916B3A">
              <w:rPr>
                <w:rFonts w:ascii="Times New Roman" w:hAnsi="Times New Roman" w:cs="Times New Roman"/>
                <w:color w:val="000000" w:themeColor="text1"/>
                <w:sz w:val="28"/>
                <w:szCs w:val="28"/>
              </w:rPr>
              <w:t xml:space="preserve"> 1</w:t>
            </w:r>
          </w:p>
        </w:tc>
        <w:tc>
          <w:tcPr>
            <w:tcW w:w="2336" w:type="dxa"/>
          </w:tcPr>
          <w:p w14:paraId="6FB418A0"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0.595</w:t>
            </w:r>
          </w:p>
        </w:tc>
        <w:tc>
          <w:tcPr>
            <w:tcW w:w="2337" w:type="dxa"/>
          </w:tcPr>
          <w:p w14:paraId="6B21B2C6"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0.524-0.676</w:t>
            </w:r>
          </w:p>
        </w:tc>
        <w:tc>
          <w:tcPr>
            <w:tcW w:w="2626" w:type="dxa"/>
          </w:tcPr>
          <w:p w14:paraId="06D4517E"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&lt;0.001</w:t>
            </w:r>
          </w:p>
        </w:tc>
      </w:tr>
      <w:tr w:rsidR="00C11A77" w:rsidRPr="00916B3A" w14:paraId="2D94CAE6" w14:textId="77777777" w:rsidTr="00A66F48">
        <w:tc>
          <w:tcPr>
            <w:tcW w:w="2335" w:type="dxa"/>
          </w:tcPr>
          <w:p w14:paraId="2E768238" w14:textId="77777777" w:rsidR="00C11A77" w:rsidRPr="00916B3A" w:rsidRDefault="00C11A77" w:rsidP="00EE4AF0">
            <w:pPr>
              <w:jc w:val="both"/>
              <w:rPr>
                <w:rFonts w:ascii="Times New Roman" w:hAnsi="Times New Roman" w:cs="Times New Roman"/>
                <w:color w:val="000000" w:themeColor="text1"/>
                <w:sz w:val="28"/>
                <w:szCs w:val="28"/>
                <w:vertAlign w:val="superscript"/>
              </w:rPr>
            </w:pPr>
            <w:r w:rsidRPr="00916B3A">
              <w:rPr>
                <w:rFonts w:ascii="Times New Roman" w:hAnsi="Times New Roman" w:cs="Times New Roman"/>
                <w:color w:val="000000" w:themeColor="text1"/>
                <w:sz w:val="28"/>
                <w:szCs w:val="28"/>
                <w:lang w:val="kk-KZ"/>
              </w:rPr>
              <w:t>Группа</w:t>
            </w:r>
            <w:r w:rsidRPr="00916B3A">
              <w:rPr>
                <w:rFonts w:ascii="Times New Roman" w:hAnsi="Times New Roman" w:cs="Times New Roman"/>
                <w:color w:val="000000" w:themeColor="text1"/>
                <w:sz w:val="28"/>
                <w:szCs w:val="28"/>
              </w:rPr>
              <w:t xml:space="preserve"> 2</w:t>
            </w:r>
          </w:p>
        </w:tc>
        <w:tc>
          <w:tcPr>
            <w:tcW w:w="2336" w:type="dxa"/>
          </w:tcPr>
          <w:p w14:paraId="136E7796"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0.670</w:t>
            </w:r>
          </w:p>
        </w:tc>
        <w:tc>
          <w:tcPr>
            <w:tcW w:w="2337" w:type="dxa"/>
          </w:tcPr>
          <w:p w14:paraId="0FEE75C9"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0.591-0.761</w:t>
            </w:r>
          </w:p>
        </w:tc>
        <w:tc>
          <w:tcPr>
            <w:tcW w:w="2626" w:type="dxa"/>
          </w:tcPr>
          <w:p w14:paraId="4A294DA7" w14:textId="77777777" w:rsidR="00C11A77" w:rsidRPr="00916B3A" w:rsidRDefault="00C11A77" w:rsidP="00EE4AF0">
            <w:pPr>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&lt;0.001</w:t>
            </w:r>
          </w:p>
        </w:tc>
      </w:tr>
      <w:tr w:rsidR="00A66F48" w:rsidRPr="00916B3A" w14:paraId="3B906CA7" w14:textId="77777777" w:rsidTr="00E84A0A">
        <w:tc>
          <w:tcPr>
            <w:tcW w:w="9634" w:type="dxa"/>
            <w:gridSpan w:val="4"/>
          </w:tcPr>
          <w:p w14:paraId="366AD594" w14:textId="7F8FB0CF" w:rsidR="00A66F48" w:rsidRPr="00A66F48" w:rsidRDefault="00A66F48" w:rsidP="00A66F48">
            <w:pPr>
              <w:pStyle w:val="a9"/>
              <w:shd w:val="clear" w:color="auto" w:fill="FFFFFF"/>
              <w:spacing w:before="0" w:beforeAutospacing="0" w:after="0" w:afterAutospacing="0"/>
              <w:jc w:val="both"/>
              <w:rPr>
                <w:color w:val="000000" w:themeColor="text1"/>
                <w:sz w:val="28"/>
                <w:szCs w:val="28"/>
                <w:lang w:val="kk-KZ"/>
              </w:rPr>
            </w:pPr>
            <w:r w:rsidRPr="00916B3A">
              <w:rPr>
                <w:color w:val="000000" w:themeColor="text1"/>
                <w:sz w:val="28"/>
                <w:szCs w:val="28"/>
              </w:rPr>
              <w:t>Сокращения: ДИ: доверительный интервал; ОР: отношение шансов</w:t>
            </w:r>
            <w:r>
              <w:rPr>
                <w:color w:val="000000" w:themeColor="text1"/>
                <w:sz w:val="28"/>
                <w:szCs w:val="28"/>
              </w:rPr>
              <w:t>.</w:t>
            </w:r>
          </w:p>
        </w:tc>
      </w:tr>
    </w:tbl>
    <w:p w14:paraId="44B77388" w14:textId="77777777" w:rsidR="00A071D5" w:rsidRPr="00916B3A" w:rsidRDefault="00A071D5" w:rsidP="00A071D5">
      <w:pPr>
        <w:spacing w:after="0" w:line="240" w:lineRule="auto"/>
        <w:ind w:firstLine="567"/>
        <w:jc w:val="both"/>
        <w:rPr>
          <w:rFonts w:ascii="Times New Roman" w:hAnsi="Times New Roman" w:cs="Times New Roman"/>
          <w:color w:val="000000" w:themeColor="text1"/>
          <w:sz w:val="28"/>
          <w:szCs w:val="28"/>
        </w:rPr>
      </w:pPr>
    </w:p>
    <w:p w14:paraId="1E5E20C6" w14:textId="7E0FF1AD" w:rsidR="00A071D5" w:rsidRPr="00916B3A" w:rsidRDefault="00A071D5" w:rsidP="00A071D5">
      <w:pPr>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color w:val="000000" w:themeColor="text1"/>
          <w:sz w:val="28"/>
          <w:szCs w:val="28"/>
        </w:rPr>
        <w:t>Принадлежность к группе 1 ассоциировалась с более низкой вероятностью наступления беременности (ОР=0,595, 95% ДИ [0,524-0,676]) по сравнению с группой 3. Принадлежность к группе 2 ассоциировалась с более низкой вероятностью наступления беременности (ОР=0,670, 95% ДИ [0,591-0,761]). Результаты унивариантного логистического регрессионного анализа, в котором изучалось прогностическое значение дополнительных демографических и клинических переменных в отношении наступления беременности, представлены в приложении.  Эти ассоциации не были значимыми.</w:t>
      </w:r>
    </w:p>
    <w:p w14:paraId="1BFC2C08" w14:textId="77777777" w:rsidR="008C268C" w:rsidRPr="00916B3A" w:rsidRDefault="008C268C" w:rsidP="000943E4">
      <w:pPr>
        <w:pStyle w:val="a9"/>
        <w:shd w:val="clear" w:color="auto" w:fill="FFFFFF"/>
        <w:spacing w:before="0" w:beforeAutospacing="0" w:after="0" w:afterAutospacing="0"/>
        <w:ind w:firstLine="426"/>
        <w:jc w:val="both"/>
        <w:rPr>
          <w:b/>
          <w:color w:val="000000"/>
          <w:sz w:val="28"/>
          <w:szCs w:val="28"/>
        </w:rPr>
      </w:pPr>
    </w:p>
    <w:p w14:paraId="4477FA42" w14:textId="183C2B51" w:rsidR="001E7F40" w:rsidRDefault="00D54B17" w:rsidP="00D54B17">
      <w:pPr>
        <w:pStyle w:val="a9"/>
        <w:shd w:val="clear" w:color="auto" w:fill="FFFFFF"/>
        <w:spacing w:before="0" w:beforeAutospacing="0" w:after="0" w:afterAutospacing="0"/>
        <w:ind w:firstLine="426"/>
        <w:jc w:val="both"/>
        <w:rPr>
          <w:b/>
          <w:color w:val="000000"/>
          <w:sz w:val="28"/>
          <w:szCs w:val="28"/>
        </w:rPr>
      </w:pPr>
      <w:r>
        <w:rPr>
          <w:b/>
          <w:color w:val="000000"/>
          <w:sz w:val="28"/>
          <w:szCs w:val="28"/>
        </w:rPr>
        <w:t>3.2</w:t>
      </w:r>
      <w:r w:rsidR="00540AEE" w:rsidRPr="00916B3A">
        <w:rPr>
          <w:b/>
          <w:color w:val="000000"/>
          <w:sz w:val="28"/>
          <w:szCs w:val="28"/>
        </w:rPr>
        <w:t xml:space="preserve"> </w:t>
      </w:r>
      <w:r w:rsidR="001E7011" w:rsidRPr="00916B3A">
        <w:rPr>
          <w:b/>
          <w:bCs/>
          <w:sz w:val="28"/>
          <w:szCs w:val="28"/>
        </w:rPr>
        <w:t>Показатели ультразвукового исследования и допплерометрии сосудов тонкого эндометрия</w:t>
      </w:r>
    </w:p>
    <w:p w14:paraId="79491454" w14:textId="25E8B256" w:rsidR="001E7F40" w:rsidRPr="00916B3A" w:rsidRDefault="00225676" w:rsidP="000943E4">
      <w:pPr>
        <w:autoSpaceDE w:val="0"/>
        <w:autoSpaceDN w:val="0"/>
        <w:adjustRightInd w:val="0"/>
        <w:spacing w:after="0" w:line="240" w:lineRule="auto"/>
        <w:ind w:firstLine="426"/>
        <w:jc w:val="both"/>
        <w:rPr>
          <w:rFonts w:ascii="Times New Roman" w:hAnsi="Times New Roman" w:cs="Times New Roman"/>
          <w:sz w:val="28"/>
          <w:szCs w:val="28"/>
        </w:rPr>
      </w:pPr>
      <w:r w:rsidRPr="00916B3A">
        <w:rPr>
          <w:rFonts w:ascii="Times New Roman" w:hAnsi="Times New Roman" w:cs="Times New Roman"/>
          <w:sz w:val="28"/>
          <w:szCs w:val="28"/>
        </w:rPr>
        <w:t>В исследование были включены 53</w:t>
      </w:r>
      <w:r w:rsidR="001E7F40" w:rsidRPr="00916B3A">
        <w:rPr>
          <w:rFonts w:ascii="Times New Roman" w:hAnsi="Times New Roman" w:cs="Times New Roman"/>
          <w:sz w:val="28"/>
          <w:szCs w:val="28"/>
        </w:rPr>
        <w:t xml:space="preserve"> пациенток с </w:t>
      </w:r>
      <w:r w:rsidR="001E7F40" w:rsidRPr="00916B3A">
        <w:rPr>
          <w:rFonts w:ascii="Times New Roman" w:hAnsi="Times New Roman" w:cs="Times New Roman"/>
          <w:color w:val="333333"/>
          <w:sz w:val="28"/>
          <w:szCs w:val="28"/>
          <w:shd w:val="clear" w:color="auto" w:fill="FFFFFF"/>
        </w:rPr>
        <w:t>невынашиванием беременности</w:t>
      </w:r>
      <w:r w:rsidR="001E7F40" w:rsidRPr="00916B3A">
        <w:rPr>
          <w:rFonts w:ascii="Times New Roman" w:hAnsi="Times New Roman" w:cs="Times New Roman"/>
          <w:sz w:val="28"/>
          <w:szCs w:val="28"/>
        </w:rPr>
        <w:t xml:space="preserve"> и синдромом «тонкого» эндометрия (основная группа</w:t>
      </w:r>
      <w:r w:rsidRPr="00916B3A">
        <w:rPr>
          <w:rFonts w:ascii="Times New Roman" w:hAnsi="Times New Roman" w:cs="Times New Roman"/>
          <w:sz w:val="28"/>
          <w:szCs w:val="28"/>
        </w:rPr>
        <w:t>). Группу сравнения составили 14</w:t>
      </w:r>
      <w:r w:rsidR="001E7F40" w:rsidRPr="00916B3A">
        <w:rPr>
          <w:rFonts w:ascii="Times New Roman" w:hAnsi="Times New Roman" w:cs="Times New Roman"/>
          <w:sz w:val="28"/>
          <w:szCs w:val="28"/>
        </w:rPr>
        <w:t xml:space="preserve"> пациенток без репродуктивных потерь и наличием нормальной толщины эндометрия на 20-24 дни цикла. На каждую женщину составлялась индивидуальная карта наблюдения, включающая результаты обследования с изучением жалоб, соматического и акушерско-гинекологического анамнеза, данных общего и гинекологического статуса, лабораторных, а также специальных методы исследования: УЗИ органов малого таза и допплерометрии.</w:t>
      </w:r>
    </w:p>
    <w:p w14:paraId="439EE38F" w14:textId="064295D5" w:rsidR="00D27C1B" w:rsidRPr="00916B3A" w:rsidRDefault="001E7F40" w:rsidP="000943E4">
      <w:pPr>
        <w:spacing w:after="0" w:line="240" w:lineRule="auto"/>
        <w:ind w:firstLine="426"/>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 xml:space="preserve">Средний возраст пациенток основной группы составил </w:t>
      </w:r>
      <w:r w:rsidRPr="00916B3A">
        <w:rPr>
          <w:rFonts w:ascii="Times New Roman" w:hAnsi="Times New Roman" w:cs="Times New Roman"/>
          <w:color w:val="000000" w:themeColor="text1"/>
          <w:sz w:val="28"/>
          <w:szCs w:val="28"/>
        </w:rPr>
        <w:t xml:space="preserve">34,1±4,3 года, в группе сравнения - 32,8±3,6 года, существенных различий по возрасту в исследуемых группах не выявлено.  </w:t>
      </w:r>
      <w:r w:rsidR="00D27C1B" w:rsidRPr="00916B3A">
        <w:rPr>
          <w:rFonts w:ascii="Times New Roman" w:hAnsi="Times New Roman" w:cs="Times New Roman"/>
          <w:sz w:val="28"/>
          <w:szCs w:val="28"/>
        </w:rPr>
        <w:t xml:space="preserve">Всем пациенткам, основной и сравнительной групп проводилась трансвагинальная эхография на аппарате </w:t>
      </w:r>
      <w:r w:rsidR="00D27C1B" w:rsidRPr="00916B3A">
        <w:rPr>
          <w:rFonts w:ascii="Times New Roman" w:hAnsi="Times New Roman" w:cs="Times New Roman"/>
          <w:sz w:val="28"/>
          <w:szCs w:val="28"/>
          <w:lang w:val="en-US"/>
        </w:rPr>
        <w:t>VOLUSONE</w:t>
      </w:r>
      <w:r w:rsidR="00D27C1B" w:rsidRPr="00916B3A">
        <w:rPr>
          <w:rFonts w:ascii="Times New Roman" w:hAnsi="Times New Roman" w:cs="Times New Roman"/>
          <w:sz w:val="28"/>
          <w:szCs w:val="28"/>
        </w:rPr>
        <w:t xml:space="preserve">-10 (Австрия) с использованием мультичастотного трансвагинального датчика с частотой 5-10 МГц, с программным обеспечением для реализации триплексного режима сканирования (серошкальный </w:t>
      </w:r>
      <w:proofErr w:type="gramStart"/>
      <w:r w:rsidR="00D27C1B" w:rsidRPr="00916B3A">
        <w:rPr>
          <w:rFonts w:ascii="Times New Roman" w:hAnsi="Times New Roman" w:cs="Times New Roman"/>
          <w:sz w:val="28"/>
          <w:szCs w:val="28"/>
        </w:rPr>
        <w:t>В-режим в</w:t>
      </w:r>
      <w:proofErr w:type="gramEnd"/>
      <w:r w:rsidR="00D27C1B" w:rsidRPr="00916B3A">
        <w:rPr>
          <w:rFonts w:ascii="Times New Roman" w:hAnsi="Times New Roman" w:cs="Times New Roman"/>
          <w:sz w:val="28"/>
          <w:szCs w:val="28"/>
        </w:rPr>
        <w:t xml:space="preserve"> сочетании цветового и импульсного допплера в масштабе реального времени). Проводилось динамическое ультразвуковое исследование во II фазу (в период «окна имплантации»). Исследование начинали с трансабдоминального ультразвукового сканирования (с наполненным мочевым пузырем) для исключения объемных образований малого таза. Продолжали исследование после опорожнения мочевого пузыря: определяли положение матки в полости малого таза. Особое внимание уделялось изучению М-эха: толщине, эхоструктуре и наличию включений. За нормальное значение М-эха принималась: однородная структура эндометрия, отсутствие гипо- или гиперэхогенных включений, соответствие его структуры дню менструального цикла. Критерием «тонкого» эндометрия считалась толщина эндометрия менее 7 мм на 20-24 день менструального цикла.</w:t>
      </w:r>
    </w:p>
    <w:p w14:paraId="1F98073F" w14:textId="77777777" w:rsidR="00D219EB" w:rsidRPr="00916B3A" w:rsidRDefault="00D27C1B" w:rsidP="000B7B11">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У пациенток основной группы проводилась оценка гемодинамики сосудов матки во вторую фазу менструального ци</w:t>
      </w:r>
      <w:r w:rsidR="00F464C9" w:rsidRPr="00916B3A">
        <w:rPr>
          <w:rFonts w:ascii="Times New Roman" w:hAnsi="Times New Roman" w:cs="Times New Roman"/>
          <w:sz w:val="28"/>
          <w:szCs w:val="28"/>
        </w:rPr>
        <w:t xml:space="preserve">кла в период «окна имплантации», </w:t>
      </w:r>
      <w:r w:rsidRPr="00916B3A">
        <w:rPr>
          <w:rFonts w:ascii="Times New Roman" w:hAnsi="Times New Roman" w:cs="Times New Roman"/>
          <w:sz w:val="28"/>
          <w:szCs w:val="28"/>
        </w:rPr>
        <w:t>включала в себя цветовое допплеровское картирование (ЦДК) и спектральную допплерометрию. При допплерометрическом исследовании обращали внимание на степень васкуляризации миометрия; проводили визуализацию всех ветвей сосудистой сети матки (маточных, аркуатных, радиальных, базальных, спиральных артерий) с оценкой систолических и диастолических показателей кровотока в исследуемых сосудах; величину углонезависимых индексов кривых скоростей кровотока (КСК): пульсационного индекса (PI) и индекса резистентности (</w:t>
      </w:r>
      <w:bookmarkStart w:id="27" w:name="_Hlk63935196"/>
      <w:r w:rsidRPr="00916B3A">
        <w:rPr>
          <w:rFonts w:ascii="Times New Roman" w:hAnsi="Times New Roman" w:cs="Times New Roman"/>
          <w:sz w:val="28"/>
          <w:szCs w:val="28"/>
        </w:rPr>
        <w:t>RI), систоло/диастолического соотношения (S/D</w:t>
      </w:r>
      <w:bookmarkEnd w:id="27"/>
      <w:r w:rsidRPr="00916B3A">
        <w:rPr>
          <w:rFonts w:ascii="Times New Roman" w:hAnsi="Times New Roman" w:cs="Times New Roman"/>
          <w:sz w:val="28"/>
          <w:szCs w:val="28"/>
        </w:rPr>
        <w:t xml:space="preserve">). Уголнезависимые индексы рассчитывали автоматически по предустановленным формулам. </w:t>
      </w:r>
    </w:p>
    <w:p w14:paraId="3F33C4F9" w14:textId="46DF70A8" w:rsidR="00D27C1B" w:rsidRDefault="00D27C1B" w:rsidP="000B7B11">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Данные ультразвукового исследования, цветового допплеровского картирования (ЦДК) и спектральной допплероме</w:t>
      </w:r>
      <w:r w:rsidR="00273C23" w:rsidRPr="00916B3A">
        <w:rPr>
          <w:rFonts w:ascii="Times New Roman" w:hAnsi="Times New Roman" w:cs="Times New Roman"/>
          <w:sz w:val="28"/>
          <w:szCs w:val="28"/>
        </w:rPr>
        <w:t>трии представлены в таблицах 10</w:t>
      </w:r>
      <w:r w:rsidRPr="00916B3A">
        <w:rPr>
          <w:rFonts w:ascii="Times New Roman" w:hAnsi="Times New Roman" w:cs="Times New Roman"/>
          <w:sz w:val="28"/>
          <w:szCs w:val="28"/>
        </w:rPr>
        <w:t>.</w:t>
      </w:r>
    </w:p>
    <w:p w14:paraId="04F1A51E" w14:textId="77777777" w:rsidR="00A66F48" w:rsidRPr="00916B3A" w:rsidRDefault="00A66F48" w:rsidP="000B7B11">
      <w:pPr>
        <w:spacing w:after="0" w:line="240" w:lineRule="auto"/>
        <w:ind w:firstLine="567"/>
        <w:jc w:val="both"/>
        <w:rPr>
          <w:rFonts w:ascii="Times New Roman" w:hAnsi="Times New Roman" w:cs="Times New Roman"/>
          <w:sz w:val="28"/>
          <w:szCs w:val="28"/>
        </w:rPr>
      </w:pPr>
    </w:p>
    <w:p w14:paraId="71317030" w14:textId="0C422FFF" w:rsidR="008C268C" w:rsidRPr="00916B3A" w:rsidRDefault="00D219EB" w:rsidP="008C268C">
      <w:pPr>
        <w:jc w:val="both"/>
        <w:rPr>
          <w:rFonts w:ascii="Times New Roman" w:hAnsi="Times New Roman" w:cs="Times New Roman"/>
          <w:bCs/>
          <w:sz w:val="28"/>
          <w:szCs w:val="28"/>
        </w:rPr>
      </w:pPr>
      <w:r w:rsidRPr="00916B3A">
        <w:rPr>
          <w:rFonts w:ascii="Times New Roman" w:hAnsi="Times New Roman" w:cs="Times New Roman"/>
          <w:sz w:val="28"/>
          <w:szCs w:val="28"/>
        </w:rPr>
        <w:t xml:space="preserve"> </w:t>
      </w:r>
      <w:r w:rsidR="008C268C" w:rsidRPr="00916B3A">
        <w:rPr>
          <w:rFonts w:ascii="Times New Roman" w:hAnsi="Times New Roman" w:cs="Times New Roman"/>
          <w:sz w:val="28"/>
          <w:szCs w:val="28"/>
        </w:rPr>
        <w:t>Таблица 10</w:t>
      </w:r>
      <w:r w:rsidR="00A66F48">
        <w:rPr>
          <w:rFonts w:ascii="Times New Roman" w:hAnsi="Times New Roman" w:cs="Times New Roman"/>
          <w:sz w:val="28"/>
          <w:szCs w:val="28"/>
        </w:rPr>
        <w:t xml:space="preserve"> -</w:t>
      </w:r>
      <w:r w:rsidR="008C268C" w:rsidRPr="00916B3A">
        <w:rPr>
          <w:rFonts w:ascii="Times New Roman" w:hAnsi="Times New Roman" w:cs="Times New Roman"/>
          <w:sz w:val="28"/>
          <w:szCs w:val="28"/>
        </w:rPr>
        <w:t xml:space="preserve"> </w:t>
      </w:r>
      <w:r w:rsidR="008C268C" w:rsidRPr="00916B3A">
        <w:rPr>
          <w:rFonts w:ascii="Times New Roman" w:hAnsi="Times New Roman" w:cs="Times New Roman"/>
          <w:bCs/>
          <w:sz w:val="28"/>
          <w:szCs w:val="28"/>
        </w:rPr>
        <w:t xml:space="preserve">Данные толщины М-эхо </w:t>
      </w:r>
    </w:p>
    <w:tbl>
      <w:tblPr>
        <w:tblStyle w:val="ae"/>
        <w:tblW w:w="9634" w:type="dxa"/>
        <w:tblLook w:val="04A0" w:firstRow="1" w:lastRow="0" w:firstColumn="1" w:lastColumn="0" w:noHBand="0" w:noVBand="1"/>
      </w:tblPr>
      <w:tblGrid>
        <w:gridCol w:w="2246"/>
        <w:gridCol w:w="3136"/>
        <w:gridCol w:w="4252"/>
      </w:tblGrid>
      <w:tr w:rsidR="008C268C" w:rsidRPr="00916B3A" w14:paraId="34566187" w14:textId="77777777" w:rsidTr="00E84A0A">
        <w:tc>
          <w:tcPr>
            <w:tcW w:w="2246" w:type="dxa"/>
          </w:tcPr>
          <w:p w14:paraId="10A9DD26" w14:textId="77777777" w:rsidR="008C268C" w:rsidRPr="00916B3A" w:rsidRDefault="008C268C" w:rsidP="00C87F33">
            <w:pPr>
              <w:jc w:val="center"/>
              <w:rPr>
                <w:rFonts w:ascii="Times New Roman" w:hAnsi="Times New Roman" w:cs="Times New Roman"/>
                <w:sz w:val="28"/>
                <w:szCs w:val="28"/>
              </w:rPr>
            </w:pPr>
            <w:r w:rsidRPr="00916B3A">
              <w:rPr>
                <w:rFonts w:ascii="Times New Roman" w:hAnsi="Times New Roman" w:cs="Times New Roman"/>
                <w:sz w:val="28"/>
                <w:szCs w:val="28"/>
              </w:rPr>
              <w:t>Параметры</w:t>
            </w:r>
          </w:p>
        </w:tc>
        <w:tc>
          <w:tcPr>
            <w:tcW w:w="3136" w:type="dxa"/>
          </w:tcPr>
          <w:p w14:paraId="5F95AA15" w14:textId="77777777" w:rsidR="008C268C" w:rsidRPr="00916B3A" w:rsidRDefault="008C268C" w:rsidP="00C87F33">
            <w:pPr>
              <w:jc w:val="center"/>
              <w:rPr>
                <w:rFonts w:ascii="Times New Roman" w:hAnsi="Times New Roman" w:cs="Times New Roman"/>
                <w:sz w:val="28"/>
                <w:szCs w:val="28"/>
              </w:rPr>
            </w:pPr>
            <w:r w:rsidRPr="00916B3A">
              <w:rPr>
                <w:rFonts w:ascii="Times New Roman" w:hAnsi="Times New Roman" w:cs="Times New Roman"/>
                <w:sz w:val="28"/>
                <w:szCs w:val="28"/>
              </w:rPr>
              <w:t>Основная группа</w:t>
            </w:r>
          </w:p>
        </w:tc>
        <w:tc>
          <w:tcPr>
            <w:tcW w:w="4252" w:type="dxa"/>
          </w:tcPr>
          <w:p w14:paraId="0BAAD913" w14:textId="77777777" w:rsidR="008C268C" w:rsidRPr="00916B3A" w:rsidRDefault="008C268C" w:rsidP="00C87F33">
            <w:pPr>
              <w:jc w:val="both"/>
              <w:rPr>
                <w:rFonts w:ascii="Times New Roman" w:hAnsi="Times New Roman" w:cs="Times New Roman"/>
                <w:sz w:val="28"/>
                <w:szCs w:val="28"/>
              </w:rPr>
            </w:pPr>
            <w:r w:rsidRPr="00916B3A">
              <w:rPr>
                <w:rFonts w:ascii="Times New Roman" w:hAnsi="Times New Roman" w:cs="Times New Roman"/>
                <w:sz w:val="28"/>
                <w:szCs w:val="28"/>
              </w:rPr>
              <w:t>Сравнительная группа</w:t>
            </w:r>
          </w:p>
        </w:tc>
      </w:tr>
      <w:tr w:rsidR="008C268C" w:rsidRPr="00916B3A" w14:paraId="1DEC6480" w14:textId="77777777" w:rsidTr="00E84A0A">
        <w:tc>
          <w:tcPr>
            <w:tcW w:w="2246" w:type="dxa"/>
          </w:tcPr>
          <w:p w14:paraId="70E857A6" w14:textId="6F294AD5"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М-эхо</w:t>
            </w:r>
          </w:p>
        </w:tc>
        <w:tc>
          <w:tcPr>
            <w:tcW w:w="3136" w:type="dxa"/>
          </w:tcPr>
          <w:p w14:paraId="1C7772D1" w14:textId="58AFB3DA"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5,4 ± 0,6</w:t>
            </w:r>
          </w:p>
        </w:tc>
        <w:tc>
          <w:tcPr>
            <w:tcW w:w="4252" w:type="dxa"/>
          </w:tcPr>
          <w:p w14:paraId="2D7C8AFA"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8,6</w:t>
            </w:r>
            <w:r w:rsidRPr="00916B3A">
              <w:rPr>
                <w:rFonts w:ascii="Times New Roman" w:hAnsi="Times New Roman" w:cs="Times New Roman"/>
                <w:color w:val="000000" w:themeColor="text1"/>
                <w:sz w:val="28"/>
                <w:szCs w:val="28"/>
              </w:rPr>
              <w:t>±2,7</w:t>
            </w:r>
          </w:p>
        </w:tc>
      </w:tr>
    </w:tbl>
    <w:p w14:paraId="10D84783" w14:textId="77777777" w:rsidR="008C268C" w:rsidRPr="00916B3A" w:rsidRDefault="008C268C" w:rsidP="00E84A0A">
      <w:pPr>
        <w:spacing w:after="0" w:line="240" w:lineRule="auto"/>
        <w:ind w:firstLine="567"/>
        <w:jc w:val="center"/>
        <w:rPr>
          <w:rFonts w:ascii="Times New Roman" w:hAnsi="Times New Roman" w:cs="Times New Roman"/>
          <w:sz w:val="28"/>
          <w:szCs w:val="28"/>
        </w:rPr>
      </w:pPr>
    </w:p>
    <w:p w14:paraId="40185C33" w14:textId="589A1513" w:rsidR="00D27C1B" w:rsidRPr="00916B3A" w:rsidRDefault="00D27C1B" w:rsidP="000B7B11">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При ультразвуковом обследовании у большинства пациенток основной группы помимо истончения эндометрия (критерий отбора для настоящего исследования – толщина М-эхо в день предполагаемого окна имплантации менее 7 мм) отмечены и изм</w:t>
      </w:r>
      <w:r w:rsidR="00225676" w:rsidRPr="00916B3A">
        <w:rPr>
          <w:rFonts w:ascii="Times New Roman" w:hAnsi="Times New Roman" w:cs="Times New Roman"/>
          <w:sz w:val="28"/>
          <w:szCs w:val="28"/>
        </w:rPr>
        <w:t>енения его эхо-структуры. У 59,2</w:t>
      </w:r>
      <w:r w:rsidRPr="00916B3A">
        <w:rPr>
          <w:rFonts w:ascii="Times New Roman" w:hAnsi="Times New Roman" w:cs="Times New Roman"/>
          <w:sz w:val="28"/>
          <w:szCs w:val="28"/>
        </w:rPr>
        <w:t>% пациенток эндомет</w:t>
      </w:r>
      <w:r w:rsidR="00225676" w:rsidRPr="00916B3A">
        <w:rPr>
          <w:rFonts w:ascii="Times New Roman" w:hAnsi="Times New Roman" w:cs="Times New Roman"/>
          <w:sz w:val="28"/>
          <w:szCs w:val="28"/>
        </w:rPr>
        <w:t>рий был эхо-неоднородным, у 40,8</w:t>
      </w:r>
      <w:r w:rsidRPr="00916B3A">
        <w:rPr>
          <w:rFonts w:ascii="Times New Roman" w:hAnsi="Times New Roman" w:cs="Times New Roman"/>
          <w:sz w:val="28"/>
          <w:szCs w:val="28"/>
        </w:rPr>
        <w:t xml:space="preserve">% эхоструктура эндометрия не соответствовала дню менструального </w:t>
      </w:r>
      <w:r w:rsidR="00DB05A1" w:rsidRPr="00916B3A">
        <w:rPr>
          <w:rFonts w:ascii="Times New Roman" w:hAnsi="Times New Roman" w:cs="Times New Roman"/>
          <w:sz w:val="28"/>
          <w:szCs w:val="28"/>
        </w:rPr>
        <w:t>цикла (рисунок 5</w:t>
      </w:r>
      <w:r w:rsidRPr="00916B3A">
        <w:rPr>
          <w:rFonts w:ascii="Times New Roman" w:hAnsi="Times New Roman" w:cs="Times New Roman"/>
          <w:sz w:val="28"/>
          <w:szCs w:val="28"/>
        </w:rPr>
        <w:t>).</w:t>
      </w:r>
    </w:p>
    <w:p w14:paraId="02F767E1" w14:textId="483941E0" w:rsidR="00657950" w:rsidRPr="00916B3A" w:rsidRDefault="00657950" w:rsidP="000B7B11">
      <w:pPr>
        <w:spacing w:after="0" w:line="240" w:lineRule="auto"/>
        <w:ind w:firstLine="567"/>
        <w:jc w:val="both"/>
        <w:rPr>
          <w:rFonts w:ascii="Times New Roman" w:hAnsi="Times New Roman" w:cs="Times New Roman"/>
          <w:sz w:val="28"/>
          <w:szCs w:val="28"/>
        </w:rPr>
      </w:pPr>
    </w:p>
    <w:p w14:paraId="57A1001F" w14:textId="5451EBFF" w:rsidR="00657950" w:rsidRPr="00916B3A" w:rsidRDefault="00657950" w:rsidP="00A66F48">
      <w:pPr>
        <w:spacing w:after="0" w:line="240" w:lineRule="auto"/>
        <w:jc w:val="center"/>
        <w:rPr>
          <w:rFonts w:ascii="Times New Roman" w:hAnsi="Times New Roman" w:cs="Times New Roman"/>
          <w:sz w:val="28"/>
          <w:szCs w:val="28"/>
        </w:rPr>
      </w:pPr>
      <w:r w:rsidRPr="00916B3A">
        <w:rPr>
          <w:rFonts w:ascii="Times New Roman" w:hAnsi="Times New Roman" w:cs="Times New Roman"/>
          <w:noProof/>
          <w:lang w:eastAsia="ru-RU"/>
        </w:rPr>
        <w:drawing>
          <wp:inline distT="0" distB="0" distL="0" distR="0" wp14:anchorId="65D7655C" wp14:editId="6FB68F75">
            <wp:extent cx="4923590" cy="330275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3481" t="8102" r="2943" b="11984"/>
                    <a:stretch>
                      <a:fillRect/>
                    </a:stretch>
                  </pic:blipFill>
                  <pic:spPr bwMode="auto">
                    <a:xfrm>
                      <a:off x="0" y="0"/>
                      <a:ext cx="4974650" cy="3337009"/>
                    </a:xfrm>
                    <a:prstGeom prst="rect">
                      <a:avLst/>
                    </a:prstGeom>
                    <a:noFill/>
                    <a:ln>
                      <a:noFill/>
                    </a:ln>
                  </pic:spPr>
                </pic:pic>
              </a:graphicData>
            </a:graphic>
          </wp:inline>
        </w:drawing>
      </w:r>
    </w:p>
    <w:p w14:paraId="0195EA5F" w14:textId="77777777" w:rsidR="00D27C1B" w:rsidRPr="00916B3A" w:rsidRDefault="00D27C1B" w:rsidP="000B7B11">
      <w:pPr>
        <w:spacing w:after="0" w:line="240" w:lineRule="auto"/>
        <w:ind w:firstLine="567"/>
        <w:jc w:val="both"/>
        <w:rPr>
          <w:rFonts w:ascii="Times New Roman" w:hAnsi="Times New Roman" w:cs="Times New Roman"/>
          <w:sz w:val="28"/>
          <w:szCs w:val="28"/>
        </w:rPr>
      </w:pPr>
    </w:p>
    <w:p w14:paraId="74B2F6AD" w14:textId="0CC09864" w:rsidR="00D27C1B" w:rsidRPr="00916B3A" w:rsidRDefault="00DB05A1" w:rsidP="00A66F48">
      <w:pPr>
        <w:spacing w:after="0" w:line="240" w:lineRule="auto"/>
        <w:jc w:val="center"/>
        <w:rPr>
          <w:rFonts w:ascii="Times New Roman" w:hAnsi="Times New Roman" w:cs="Times New Roman"/>
          <w:sz w:val="28"/>
          <w:szCs w:val="28"/>
        </w:rPr>
      </w:pPr>
      <w:r w:rsidRPr="00916B3A">
        <w:rPr>
          <w:rFonts w:ascii="Times New Roman" w:hAnsi="Times New Roman" w:cs="Times New Roman"/>
          <w:sz w:val="28"/>
          <w:szCs w:val="28"/>
        </w:rPr>
        <w:t>Рисунок 5</w:t>
      </w:r>
      <w:r w:rsidR="00D27C1B" w:rsidRPr="00916B3A">
        <w:rPr>
          <w:rFonts w:ascii="Times New Roman" w:hAnsi="Times New Roman" w:cs="Times New Roman"/>
          <w:sz w:val="28"/>
          <w:szCs w:val="28"/>
        </w:rPr>
        <w:t xml:space="preserve"> – </w:t>
      </w:r>
      <w:r w:rsidR="00342832" w:rsidRPr="00916B3A">
        <w:rPr>
          <w:rFonts w:ascii="Times New Roman" w:hAnsi="Times New Roman" w:cs="Times New Roman"/>
          <w:sz w:val="28"/>
          <w:szCs w:val="28"/>
        </w:rPr>
        <w:t>Типичная у</w:t>
      </w:r>
      <w:r w:rsidR="00D27C1B" w:rsidRPr="00916B3A">
        <w:rPr>
          <w:rFonts w:ascii="Times New Roman" w:hAnsi="Times New Roman" w:cs="Times New Roman"/>
          <w:sz w:val="28"/>
          <w:szCs w:val="28"/>
        </w:rPr>
        <w:t xml:space="preserve">льтразвуковая картина </w:t>
      </w:r>
      <w:r w:rsidR="00342832" w:rsidRPr="00916B3A">
        <w:rPr>
          <w:rFonts w:ascii="Times New Roman" w:hAnsi="Times New Roman" w:cs="Times New Roman"/>
          <w:sz w:val="28"/>
          <w:szCs w:val="28"/>
        </w:rPr>
        <w:t xml:space="preserve">тонкого </w:t>
      </w:r>
      <w:r w:rsidR="00D27C1B" w:rsidRPr="00916B3A">
        <w:rPr>
          <w:rFonts w:ascii="Times New Roman" w:hAnsi="Times New Roman" w:cs="Times New Roman"/>
          <w:sz w:val="28"/>
          <w:szCs w:val="28"/>
        </w:rPr>
        <w:t xml:space="preserve">эндометрия. </w:t>
      </w:r>
    </w:p>
    <w:p w14:paraId="10AE4B0E" w14:textId="77777777" w:rsidR="00D27C1B" w:rsidRPr="00916B3A" w:rsidRDefault="00D27C1B" w:rsidP="000B7B11">
      <w:pPr>
        <w:spacing w:after="0" w:line="240" w:lineRule="auto"/>
        <w:ind w:firstLine="624"/>
        <w:jc w:val="center"/>
        <w:rPr>
          <w:rFonts w:ascii="Times New Roman" w:hAnsi="Times New Roman" w:cs="Times New Roman"/>
          <w:sz w:val="28"/>
          <w:szCs w:val="28"/>
        </w:rPr>
      </w:pPr>
      <w:r w:rsidRPr="00916B3A">
        <w:rPr>
          <w:rFonts w:ascii="Times New Roman" w:hAnsi="Times New Roman" w:cs="Times New Roman"/>
          <w:sz w:val="28"/>
          <w:szCs w:val="28"/>
        </w:rPr>
        <w:t>Толщина эндометрия 6,2 мм</w:t>
      </w:r>
    </w:p>
    <w:p w14:paraId="3A3444BF" w14:textId="77777777" w:rsidR="00D27C1B" w:rsidRPr="00916B3A" w:rsidRDefault="00D27C1B" w:rsidP="000B7B11">
      <w:pPr>
        <w:spacing w:after="0" w:line="240" w:lineRule="auto"/>
        <w:jc w:val="both"/>
        <w:rPr>
          <w:rFonts w:ascii="Times New Roman" w:hAnsi="Times New Roman" w:cs="Times New Roman"/>
          <w:sz w:val="28"/>
          <w:szCs w:val="28"/>
        </w:rPr>
      </w:pPr>
    </w:p>
    <w:p w14:paraId="19A4BEE8" w14:textId="1E759FD6" w:rsidR="00D27C1B" w:rsidRPr="00916B3A" w:rsidRDefault="00D27C1B" w:rsidP="000B7B11">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Помимо ультразвукового исследования пациенткам проводили изучение кровотока в сосудах матки методом цветного доппле</w:t>
      </w:r>
      <w:r w:rsidR="00DB05A1" w:rsidRPr="00916B3A">
        <w:rPr>
          <w:rFonts w:ascii="Times New Roman" w:hAnsi="Times New Roman" w:cs="Times New Roman"/>
          <w:sz w:val="28"/>
          <w:szCs w:val="28"/>
        </w:rPr>
        <w:t>ровского картирования (таблица 11</w:t>
      </w:r>
      <w:r w:rsidR="008C268C" w:rsidRPr="00916B3A">
        <w:rPr>
          <w:rFonts w:ascii="Times New Roman" w:hAnsi="Times New Roman" w:cs="Times New Roman"/>
          <w:sz w:val="28"/>
          <w:szCs w:val="28"/>
        </w:rPr>
        <w:t>-12</w:t>
      </w:r>
      <w:r w:rsidRPr="00916B3A">
        <w:rPr>
          <w:rFonts w:ascii="Times New Roman" w:hAnsi="Times New Roman" w:cs="Times New Roman"/>
          <w:sz w:val="28"/>
          <w:szCs w:val="28"/>
        </w:rPr>
        <w:t>).</w:t>
      </w:r>
    </w:p>
    <w:p w14:paraId="6F1CDE14" w14:textId="2B30F171" w:rsidR="00657950" w:rsidRPr="00916B3A" w:rsidRDefault="00657950" w:rsidP="000B7B11">
      <w:pPr>
        <w:spacing w:after="0" w:line="240" w:lineRule="auto"/>
        <w:ind w:firstLine="567"/>
        <w:jc w:val="both"/>
        <w:rPr>
          <w:rFonts w:ascii="Times New Roman" w:hAnsi="Times New Roman" w:cs="Times New Roman"/>
          <w:sz w:val="28"/>
          <w:szCs w:val="28"/>
        </w:rPr>
      </w:pPr>
    </w:p>
    <w:p w14:paraId="0EADEAC0" w14:textId="04E58140" w:rsidR="00D27C1B" w:rsidRPr="00916B3A" w:rsidRDefault="00DB05A1" w:rsidP="000B7B11">
      <w:pPr>
        <w:spacing w:after="0" w:line="240" w:lineRule="auto"/>
        <w:jc w:val="both"/>
        <w:rPr>
          <w:rFonts w:ascii="Times New Roman" w:hAnsi="Times New Roman" w:cs="Times New Roman"/>
          <w:bCs/>
          <w:sz w:val="28"/>
          <w:szCs w:val="28"/>
        </w:rPr>
      </w:pPr>
      <w:r w:rsidRPr="00916B3A">
        <w:rPr>
          <w:rFonts w:ascii="Times New Roman" w:hAnsi="Times New Roman" w:cs="Times New Roman"/>
          <w:bCs/>
          <w:sz w:val="28"/>
          <w:szCs w:val="28"/>
        </w:rPr>
        <w:t>Таблица 11</w:t>
      </w:r>
      <w:r w:rsidR="00A66F48">
        <w:rPr>
          <w:rFonts w:ascii="Times New Roman" w:hAnsi="Times New Roman" w:cs="Times New Roman"/>
          <w:bCs/>
          <w:sz w:val="28"/>
          <w:szCs w:val="28"/>
        </w:rPr>
        <w:t xml:space="preserve"> -</w:t>
      </w:r>
      <w:r w:rsidR="00D27C1B" w:rsidRPr="00916B3A">
        <w:rPr>
          <w:rFonts w:ascii="Times New Roman" w:hAnsi="Times New Roman" w:cs="Times New Roman"/>
          <w:bCs/>
          <w:sz w:val="28"/>
          <w:szCs w:val="28"/>
        </w:rPr>
        <w:t xml:space="preserve"> Допплерометрические показатели ЦДК в «окно имплантации» </w:t>
      </w:r>
    </w:p>
    <w:p w14:paraId="77C07829" w14:textId="77777777" w:rsidR="00342832" w:rsidRPr="00916B3A" w:rsidRDefault="00342832" w:rsidP="000B7B11">
      <w:pPr>
        <w:spacing w:after="0" w:line="240" w:lineRule="auto"/>
        <w:jc w:val="both"/>
        <w:rPr>
          <w:rFonts w:ascii="Times New Roman" w:hAnsi="Times New Roman" w:cs="Times New Roman"/>
          <w:bCs/>
          <w:sz w:val="28"/>
          <w:szCs w:val="28"/>
        </w:rPr>
      </w:pPr>
    </w:p>
    <w:tbl>
      <w:tblPr>
        <w:tblStyle w:val="ae"/>
        <w:tblW w:w="9634" w:type="dxa"/>
        <w:tblLook w:val="04A0" w:firstRow="1" w:lastRow="0" w:firstColumn="1" w:lastColumn="0" w:noHBand="0" w:noVBand="1"/>
      </w:tblPr>
      <w:tblGrid>
        <w:gridCol w:w="4815"/>
        <w:gridCol w:w="4819"/>
      </w:tblGrid>
      <w:tr w:rsidR="00F464C9" w:rsidRPr="00916B3A" w14:paraId="5AFF09DD" w14:textId="77777777" w:rsidTr="00A66F48">
        <w:trPr>
          <w:trHeight w:val="339"/>
        </w:trPr>
        <w:tc>
          <w:tcPr>
            <w:tcW w:w="4815" w:type="dxa"/>
          </w:tcPr>
          <w:p w14:paraId="41138B1C" w14:textId="77777777" w:rsidR="00F464C9" w:rsidRPr="00916B3A" w:rsidRDefault="00F464C9" w:rsidP="000B7B11">
            <w:pPr>
              <w:jc w:val="both"/>
              <w:rPr>
                <w:rFonts w:ascii="Times New Roman" w:hAnsi="Times New Roman" w:cs="Times New Roman"/>
                <w:sz w:val="28"/>
                <w:szCs w:val="28"/>
              </w:rPr>
            </w:pPr>
            <w:r w:rsidRPr="00916B3A">
              <w:rPr>
                <w:rFonts w:ascii="Times New Roman" w:hAnsi="Times New Roman" w:cs="Times New Roman"/>
                <w:sz w:val="28"/>
                <w:szCs w:val="28"/>
              </w:rPr>
              <w:t>Изучаемые параметры</w:t>
            </w:r>
          </w:p>
        </w:tc>
        <w:tc>
          <w:tcPr>
            <w:tcW w:w="4819" w:type="dxa"/>
            <w:vAlign w:val="center"/>
          </w:tcPr>
          <w:p w14:paraId="34AFD03C" w14:textId="15D97D10" w:rsidR="00F464C9" w:rsidRPr="00916B3A" w:rsidRDefault="00534EEF" w:rsidP="00534EEF">
            <w:pPr>
              <w:jc w:val="center"/>
              <w:rPr>
                <w:rFonts w:ascii="Times New Roman" w:hAnsi="Times New Roman" w:cs="Times New Roman"/>
                <w:sz w:val="28"/>
                <w:szCs w:val="28"/>
              </w:rPr>
            </w:pPr>
            <w:r w:rsidRPr="00916B3A">
              <w:rPr>
                <w:rFonts w:ascii="Times New Roman" w:hAnsi="Times New Roman" w:cs="Times New Roman"/>
                <w:sz w:val="28"/>
                <w:szCs w:val="28"/>
              </w:rPr>
              <w:t>абс (%)</w:t>
            </w:r>
          </w:p>
        </w:tc>
      </w:tr>
      <w:tr w:rsidR="00F464C9" w:rsidRPr="00916B3A" w14:paraId="58CF44C8" w14:textId="77777777" w:rsidTr="00A66F48">
        <w:tc>
          <w:tcPr>
            <w:tcW w:w="4815" w:type="dxa"/>
          </w:tcPr>
          <w:p w14:paraId="052A51A9" w14:textId="77777777" w:rsidR="00F464C9" w:rsidRPr="00916B3A" w:rsidRDefault="00F464C9" w:rsidP="000B7B11">
            <w:pPr>
              <w:jc w:val="both"/>
              <w:rPr>
                <w:rFonts w:ascii="Times New Roman" w:hAnsi="Times New Roman" w:cs="Times New Roman"/>
                <w:sz w:val="28"/>
                <w:szCs w:val="28"/>
              </w:rPr>
            </w:pPr>
            <w:r w:rsidRPr="00916B3A">
              <w:rPr>
                <w:rFonts w:ascii="Times New Roman" w:hAnsi="Times New Roman" w:cs="Times New Roman"/>
                <w:sz w:val="28"/>
                <w:szCs w:val="28"/>
              </w:rPr>
              <w:t>визуализация аркуатных артерий, %</w:t>
            </w:r>
          </w:p>
        </w:tc>
        <w:tc>
          <w:tcPr>
            <w:tcW w:w="4819" w:type="dxa"/>
          </w:tcPr>
          <w:p w14:paraId="438B62DD" w14:textId="20A3F667" w:rsidR="00F464C9" w:rsidRPr="00916B3A" w:rsidRDefault="00BE49D7" w:rsidP="000B7B11">
            <w:pPr>
              <w:jc w:val="center"/>
              <w:rPr>
                <w:rFonts w:ascii="Times New Roman" w:hAnsi="Times New Roman" w:cs="Times New Roman"/>
                <w:sz w:val="28"/>
                <w:szCs w:val="28"/>
              </w:rPr>
            </w:pPr>
            <w:r>
              <w:rPr>
                <w:rFonts w:ascii="Times New Roman" w:hAnsi="Times New Roman" w:cs="Times New Roman"/>
                <w:sz w:val="28"/>
                <w:szCs w:val="28"/>
              </w:rPr>
              <w:t>31 (</w:t>
            </w:r>
            <w:r w:rsidR="0025265A">
              <w:rPr>
                <w:rFonts w:ascii="Times New Roman" w:hAnsi="Times New Roman" w:cs="Times New Roman"/>
                <w:sz w:val="28"/>
                <w:szCs w:val="28"/>
              </w:rPr>
              <w:t>80</w:t>
            </w:r>
            <w:r w:rsidR="00F464C9" w:rsidRPr="00916B3A">
              <w:rPr>
                <w:rFonts w:ascii="Times New Roman" w:hAnsi="Times New Roman" w:cs="Times New Roman"/>
                <w:sz w:val="28"/>
                <w:szCs w:val="28"/>
              </w:rPr>
              <w:t>%)</w:t>
            </w:r>
          </w:p>
        </w:tc>
      </w:tr>
      <w:tr w:rsidR="00F464C9" w:rsidRPr="00916B3A" w14:paraId="560B25F6" w14:textId="77777777" w:rsidTr="00A66F48">
        <w:tc>
          <w:tcPr>
            <w:tcW w:w="4815" w:type="dxa"/>
          </w:tcPr>
          <w:p w14:paraId="228E98EE" w14:textId="48446643" w:rsidR="00F464C9" w:rsidRPr="00916B3A" w:rsidRDefault="00F464C9" w:rsidP="000B7B11">
            <w:pPr>
              <w:jc w:val="both"/>
              <w:rPr>
                <w:rFonts w:ascii="Times New Roman" w:hAnsi="Times New Roman" w:cs="Times New Roman"/>
                <w:sz w:val="28"/>
                <w:szCs w:val="28"/>
              </w:rPr>
            </w:pPr>
            <w:r w:rsidRPr="00916B3A">
              <w:rPr>
                <w:rFonts w:ascii="Times New Roman" w:hAnsi="Times New Roman" w:cs="Times New Roman"/>
                <w:sz w:val="28"/>
                <w:szCs w:val="28"/>
              </w:rPr>
              <w:t>визуализация радиальных артерий,</w:t>
            </w:r>
            <w:r w:rsidR="00D219EB" w:rsidRPr="00916B3A">
              <w:rPr>
                <w:rFonts w:ascii="Times New Roman" w:hAnsi="Times New Roman" w:cs="Times New Roman"/>
                <w:sz w:val="28"/>
                <w:szCs w:val="28"/>
              </w:rPr>
              <w:t xml:space="preserve"> </w:t>
            </w:r>
            <w:r w:rsidRPr="00916B3A">
              <w:rPr>
                <w:rFonts w:ascii="Times New Roman" w:hAnsi="Times New Roman" w:cs="Times New Roman"/>
                <w:sz w:val="28"/>
                <w:szCs w:val="28"/>
              </w:rPr>
              <w:t>%</w:t>
            </w:r>
          </w:p>
        </w:tc>
        <w:tc>
          <w:tcPr>
            <w:tcW w:w="4819" w:type="dxa"/>
          </w:tcPr>
          <w:p w14:paraId="538DA7FE" w14:textId="01C9A1F1" w:rsidR="00F464C9" w:rsidRPr="00916B3A" w:rsidRDefault="00BE49D7" w:rsidP="000B7B11">
            <w:pPr>
              <w:jc w:val="center"/>
              <w:rPr>
                <w:rFonts w:ascii="Times New Roman" w:hAnsi="Times New Roman" w:cs="Times New Roman"/>
                <w:sz w:val="28"/>
                <w:szCs w:val="28"/>
              </w:rPr>
            </w:pPr>
            <w:r>
              <w:rPr>
                <w:rFonts w:ascii="Times New Roman" w:hAnsi="Times New Roman" w:cs="Times New Roman"/>
                <w:sz w:val="28"/>
                <w:szCs w:val="28"/>
              </w:rPr>
              <w:t>32 (8</w:t>
            </w:r>
            <w:r w:rsidR="0025265A">
              <w:rPr>
                <w:rFonts w:ascii="Times New Roman" w:hAnsi="Times New Roman" w:cs="Times New Roman"/>
                <w:sz w:val="28"/>
                <w:szCs w:val="28"/>
              </w:rPr>
              <w:t>3,3</w:t>
            </w:r>
            <w:r>
              <w:rPr>
                <w:rFonts w:ascii="Times New Roman" w:hAnsi="Times New Roman" w:cs="Times New Roman"/>
                <w:sz w:val="28"/>
                <w:szCs w:val="28"/>
              </w:rPr>
              <w:t>%</w:t>
            </w:r>
            <w:r w:rsidR="00F464C9" w:rsidRPr="00916B3A">
              <w:rPr>
                <w:rFonts w:ascii="Times New Roman" w:hAnsi="Times New Roman" w:cs="Times New Roman"/>
                <w:sz w:val="28"/>
                <w:szCs w:val="28"/>
              </w:rPr>
              <w:t>)</w:t>
            </w:r>
          </w:p>
        </w:tc>
      </w:tr>
      <w:tr w:rsidR="00F464C9" w:rsidRPr="00916B3A" w14:paraId="694B3250" w14:textId="77777777" w:rsidTr="00A66F48">
        <w:tc>
          <w:tcPr>
            <w:tcW w:w="4815" w:type="dxa"/>
          </w:tcPr>
          <w:p w14:paraId="04BC2A4F" w14:textId="0313E3CC" w:rsidR="00F464C9" w:rsidRPr="00916B3A" w:rsidRDefault="00F464C9" w:rsidP="000B7B11">
            <w:pPr>
              <w:jc w:val="both"/>
              <w:rPr>
                <w:rFonts w:ascii="Times New Roman" w:hAnsi="Times New Roman" w:cs="Times New Roman"/>
                <w:sz w:val="28"/>
                <w:szCs w:val="28"/>
              </w:rPr>
            </w:pPr>
            <w:r w:rsidRPr="00916B3A">
              <w:rPr>
                <w:rFonts w:ascii="Times New Roman" w:hAnsi="Times New Roman" w:cs="Times New Roman"/>
                <w:sz w:val="28"/>
                <w:szCs w:val="28"/>
              </w:rPr>
              <w:t>визуализация базальных артерий,</w:t>
            </w:r>
            <w:r w:rsidR="00D219EB" w:rsidRPr="00916B3A">
              <w:rPr>
                <w:rFonts w:ascii="Times New Roman" w:hAnsi="Times New Roman" w:cs="Times New Roman"/>
                <w:sz w:val="28"/>
                <w:szCs w:val="28"/>
              </w:rPr>
              <w:t xml:space="preserve"> </w:t>
            </w:r>
            <w:r w:rsidRPr="00916B3A">
              <w:rPr>
                <w:rFonts w:ascii="Times New Roman" w:hAnsi="Times New Roman" w:cs="Times New Roman"/>
                <w:sz w:val="28"/>
                <w:szCs w:val="28"/>
              </w:rPr>
              <w:t>%</w:t>
            </w:r>
          </w:p>
        </w:tc>
        <w:tc>
          <w:tcPr>
            <w:tcW w:w="4819" w:type="dxa"/>
          </w:tcPr>
          <w:p w14:paraId="41AFC74E" w14:textId="53E6FD38" w:rsidR="00F464C9" w:rsidRPr="00916B3A" w:rsidRDefault="00BE49D7" w:rsidP="000B7B11">
            <w:pPr>
              <w:jc w:val="center"/>
              <w:rPr>
                <w:rFonts w:ascii="Times New Roman" w:hAnsi="Times New Roman" w:cs="Times New Roman"/>
                <w:sz w:val="28"/>
                <w:szCs w:val="28"/>
              </w:rPr>
            </w:pPr>
            <w:r>
              <w:rPr>
                <w:rFonts w:ascii="Times New Roman" w:hAnsi="Times New Roman" w:cs="Times New Roman"/>
                <w:sz w:val="28"/>
                <w:szCs w:val="28"/>
              </w:rPr>
              <w:t>23 (</w:t>
            </w:r>
            <w:r w:rsidR="0025265A">
              <w:rPr>
                <w:rFonts w:ascii="Times New Roman" w:hAnsi="Times New Roman" w:cs="Times New Roman"/>
                <w:sz w:val="28"/>
                <w:szCs w:val="28"/>
              </w:rPr>
              <w:t>60</w:t>
            </w:r>
            <w:r w:rsidR="00F464C9" w:rsidRPr="00916B3A">
              <w:rPr>
                <w:rFonts w:ascii="Times New Roman" w:hAnsi="Times New Roman" w:cs="Times New Roman"/>
                <w:sz w:val="28"/>
                <w:szCs w:val="28"/>
              </w:rPr>
              <w:t>%)</w:t>
            </w:r>
          </w:p>
        </w:tc>
      </w:tr>
      <w:tr w:rsidR="00F464C9" w:rsidRPr="00916B3A" w14:paraId="1AFEBE9A" w14:textId="77777777" w:rsidTr="00A66F48">
        <w:tc>
          <w:tcPr>
            <w:tcW w:w="4815" w:type="dxa"/>
          </w:tcPr>
          <w:p w14:paraId="04D6034E" w14:textId="2D16B937" w:rsidR="00F464C9" w:rsidRPr="00916B3A" w:rsidRDefault="00F464C9" w:rsidP="000B7B11">
            <w:pPr>
              <w:jc w:val="both"/>
              <w:rPr>
                <w:rFonts w:ascii="Times New Roman" w:hAnsi="Times New Roman" w:cs="Times New Roman"/>
                <w:sz w:val="28"/>
                <w:szCs w:val="28"/>
              </w:rPr>
            </w:pPr>
            <w:r w:rsidRPr="00916B3A">
              <w:rPr>
                <w:rFonts w:ascii="Times New Roman" w:hAnsi="Times New Roman" w:cs="Times New Roman"/>
                <w:sz w:val="28"/>
                <w:szCs w:val="28"/>
              </w:rPr>
              <w:t>визуализация спиральных артерий,</w:t>
            </w:r>
            <w:r w:rsidR="00D219EB" w:rsidRPr="00916B3A">
              <w:rPr>
                <w:rFonts w:ascii="Times New Roman" w:hAnsi="Times New Roman" w:cs="Times New Roman"/>
                <w:sz w:val="28"/>
                <w:szCs w:val="28"/>
              </w:rPr>
              <w:t xml:space="preserve"> </w:t>
            </w:r>
            <w:r w:rsidRPr="00916B3A">
              <w:rPr>
                <w:rFonts w:ascii="Times New Roman" w:hAnsi="Times New Roman" w:cs="Times New Roman"/>
                <w:sz w:val="28"/>
                <w:szCs w:val="28"/>
              </w:rPr>
              <w:t>%</w:t>
            </w:r>
          </w:p>
        </w:tc>
        <w:tc>
          <w:tcPr>
            <w:tcW w:w="4819" w:type="dxa"/>
          </w:tcPr>
          <w:p w14:paraId="21496B74" w14:textId="02A9F71A" w:rsidR="00F464C9" w:rsidRPr="00916B3A" w:rsidRDefault="00BE49D7" w:rsidP="000B7B11">
            <w:pPr>
              <w:jc w:val="center"/>
              <w:rPr>
                <w:rFonts w:ascii="Times New Roman" w:hAnsi="Times New Roman" w:cs="Times New Roman"/>
                <w:sz w:val="28"/>
                <w:szCs w:val="28"/>
              </w:rPr>
            </w:pPr>
            <w:r>
              <w:rPr>
                <w:rFonts w:ascii="Times New Roman" w:hAnsi="Times New Roman" w:cs="Times New Roman"/>
                <w:sz w:val="28"/>
                <w:szCs w:val="28"/>
              </w:rPr>
              <w:t>8(</w:t>
            </w:r>
            <w:r w:rsidRPr="00E450F9">
              <w:rPr>
                <w:rFonts w:ascii="Times New Roman" w:hAnsi="Times New Roman" w:cs="Times New Roman"/>
                <w:sz w:val="28"/>
                <w:szCs w:val="28"/>
              </w:rPr>
              <w:t>20%</w:t>
            </w:r>
            <w:r>
              <w:rPr>
                <w:rFonts w:ascii="Times New Roman" w:hAnsi="Times New Roman" w:cs="Times New Roman"/>
                <w:sz w:val="28"/>
                <w:szCs w:val="28"/>
              </w:rPr>
              <w:t>)</w:t>
            </w:r>
          </w:p>
        </w:tc>
      </w:tr>
    </w:tbl>
    <w:p w14:paraId="1BD0325C" w14:textId="77777777" w:rsidR="00A66F48" w:rsidRDefault="00A66F48" w:rsidP="008C268C">
      <w:pPr>
        <w:spacing w:after="0" w:line="240" w:lineRule="auto"/>
        <w:jc w:val="both"/>
        <w:rPr>
          <w:rFonts w:ascii="Times New Roman" w:hAnsi="Times New Roman" w:cs="Times New Roman"/>
          <w:bCs/>
          <w:sz w:val="28"/>
          <w:szCs w:val="28"/>
        </w:rPr>
      </w:pPr>
    </w:p>
    <w:p w14:paraId="184AF099" w14:textId="4995B1C4" w:rsidR="008C268C" w:rsidRPr="00916B3A" w:rsidRDefault="008C268C" w:rsidP="008C268C">
      <w:pPr>
        <w:spacing w:after="0" w:line="240" w:lineRule="auto"/>
        <w:jc w:val="both"/>
        <w:rPr>
          <w:rFonts w:ascii="Times New Roman" w:hAnsi="Times New Roman" w:cs="Times New Roman"/>
          <w:bCs/>
          <w:sz w:val="28"/>
          <w:szCs w:val="28"/>
        </w:rPr>
      </w:pPr>
      <w:r w:rsidRPr="00916B3A">
        <w:rPr>
          <w:rFonts w:ascii="Times New Roman" w:hAnsi="Times New Roman" w:cs="Times New Roman"/>
          <w:bCs/>
          <w:sz w:val="28"/>
          <w:szCs w:val="28"/>
        </w:rPr>
        <w:t>Таблица 12</w:t>
      </w:r>
      <w:r w:rsidR="00A66F48">
        <w:rPr>
          <w:rFonts w:ascii="Times New Roman" w:hAnsi="Times New Roman" w:cs="Times New Roman"/>
          <w:bCs/>
          <w:sz w:val="28"/>
          <w:szCs w:val="28"/>
        </w:rPr>
        <w:t>-</w:t>
      </w:r>
      <w:r w:rsidRPr="00916B3A">
        <w:rPr>
          <w:rFonts w:ascii="Times New Roman" w:hAnsi="Times New Roman" w:cs="Times New Roman"/>
          <w:bCs/>
          <w:sz w:val="28"/>
          <w:szCs w:val="28"/>
        </w:rPr>
        <w:t xml:space="preserve"> Допплерометрические показатели ЦДК в «окно имплантации» </w:t>
      </w:r>
    </w:p>
    <w:p w14:paraId="0DFCD316" w14:textId="77777777" w:rsidR="008C268C" w:rsidRPr="00916B3A" w:rsidRDefault="008C268C" w:rsidP="008C268C">
      <w:pPr>
        <w:spacing w:after="0" w:line="240" w:lineRule="auto"/>
        <w:jc w:val="both"/>
        <w:rPr>
          <w:rFonts w:ascii="Times New Roman" w:hAnsi="Times New Roman" w:cs="Times New Roman"/>
          <w:bCs/>
          <w:sz w:val="28"/>
          <w:szCs w:val="28"/>
        </w:rPr>
      </w:pPr>
    </w:p>
    <w:tbl>
      <w:tblPr>
        <w:tblStyle w:val="ae"/>
        <w:tblW w:w="9634" w:type="dxa"/>
        <w:tblLook w:val="04A0" w:firstRow="1" w:lastRow="0" w:firstColumn="1" w:lastColumn="0" w:noHBand="0" w:noVBand="1"/>
      </w:tblPr>
      <w:tblGrid>
        <w:gridCol w:w="3681"/>
        <w:gridCol w:w="1701"/>
        <w:gridCol w:w="1843"/>
        <w:gridCol w:w="2409"/>
      </w:tblGrid>
      <w:tr w:rsidR="008C268C" w:rsidRPr="00916B3A" w14:paraId="7BDA7E5D" w14:textId="77777777" w:rsidTr="00A66F48">
        <w:tc>
          <w:tcPr>
            <w:tcW w:w="3681" w:type="dxa"/>
            <w:vMerge w:val="restart"/>
          </w:tcPr>
          <w:p w14:paraId="373A9AA1" w14:textId="77777777" w:rsidR="008C268C" w:rsidRPr="00916B3A" w:rsidRDefault="008C268C" w:rsidP="00E84A0A">
            <w:pPr>
              <w:jc w:val="both"/>
              <w:rPr>
                <w:rFonts w:ascii="Times New Roman" w:hAnsi="Times New Roman" w:cs="Times New Roman"/>
                <w:sz w:val="28"/>
                <w:szCs w:val="28"/>
              </w:rPr>
            </w:pPr>
            <w:r w:rsidRPr="00916B3A">
              <w:rPr>
                <w:rFonts w:ascii="Times New Roman" w:hAnsi="Times New Roman" w:cs="Times New Roman"/>
                <w:sz w:val="28"/>
                <w:szCs w:val="28"/>
              </w:rPr>
              <w:t>Исследуемая артерия</w:t>
            </w:r>
          </w:p>
        </w:tc>
        <w:tc>
          <w:tcPr>
            <w:tcW w:w="5953" w:type="dxa"/>
            <w:gridSpan w:val="3"/>
          </w:tcPr>
          <w:p w14:paraId="5E4AEFB3"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Параметры гемодинамики</w:t>
            </w:r>
          </w:p>
        </w:tc>
      </w:tr>
      <w:tr w:rsidR="008C268C" w:rsidRPr="00916B3A" w14:paraId="220AC3E2" w14:textId="77777777" w:rsidTr="00A66F48">
        <w:tc>
          <w:tcPr>
            <w:tcW w:w="3681" w:type="dxa"/>
            <w:vMerge/>
          </w:tcPr>
          <w:p w14:paraId="082EBBE9" w14:textId="77777777" w:rsidR="008C268C" w:rsidRPr="00916B3A" w:rsidRDefault="008C268C" w:rsidP="00E84A0A">
            <w:pPr>
              <w:jc w:val="both"/>
              <w:rPr>
                <w:rFonts w:ascii="Times New Roman" w:hAnsi="Times New Roman" w:cs="Times New Roman"/>
                <w:sz w:val="28"/>
                <w:szCs w:val="28"/>
              </w:rPr>
            </w:pPr>
          </w:p>
        </w:tc>
        <w:tc>
          <w:tcPr>
            <w:tcW w:w="1701" w:type="dxa"/>
          </w:tcPr>
          <w:p w14:paraId="03EB9285" w14:textId="77777777" w:rsidR="008C268C" w:rsidRPr="00916B3A" w:rsidRDefault="008C268C" w:rsidP="00E84A0A">
            <w:pPr>
              <w:jc w:val="center"/>
              <w:rPr>
                <w:rFonts w:ascii="Times New Roman" w:hAnsi="Times New Roman" w:cs="Times New Roman"/>
                <w:sz w:val="28"/>
                <w:szCs w:val="28"/>
                <w:lang w:val="en-US"/>
              </w:rPr>
            </w:pPr>
            <w:r w:rsidRPr="00916B3A">
              <w:rPr>
                <w:rFonts w:ascii="Times New Roman" w:hAnsi="Times New Roman" w:cs="Times New Roman"/>
                <w:sz w:val="28"/>
                <w:szCs w:val="28"/>
                <w:lang w:val="en-US"/>
              </w:rPr>
              <w:t>PI</w:t>
            </w:r>
          </w:p>
        </w:tc>
        <w:tc>
          <w:tcPr>
            <w:tcW w:w="1843" w:type="dxa"/>
          </w:tcPr>
          <w:p w14:paraId="7F60A69E" w14:textId="77777777" w:rsidR="008C268C" w:rsidRPr="00916B3A" w:rsidRDefault="008C268C" w:rsidP="00E84A0A">
            <w:pPr>
              <w:jc w:val="center"/>
              <w:rPr>
                <w:rFonts w:ascii="Times New Roman" w:hAnsi="Times New Roman" w:cs="Times New Roman"/>
                <w:sz w:val="28"/>
                <w:szCs w:val="28"/>
                <w:lang w:val="en-US"/>
              </w:rPr>
            </w:pPr>
            <w:r w:rsidRPr="00916B3A">
              <w:rPr>
                <w:rFonts w:ascii="Times New Roman" w:hAnsi="Times New Roman" w:cs="Times New Roman"/>
                <w:sz w:val="28"/>
                <w:szCs w:val="28"/>
                <w:lang w:val="en-US"/>
              </w:rPr>
              <w:t>RI</w:t>
            </w:r>
          </w:p>
        </w:tc>
        <w:tc>
          <w:tcPr>
            <w:tcW w:w="2409" w:type="dxa"/>
          </w:tcPr>
          <w:p w14:paraId="39E50558" w14:textId="77777777" w:rsidR="008C268C" w:rsidRPr="00916B3A" w:rsidRDefault="008C268C" w:rsidP="00E84A0A">
            <w:pPr>
              <w:jc w:val="center"/>
              <w:rPr>
                <w:rFonts w:ascii="Times New Roman" w:hAnsi="Times New Roman" w:cs="Times New Roman"/>
                <w:sz w:val="28"/>
                <w:szCs w:val="28"/>
                <w:lang w:val="en-US"/>
              </w:rPr>
            </w:pPr>
            <w:r w:rsidRPr="00916B3A">
              <w:rPr>
                <w:rFonts w:ascii="Times New Roman" w:hAnsi="Times New Roman" w:cs="Times New Roman"/>
                <w:sz w:val="28"/>
                <w:szCs w:val="28"/>
                <w:lang w:val="en-US"/>
              </w:rPr>
              <w:t>S/D</w:t>
            </w:r>
          </w:p>
        </w:tc>
      </w:tr>
      <w:tr w:rsidR="008C268C" w:rsidRPr="00916B3A" w14:paraId="178E9146" w14:textId="77777777" w:rsidTr="00A66F48">
        <w:trPr>
          <w:trHeight w:val="458"/>
        </w:trPr>
        <w:tc>
          <w:tcPr>
            <w:tcW w:w="3681" w:type="dxa"/>
          </w:tcPr>
          <w:p w14:paraId="12097073" w14:textId="77777777" w:rsidR="008C268C" w:rsidRPr="00916B3A" w:rsidRDefault="008C268C" w:rsidP="00E84A0A">
            <w:pPr>
              <w:jc w:val="both"/>
              <w:rPr>
                <w:rFonts w:ascii="Times New Roman" w:hAnsi="Times New Roman" w:cs="Times New Roman"/>
                <w:sz w:val="28"/>
                <w:szCs w:val="28"/>
              </w:rPr>
            </w:pPr>
            <w:r w:rsidRPr="00916B3A">
              <w:rPr>
                <w:rFonts w:ascii="Times New Roman" w:hAnsi="Times New Roman" w:cs="Times New Roman"/>
                <w:sz w:val="28"/>
                <w:szCs w:val="28"/>
              </w:rPr>
              <w:t>маточные артерии</w:t>
            </w:r>
          </w:p>
        </w:tc>
        <w:tc>
          <w:tcPr>
            <w:tcW w:w="1701" w:type="dxa"/>
          </w:tcPr>
          <w:p w14:paraId="0F2B99DD"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1,78±0,06</w:t>
            </w:r>
          </w:p>
        </w:tc>
        <w:tc>
          <w:tcPr>
            <w:tcW w:w="1843" w:type="dxa"/>
          </w:tcPr>
          <w:p w14:paraId="16BA5B99"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0,99±0,05</w:t>
            </w:r>
          </w:p>
        </w:tc>
        <w:tc>
          <w:tcPr>
            <w:tcW w:w="2409" w:type="dxa"/>
          </w:tcPr>
          <w:p w14:paraId="0658CBC9"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4,5±0,04</w:t>
            </w:r>
          </w:p>
        </w:tc>
      </w:tr>
      <w:tr w:rsidR="008C268C" w:rsidRPr="00916B3A" w14:paraId="295122DC" w14:textId="77777777" w:rsidTr="00A66F48">
        <w:trPr>
          <w:trHeight w:val="458"/>
        </w:trPr>
        <w:tc>
          <w:tcPr>
            <w:tcW w:w="3681" w:type="dxa"/>
          </w:tcPr>
          <w:p w14:paraId="5367E732" w14:textId="77777777" w:rsidR="008C268C" w:rsidRPr="00916B3A" w:rsidRDefault="008C268C" w:rsidP="00E84A0A">
            <w:pPr>
              <w:jc w:val="both"/>
              <w:rPr>
                <w:rFonts w:ascii="Times New Roman" w:hAnsi="Times New Roman" w:cs="Times New Roman"/>
                <w:sz w:val="28"/>
                <w:szCs w:val="28"/>
              </w:rPr>
            </w:pPr>
            <w:r w:rsidRPr="00916B3A">
              <w:rPr>
                <w:rFonts w:ascii="Times New Roman" w:hAnsi="Times New Roman" w:cs="Times New Roman"/>
                <w:sz w:val="28"/>
                <w:szCs w:val="28"/>
              </w:rPr>
              <w:t>аркуатные артерии</w:t>
            </w:r>
          </w:p>
        </w:tc>
        <w:tc>
          <w:tcPr>
            <w:tcW w:w="1701" w:type="dxa"/>
          </w:tcPr>
          <w:p w14:paraId="541D4EEA"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1,31±0,05</w:t>
            </w:r>
          </w:p>
        </w:tc>
        <w:tc>
          <w:tcPr>
            <w:tcW w:w="1843" w:type="dxa"/>
          </w:tcPr>
          <w:p w14:paraId="03695A7A"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0,73±0,02</w:t>
            </w:r>
          </w:p>
        </w:tc>
        <w:tc>
          <w:tcPr>
            <w:tcW w:w="2409" w:type="dxa"/>
          </w:tcPr>
          <w:p w14:paraId="7BC0AA45"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3,67±0,04</w:t>
            </w:r>
          </w:p>
        </w:tc>
      </w:tr>
      <w:tr w:rsidR="008C268C" w:rsidRPr="00916B3A" w14:paraId="17AA3127" w14:textId="77777777" w:rsidTr="00A66F48">
        <w:trPr>
          <w:trHeight w:val="458"/>
        </w:trPr>
        <w:tc>
          <w:tcPr>
            <w:tcW w:w="3681" w:type="dxa"/>
          </w:tcPr>
          <w:p w14:paraId="28B32D43" w14:textId="77777777" w:rsidR="008C268C" w:rsidRPr="00916B3A" w:rsidRDefault="008C268C" w:rsidP="00E84A0A">
            <w:pPr>
              <w:jc w:val="both"/>
              <w:rPr>
                <w:rFonts w:ascii="Times New Roman" w:hAnsi="Times New Roman" w:cs="Times New Roman"/>
                <w:sz w:val="28"/>
                <w:szCs w:val="28"/>
              </w:rPr>
            </w:pPr>
            <w:r w:rsidRPr="00916B3A">
              <w:rPr>
                <w:rFonts w:ascii="Times New Roman" w:hAnsi="Times New Roman" w:cs="Times New Roman"/>
                <w:sz w:val="28"/>
                <w:szCs w:val="28"/>
              </w:rPr>
              <w:t>радиальные артерии</w:t>
            </w:r>
          </w:p>
        </w:tc>
        <w:tc>
          <w:tcPr>
            <w:tcW w:w="1701" w:type="dxa"/>
          </w:tcPr>
          <w:p w14:paraId="7CDC26EC"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1,12±0,06</w:t>
            </w:r>
          </w:p>
        </w:tc>
        <w:tc>
          <w:tcPr>
            <w:tcW w:w="1843" w:type="dxa"/>
          </w:tcPr>
          <w:p w14:paraId="24CE25CB"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0,59±0,05</w:t>
            </w:r>
          </w:p>
        </w:tc>
        <w:tc>
          <w:tcPr>
            <w:tcW w:w="2409" w:type="dxa"/>
          </w:tcPr>
          <w:p w14:paraId="138CB28B"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2,6±0,01</w:t>
            </w:r>
          </w:p>
        </w:tc>
      </w:tr>
      <w:tr w:rsidR="008C268C" w:rsidRPr="00916B3A" w14:paraId="3307E848" w14:textId="77777777" w:rsidTr="00A66F48">
        <w:trPr>
          <w:trHeight w:val="458"/>
        </w:trPr>
        <w:tc>
          <w:tcPr>
            <w:tcW w:w="3681" w:type="dxa"/>
          </w:tcPr>
          <w:p w14:paraId="772C508C" w14:textId="77777777" w:rsidR="008C268C" w:rsidRPr="00916B3A" w:rsidRDefault="008C268C" w:rsidP="00E84A0A">
            <w:pPr>
              <w:jc w:val="both"/>
              <w:rPr>
                <w:rFonts w:ascii="Times New Roman" w:hAnsi="Times New Roman" w:cs="Times New Roman"/>
                <w:sz w:val="28"/>
                <w:szCs w:val="28"/>
              </w:rPr>
            </w:pPr>
            <w:r w:rsidRPr="00916B3A">
              <w:rPr>
                <w:rFonts w:ascii="Times New Roman" w:hAnsi="Times New Roman" w:cs="Times New Roman"/>
                <w:sz w:val="28"/>
                <w:szCs w:val="28"/>
              </w:rPr>
              <w:t>базальные артерии</w:t>
            </w:r>
          </w:p>
        </w:tc>
        <w:tc>
          <w:tcPr>
            <w:tcW w:w="1701" w:type="dxa"/>
          </w:tcPr>
          <w:p w14:paraId="7A1B1194"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0,92±0,03</w:t>
            </w:r>
          </w:p>
        </w:tc>
        <w:tc>
          <w:tcPr>
            <w:tcW w:w="1843" w:type="dxa"/>
          </w:tcPr>
          <w:p w14:paraId="7B7E4B61"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0,79±0,06</w:t>
            </w:r>
          </w:p>
        </w:tc>
        <w:tc>
          <w:tcPr>
            <w:tcW w:w="2409" w:type="dxa"/>
          </w:tcPr>
          <w:p w14:paraId="371EC8BE"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1,76±0,05</w:t>
            </w:r>
          </w:p>
        </w:tc>
      </w:tr>
      <w:tr w:rsidR="008C268C" w:rsidRPr="00916B3A" w14:paraId="741EAEE1" w14:textId="77777777" w:rsidTr="00A66F48">
        <w:trPr>
          <w:trHeight w:val="458"/>
        </w:trPr>
        <w:tc>
          <w:tcPr>
            <w:tcW w:w="3681" w:type="dxa"/>
          </w:tcPr>
          <w:p w14:paraId="5166E207" w14:textId="77777777" w:rsidR="008C268C" w:rsidRPr="00916B3A" w:rsidRDefault="008C268C" w:rsidP="00E84A0A">
            <w:pPr>
              <w:jc w:val="both"/>
              <w:rPr>
                <w:rFonts w:ascii="Times New Roman" w:hAnsi="Times New Roman" w:cs="Times New Roman"/>
                <w:sz w:val="28"/>
                <w:szCs w:val="28"/>
              </w:rPr>
            </w:pPr>
            <w:r w:rsidRPr="00916B3A">
              <w:rPr>
                <w:rFonts w:ascii="Times New Roman" w:hAnsi="Times New Roman" w:cs="Times New Roman"/>
                <w:sz w:val="28"/>
                <w:szCs w:val="28"/>
              </w:rPr>
              <w:t>спиральные артерии</w:t>
            </w:r>
          </w:p>
        </w:tc>
        <w:tc>
          <w:tcPr>
            <w:tcW w:w="1701" w:type="dxa"/>
          </w:tcPr>
          <w:p w14:paraId="72FA1882"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1,43±0,04</w:t>
            </w:r>
          </w:p>
        </w:tc>
        <w:tc>
          <w:tcPr>
            <w:tcW w:w="1843" w:type="dxa"/>
          </w:tcPr>
          <w:p w14:paraId="7F8B17A0"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0,96±0,05</w:t>
            </w:r>
          </w:p>
        </w:tc>
        <w:tc>
          <w:tcPr>
            <w:tcW w:w="2409" w:type="dxa"/>
          </w:tcPr>
          <w:p w14:paraId="1616649E" w14:textId="77777777" w:rsidR="008C268C" w:rsidRPr="00916B3A" w:rsidRDefault="008C268C" w:rsidP="00E84A0A">
            <w:pPr>
              <w:jc w:val="center"/>
              <w:rPr>
                <w:rFonts w:ascii="Times New Roman" w:hAnsi="Times New Roman" w:cs="Times New Roman"/>
                <w:sz w:val="28"/>
                <w:szCs w:val="28"/>
              </w:rPr>
            </w:pPr>
            <w:r w:rsidRPr="00916B3A">
              <w:rPr>
                <w:rFonts w:ascii="Times New Roman" w:hAnsi="Times New Roman" w:cs="Times New Roman"/>
                <w:sz w:val="28"/>
                <w:szCs w:val="28"/>
              </w:rPr>
              <w:t>1,12±0,03</w:t>
            </w:r>
          </w:p>
        </w:tc>
      </w:tr>
    </w:tbl>
    <w:p w14:paraId="368AC807" w14:textId="77777777" w:rsidR="00D219EB" w:rsidRPr="00916B3A" w:rsidRDefault="00D219EB" w:rsidP="00D219EB">
      <w:pPr>
        <w:spacing w:after="0" w:line="240" w:lineRule="auto"/>
        <w:ind w:firstLine="567"/>
        <w:jc w:val="both"/>
        <w:rPr>
          <w:rFonts w:ascii="Times New Roman" w:hAnsi="Times New Roman" w:cs="Times New Roman"/>
          <w:sz w:val="28"/>
          <w:szCs w:val="28"/>
        </w:rPr>
      </w:pPr>
    </w:p>
    <w:p w14:paraId="2447913B" w14:textId="4EE87BC9" w:rsidR="00E450F9" w:rsidRPr="00CF3F1B" w:rsidRDefault="00CF3F1B" w:rsidP="00E450F9">
      <w:pPr>
        <w:spacing w:after="0" w:line="240" w:lineRule="auto"/>
        <w:ind w:firstLine="567"/>
        <w:jc w:val="both"/>
        <w:rPr>
          <w:rFonts w:ascii="Times New Roman" w:hAnsi="Times New Roman" w:cs="Times New Roman"/>
          <w:sz w:val="28"/>
          <w:szCs w:val="28"/>
        </w:rPr>
      </w:pPr>
      <w:r w:rsidRPr="00CF3F1B">
        <w:rPr>
          <w:rFonts w:ascii="Times New Roman" w:hAnsi="Times New Roman" w:cs="Times New Roman"/>
          <w:bCs/>
          <w:sz w:val="28"/>
          <w:szCs w:val="28"/>
        </w:rPr>
        <w:t>Изучение кровотока в сосудах матки при ЦДК показало, что у пациенток основной группы визуализация аркуатных и радиальных артерий оказалась возможной в 80±7,4% и в 83,3±6,9% случаев (в группе сравнения – 95±5,0% и 95±5,0% соответственно), при этом достоверно реже регистрировалась визуализация базальных (60±9,1% против 90,0±6,9%, p&lt;0,01).</w:t>
      </w:r>
      <w:r w:rsidRPr="00CF3F1B">
        <w:rPr>
          <w:rFonts w:ascii="Times New Roman" w:hAnsi="Times New Roman" w:cs="Times New Roman"/>
          <w:sz w:val="28"/>
          <w:szCs w:val="28"/>
        </w:rPr>
        <w:t xml:space="preserve">Было выявлено, что во II фазе менструального цикла у пациенток с «тонким» эндометрием визуализация аркуатных и радиальных артерий оказалась возможной у 31(80%) и у 32(83,3%) обследованных пациенток соответственно. Базальные артерии определялись у 23(60%), спиральные – </w:t>
      </w:r>
      <w:r w:rsidR="007465C5" w:rsidRPr="00CF3F1B">
        <w:rPr>
          <w:rFonts w:ascii="Times New Roman" w:hAnsi="Times New Roman" w:cs="Times New Roman"/>
          <w:sz w:val="28"/>
          <w:szCs w:val="28"/>
        </w:rPr>
        <w:t>у 8</w:t>
      </w:r>
      <w:r w:rsidRPr="00CF3F1B">
        <w:rPr>
          <w:rFonts w:ascii="Times New Roman" w:hAnsi="Times New Roman" w:cs="Times New Roman"/>
          <w:sz w:val="28"/>
          <w:szCs w:val="28"/>
        </w:rPr>
        <w:t>(20%) женщин соответственно</w:t>
      </w:r>
      <w:r w:rsidR="00E450F9" w:rsidRPr="00CF3F1B">
        <w:rPr>
          <w:rFonts w:ascii="Times New Roman" w:hAnsi="Times New Roman" w:cs="Times New Roman"/>
          <w:sz w:val="28"/>
          <w:szCs w:val="28"/>
        </w:rPr>
        <w:t xml:space="preserve"> (рисунок 6).</w:t>
      </w:r>
    </w:p>
    <w:p w14:paraId="740FD3BE" w14:textId="68CB8844" w:rsidR="00D27C1B" w:rsidRPr="00916B3A" w:rsidRDefault="00D27C1B" w:rsidP="000B7B11">
      <w:pPr>
        <w:spacing w:after="0" w:line="240" w:lineRule="auto"/>
        <w:ind w:firstLine="567"/>
        <w:jc w:val="both"/>
        <w:rPr>
          <w:rFonts w:ascii="Times New Roman" w:hAnsi="Times New Roman" w:cs="Times New Roman"/>
          <w:sz w:val="28"/>
          <w:szCs w:val="28"/>
        </w:rPr>
      </w:pPr>
    </w:p>
    <w:p w14:paraId="63377FF4" w14:textId="18339E48" w:rsidR="001663CC" w:rsidRPr="00916B3A" w:rsidRDefault="001663CC" w:rsidP="00A66F48">
      <w:pPr>
        <w:spacing w:after="0" w:line="240" w:lineRule="auto"/>
        <w:ind w:firstLine="567"/>
        <w:jc w:val="center"/>
        <w:rPr>
          <w:rFonts w:ascii="Times New Roman" w:hAnsi="Times New Roman" w:cs="Times New Roman"/>
          <w:sz w:val="28"/>
          <w:szCs w:val="28"/>
        </w:rPr>
      </w:pPr>
      <w:r w:rsidRPr="00916B3A">
        <w:rPr>
          <w:rFonts w:ascii="Times New Roman" w:hAnsi="Times New Roman" w:cs="Times New Roman"/>
          <w:noProof/>
          <w:szCs w:val="28"/>
          <w:lang w:eastAsia="ru-RU"/>
        </w:rPr>
        <w:drawing>
          <wp:inline distT="0" distB="0" distL="0" distR="0" wp14:anchorId="0F4BE595" wp14:editId="2E6875DF">
            <wp:extent cx="3075260" cy="206255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71" t="8722" r="2590" b="5735"/>
                    <a:stretch/>
                  </pic:blipFill>
                  <pic:spPr bwMode="auto">
                    <a:xfrm>
                      <a:off x="0" y="0"/>
                      <a:ext cx="3097081" cy="2077189"/>
                    </a:xfrm>
                    <a:prstGeom prst="rect">
                      <a:avLst/>
                    </a:prstGeom>
                    <a:noFill/>
                    <a:ln>
                      <a:noFill/>
                    </a:ln>
                    <a:extLst>
                      <a:ext uri="{53640926-AAD7-44D8-BBD7-CCE9431645EC}">
                        <a14:shadowObscured xmlns:a14="http://schemas.microsoft.com/office/drawing/2010/main"/>
                      </a:ext>
                    </a:extLst>
                  </pic:spPr>
                </pic:pic>
              </a:graphicData>
            </a:graphic>
          </wp:inline>
        </w:drawing>
      </w:r>
    </w:p>
    <w:p w14:paraId="1E3B26E6" w14:textId="77777777" w:rsidR="00D27C1B" w:rsidRPr="00916B3A" w:rsidRDefault="00D27C1B" w:rsidP="000B7B11">
      <w:pPr>
        <w:spacing w:after="0" w:line="240" w:lineRule="auto"/>
        <w:ind w:firstLine="567"/>
        <w:jc w:val="center"/>
        <w:rPr>
          <w:rFonts w:ascii="Times New Roman" w:hAnsi="Times New Roman" w:cs="Times New Roman"/>
          <w:sz w:val="28"/>
          <w:szCs w:val="28"/>
        </w:rPr>
      </w:pPr>
    </w:p>
    <w:p w14:paraId="12BCA560" w14:textId="434F7597" w:rsidR="00D27C1B" w:rsidRPr="00916B3A" w:rsidRDefault="00DB05A1" w:rsidP="001663CC">
      <w:pPr>
        <w:spacing w:after="0" w:line="240" w:lineRule="auto"/>
        <w:ind w:firstLine="624"/>
        <w:jc w:val="center"/>
        <w:rPr>
          <w:rFonts w:ascii="Times New Roman" w:hAnsi="Times New Roman" w:cs="Times New Roman"/>
          <w:sz w:val="28"/>
          <w:szCs w:val="28"/>
        </w:rPr>
      </w:pPr>
      <w:r w:rsidRPr="00916B3A">
        <w:rPr>
          <w:rFonts w:ascii="Times New Roman" w:hAnsi="Times New Roman" w:cs="Times New Roman"/>
          <w:sz w:val="28"/>
          <w:szCs w:val="28"/>
        </w:rPr>
        <w:t>Рисунок 6</w:t>
      </w:r>
      <w:r w:rsidR="00D27C1B" w:rsidRPr="00916B3A">
        <w:rPr>
          <w:rFonts w:ascii="Times New Roman" w:hAnsi="Times New Roman" w:cs="Times New Roman"/>
          <w:sz w:val="28"/>
          <w:szCs w:val="28"/>
        </w:rPr>
        <w:t xml:space="preserve"> – Д</w:t>
      </w:r>
      <w:r w:rsidR="001663CC" w:rsidRPr="00916B3A">
        <w:rPr>
          <w:rFonts w:ascii="Times New Roman" w:hAnsi="Times New Roman" w:cs="Times New Roman"/>
          <w:sz w:val="28"/>
          <w:szCs w:val="28"/>
        </w:rPr>
        <w:t xml:space="preserve">опплерометрия маточных сосудов </w:t>
      </w:r>
    </w:p>
    <w:p w14:paraId="334625AD" w14:textId="5BCC3DFC" w:rsidR="00D27C1B" w:rsidRPr="00916B3A" w:rsidRDefault="00D27C1B" w:rsidP="000943E4">
      <w:pPr>
        <w:pStyle w:val="affc"/>
        <w:spacing w:after="0" w:line="240" w:lineRule="auto"/>
        <w:ind w:firstLine="426"/>
        <w:jc w:val="both"/>
        <w:rPr>
          <w:rFonts w:ascii="Times New Roman" w:hAnsi="Times New Roman" w:cs="Times New Roman"/>
          <w:sz w:val="28"/>
          <w:szCs w:val="28"/>
        </w:rPr>
      </w:pPr>
      <w:r w:rsidRPr="00916B3A">
        <w:rPr>
          <w:rFonts w:ascii="Times New Roman" w:hAnsi="Times New Roman" w:cs="Times New Roman"/>
          <w:sz w:val="28"/>
          <w:szCs w:val="28"/>
        </w:rPr>
        <w:t>Наиболее значимыми для прогноза имплантационной способности эндометрия являются показатели гемодинамики ба</w:t>
      </w:r>
      <w:r w:rsidR="001663CC" w:rsidRPr="00916B3A">
        <w:rPr>
          <w:rFonts w:ascii="Times New Roman" w:hAnsi="Times New Roman" w:cs="Times New Roman"/>
          <w:sz w:val="28"/>
          <w:szCs w:val="28"/>
        </w:rPr>
        <w:t>зальных и спиральных артерий</w:t>
      </w:r>
      <w:r w:rsidRPr="00916B3A">
        <w:rPr>
          <w:rFonts w:ascii="Times New Roman" w:hAnsi="Times New Roman" w:cs="Times New Roman"/>
          <w:sz w:val="28"/>
          <w:szCs w:val="28"/>
        </w:rPr>
        <w:t>. В то же время для определения потенциала эндометрия необходимо учитывать не один критерий, а несколько ультразвуковых параметров, и более того, проводить комплексную оценку рецептивности эндометрия с применением иммунолог</w:t>
      </w:r>
      <w:r w:rsidR="00273C23" w:rsidRPr="00916B3A">
        <w:rPr>
          <w:rFonts w:ascii="Times New Roman" w:hAnsi="Times New Roman" w:cs="Times New Roman"/>
          <w:sz w:val="28"/>
          <w:szCs w:val="28"/>
        </w:rPr>
        <w:t>ических маркеров имплантации</w:t>
      </w:r>
      <w:r w:rsidRPr="00916B3A">
        <w:rPr>
          <w:rFonts w:ascii="Times New Roman" w:hAnsi="Times New Roman" w:cs="Times New Roman"/>
          <w:sz w:val="28"/>
          <w:szCs w:val="28"/>
        </w:rPr>
        <w:t>.</w:t>
      </w:r>
    </w:p>
    <w:p w14:paraId="5C5E12C6" w14:textId="53D327E1" w:rsidR="00D27C1B" w:rsidRPr="00916B3A" w:rsidRDefault="00D27C1B" w:rsidP="000943E4">
      <w:pPr>
        <w:spacing w:after="0" w:line="240" w:lineRule="auto"/>
        <w:ind w:firstLine="426"/>
        <w:jc w:val="both"/>
        <w:rPr>
          <w:rFonts w:ascii="Times New Roman" w:hAnsi="Times New Roman" w:cs="Times New Roman"/>
          <w:sz w:val="28"/>
          <w:szCs w:val="28"/>
        </w:rPr>
      </w:pPr>
      <w:r w:rsidRPr="00916B3A">
        <w:rPr>
          <w:rFonts w:ascii="Times New Roman" w:hAnsi="Times New Roman" w:cs="Times New Roman"/>
          <w:sz w:val="28"/>
          <w:szCs w:val="28"/>
        </w:rPr>
        <w:t xml:space="preserve">Для определения состояния эндометрия у пациенток с потерями беременности в анамнезе (основная группа исследования, </w:t>
      </w:r>
      <w:r w:rsidRPr="00916B3A">
        <w:rPr>
          <w:rFonts w:ascii="Times New Roman" w:hAnsi="Times New Roman" w:cs="Times New Roman"/>
          <w:sz w:val="28"/>
          <w:szCs w:val="28"/>
          <w:lang w:val="en-US"/>
        </w:rPr>
        <w:t>n</w:t>
      </w:r>
      <w:r w:rsidR="00273C23" w:rsidRPr="00916B3A">
        <w:rPr>
          <w:rFonts w:ascii="Times New Roman" w:hAnsi="Times New Roman" w:cs="Times New Roman"/>
          <w:sz w:val="28"/>
          <w:szCs w:val="28"/>
        </w:rPr>
        <w:t>=39</w:t>
      </w:r>
      <w:r w:rsidRPr="00916B3A">
        <w:rPr>
          <w:rFonts w:ascii="Times New Roman" w:hAnsi="Times New Roman" w:cs="Times New Roman"/>
          <w:sz w:val="28"/>
          <w:szCs w:val="28"/>
        </w:rPr>
        <w:t>), нами была проведена гистероскопия с биопсией и гистологическим исследованием эндометрия. При этом в 100% случаев была выявлена та или иная патология эндометрия. Наиболее часто встречалась гистероскопическая картина, характерная для хронического эндометрита с гиперпла</w:t>
      </w:r>
      <w:r w:rsidR="00273C23" w:rsidRPr="00916B3A">
        <w:rPr>
          <w:rFonts w:ascii="Times New Roman" w:hAnsi="Times New Roman" w:cs="Times New Roman"/>
          <w:sz w:val="28"/>
          <w:szCs w:val="28"/>
        </w:rPr>
        <w:t>зией и полипами эндометрия - у 23</w:t>
      </w:r>
      <w:r w:rsidR="00BE49D7">
        <w:rPr>
          <w:rFonts w:ascii="Times New Roman" w:hAnsi="Times New Roman" w:cs="Times New Roman"/>
          <w:sz w:val="28"/>
          <w:szCs w:val="28"/>
        </w:rPr>
        <w:t xml:space="preserve"> женщин (59</w:t>
      </w:r>
      <w:r w:rsidRPr="00916B3A">
        <w:rPr>
          <w:rFonts w:ascii="Times New Roman" w:hAnsi="Times New Roman" w:cs="Times New Roman"/>
          <w:sz w:val="28"/>
          <w:szCs w:val="28"/>
        </w:rPr>
        <w:t>%). Гистероскопически это проявлялось нер</w:t>
      </w:r>
      <w:r w:rsidRPr="00916B3A">
        <w:rPr>
          <w:rFonts w:ascii="Times New Roman" w:hAnsi="Times New Roman" w:cs="Times New Roman"/>
          <w:sz w:val="28"/>
          <w:szCs w:val="28"/>
          <w:shd w:val="clear" w:color="auto" w:fill="FFFFFF"/>
        </w:rPr>
        <w:t>авномерной толщиной эндометрия, неравномерной его окраской и гиперемией слизистой оболочки, точечными кровоизлияниями, усилением сосудистого рисунка.</w:t>
      </w:r>
      <w:r w:rsidRPr="00916B3A">
        <w:rPr>
          <w:rFonts w:ascii="Times New Roman" w:hAnsi="Times New Roman" w:cs="Times New Roman"/>
          <w:sz w:val="28"/>
          <w:szCs w:val="28"/>
        </w:rPr>
        <w:t xml:space="preserve"> При морфологическом исследовании биоптатов эндометрия у данных пациенток отмечалась диффузная либо очаговая лимфоидная инфильтрация стромы, ее отек, а также наличие плазматических клеток. Нами отмечены эндоскопические различия между железистыми и фиброзными полипами, которые проявлялись различной формой, размерами, локализацией полипов. Фиброзные пол</w:t>
      </w:r>
      <w:r w:rsidRPr="00916B3A">
        <w:rPr>
          <w:rFonts w:ascii="Times New Roman" w:hAnsi="Times New Roman" w:cs="Times New Roman"/>
          <w:sz w:val="28"/>
          <w:szCs w:val="28"/>
          <w:lang w:val="kk-KZ"/>
        </w:rPr>
        <w:t>и</w:t>
      </w:r>
      <w:r w:rsidRPr="00916B3A">
        <w:rPr>
          <w:rFonts w:ascii="Times New Roman" w:hAnsi="Times New Roman" w:cs="Times New Roman"/>
          <w:sz w:val="28"/>
          <w:szCs w:val="28"/>
        </w:rPr>
        <w:t>пы при гистероскопии чаще определялись в виде единичных образований бледного цвета, округлой формы, небольших размеров (до 0,5 см). Чаще такие полипы располагались в области дна матки и устьев маточных труб. Железистые полипы также были преимущественно одиночные, отличались чуть большими размерами (от 0,5 до 1,0 см). Цвет полипов был бледно-розовый, серо-розовый</w:t>
      </w:r>
      <w:r w:rsidRPr="00916B3A">
        <w:rPr>
          <w:rFonts w:ascii="Times New Roman" w:hAnsi="Times New Roman" w:cs="Times New Roman"/>
          <w:sz w:val="28"/>
          <w:szCs w:val="28"/>
          <w:lang w:val="kk-KZ"/>
        </w:rPr>
        <w:t xml:space="preserve"> </w:t>
      </w:r>
      <w:r w:rsidRPr="00916B3A">
        <w:rPr>
          <w:rFonts w:ascii="Times New Roman" w:hAnsi="Times New Roman" w:cs="Times New Roman"/>
          <w:sz w:val="28"/>
          <w:szCs w:val="28"/>
        </w:rPr>
        <w:t xml:space="preserve">с синюшно-багровой верхушкой. </w:t>
      </w:r>
    </w:p>
    <w:p w14:paraId="20031A43" w14:textId="31B9AA79" w:rsidR="00D27C1B" w:rsidRPr="00916B3A" w:rsidRDefault="00D27C1B" w:rsidP="000943E4">
      <w:pPr>
        <w:spacing w:after="0" w:line="240" w:lineRule="auto"/>
        <w:ind w:firstLine="426"/>
        <w:jc w:val="both"/>
        <w:rPr>
          <w:rFonts w:ascii="Times New Roman" w:hAnsi="Times New Roman" w:cs="Times New Roman"/>
          <w:sz w:val="28"/>
          <w:szCs w:val="28"/>
        </w:rPr>
      </w:pPr>
      <w:r w:rsidRPr="00916B3A">
        <w:rPr>
          <w:rFonts w:ascii="Times New Roman" w:hAnsi="Times New Roman" w:cs="Times New Roman"/>
          <w:sz w:val="28"/>
          <w:szCs w:val="28"/>
        </w:rPr>
        <w:t xml:space="preserve">Еще одной часто встречающейся патологией при гистероскопии </w:t>
      </w:r>
      <w:r w:rsidR="00273C23" w:rsidRPr="00916B3A">
        <w:rPr>
          <w:rFonts w:ascii="Times New Roman" w:hAnsi="Times New Roman" w:cs="Times New Roman"/>
          <w:sz w:val="28"/>
          <w:szCs w:val="28"/>
        </w:rPr>
        <w:t>была гипоплазия эндометрия - у 15</w:t>
      </w:r>
      <w:r w:rsidRPr="00916B3A">
        <w:rPr>
          <w:rFonts w:ascii="Times New Roman" w:hAnsi="Times New Roman" w:cs="Times New Roman"/>
          <w:sz w:val="28"/>
          <w:szCs w:val="28"/>
        </w:rPr>
        <w:t xml:space="preserve"> пациенток (40%). При этой патологии во время гистероскопического исследования была выявлена</w:t>
      </w:r>
      <w:r w:rsidRPr="00916B3A">
        <w:rPr>
          <w:rStyle w:val="apple-converted-space"/>
          <w:rFonts w:ascii="Times New Roman" w:hAnsi="Times New Roman" w:cs="Times New Roman"/>
          <w:sz w:val="28"/>
          <w:szCs w:val="28"/>
          <w:shd w:val="clear" w:color="auto" w:fill="FFFFFF"/>
        </w:rPr>
        <w:t> </w:t>
      </w:r>
      <w:r w:rsidRPr="00916B3A">
        <w:rPr>
          <w:rFonts w:ascii="Times New Roman" w:hAnsi="Times New Roman" w:cs="Times New Roman"/>
          <w:sz w:val="28"/>
          <w:szCs w:val="28"/>
          <w:shd w:val="clear" w:color="auto" w:fill="FFFFFF"/>
        </w:rPr>
        <w:t xml:space="preserve">бледная, тусклого белесоватого цвета слизистая, неравномерной толщины с преобладанием истонченного эндометрия. </w:t>
      </w:r>
      <w:r w:rsidRPr="00916B3A">
        <w:rPr>
          <w:rFonts w:ascii="Times New Roman" w:hAnsi="Times New Roman" w:cs="Times New Roman"/>
          <w:sz w:val="28"/>
          <w:szCs w:val="28"/>
        </w:rPr>
        <w:t xml:space="preserve"> </w:t>
      </w:r>
    </w:p>
    <w:p w14:paraId="338E98AE" w14:textId="51BA7161" w:rsidR="00B20B12" w:rsidRDefault="00B20B12" w:rsidP="003C597C">
      <w:pPr>
        <w:pStyle w:val="a6"/>
        <w:pBdr>
          <w:bottom w:val="single" w:sz="4" w:space="12" w:color="FFFFFF"/>
        </w:pBdr>
        <w:autoSpaceDE w:val="0"/>
        <w:spacing w:after="0" w:line="240" w:lineRule="auto"/>
        <w:ind w:left="0" w:firstLine="426"/>
        <w:contextualSpacing w:val="0"/>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У</w:t>
      </w:r>
      <w:r w:rsidRPr="00916B3A">
        <w:rPr>
          <w:rFonts w:ascii="Times New Roman" w:hAnsi="Times New Roman" w:cs="Times New Roman"/>
          <w:color w:val="000000" w:themeColor="text1"/>
          <w:sz w:val="28"/>
          <w:szCs w:val="28"/>
        </w:rPr>
        <w:t xml:space="preserve"> пациенток </w:t>
      </w:r>
      <w:r w:rsidRPr="00916B3A">
        <w:rPr>
          <w:rFonts w:ascii="Times New Roman" w:hAnsi="Times New Roman" w:cs="Times New Roman"/>
          <w:color w:val="333333"/>
          <w:sz w:val="28"/>
          <w:szCs w:val="28"/>
          <w:shd w:val="clear" w:color="auto" w:fill="FFFFFF"/>
        </w:rPr>
        <w:t xml:space="preserve">с </w:t>
      </w:r>
      <w:r w:rsidRPr="00916B3A">
        <w:rPr>
          <w:rFonts w:ascii="Times New Roman" w:hAnsi="Times New Roman" w:cs="Times New Roman"/>
          <w:sz w:val="28"/>
          <w:szCs w:val="28"/>
        </w:rPr>
        <w:t>рецидивами невынашивания беременности, ассоциированными с синдромом «тонкого эндометрия», помимо истончения эндометрия (М-эхо 5,4</w:t>
      </w:r>
      <w:r w:rsidRPr="00916B3A">
        <w:rPr>
          <w:rFonts w:ascii="Times New Roman" w:hAnsi="Times New Roman" w:cs="Times New Roman"/>
          <w:color w:val="000000" w:themeColor="text1"/>
          <w:sz w:val="28"/>
          <w:szCs w:val="28"/>
        </w:rPr>
        <w:t>±</w:t>
      </w:r>
      <w:r w:rsidRPr="00916B3A">
        <w:rPr>
          <w:rFonts w:ascii="Times New Roman" w:hAnsi="Times New Roman" w:cs="Times New Roman"/>
          <w:sz w:val="28"/>
          <w:szCs w:val="28"/>
        </w:rPr>
        <w:t>0,6 мм против 8,6</w:t>
      </w:r>
      <w:r w:rsidRPr="00916B3A">
        <w:rPr>
          <w:rFonts w:ascii="Times New Roman" w:hAnsi="Times New Roman" w:cs="Times New Roman"/>
          <w:color w:val="000000" w:themeColor="text1"/>
          <w:sz w:val="28"/>
          <w:szCs w:val="28"/>
        </w:rPr>
        <w:t>±2,7 мм в группе сравнения</w:t>
      </w:r>
      <w:r w:rsidR="00BE49D7">
        <w:rPr>
          <w:rFonts w:ascii="Times New Roman" w:hAnsi="Times New Roman" w:cs="Times New Roman"/>
          <w:sz w:val="28"/>
          <w:szCs w:val="28"/>
        </w:rPr>
        <w:t>) отмечены в 59,2</w:t>
      </w:r>
      <w:r w:rsidRPr="00916B3A">
        <w:rPr>
          <w:rFonts w:ascii="Times New Roman" w:hAnsi="Times New Roman" w:cs="Times New Roman"/>
          <w:sz w:val="28"/>
          <w:szCs w:val="28"/>
        </w:rPr>
        <w:t xml:space="preserve">% случаев эхо-неоднородные изменения и в </w:t>
      </w:r>
      <w:r w:rsidR="00BE49D7">
        <w:rPr>
          <w:rFonts w:ascii="Times New Roman" w:hAnsi="Times New Roman" w:cs="Times New Roman"/>
          <w:color w:val="000000" w:themeColor="text1"/>
          <w:sz w:val="28"/>
          <w:szCs w:val="28"/>
        </w:rPr>
        <w:t>40,8</w:t>
      </w:r>
      <w:r w:rsidRPr="00916B3A">
        <w:rPr>
          <w:rFonts w:ascii="Times New Roman" w:hAnsi="Times New Roman" w:cs="Times New Roman"/>
          <w:color w:val="000000" w:themeColor="text1"/>
          <w:sz w:val="28"/>
          <w:szCs w:val="28"/>
        </w:rPr>
        <w:t>% - эхо-структура эндометрия не соответствовала дню менструального цикла</w:t>
      </w:r>
      <w:r w:rsidRPr="00916B3A">
        <w:rPr>
          <w:rFonts w:ascii="Times New Roman" w:hAnsi="Times New Roman" w:cs="Times New Roman"/>
          <w:sz w:val="28"/>
          <w:szCs w:val="28"/>
        </w:rPr>
        <w:t xml:space="preserve">. </w:t>
      </w:r>
      <w:r w:rsidRPr="00916B3A">
        <w:rPr>
          <w:rFonts w:ascii="Times New Roman" w:hAnsi="Times New Roman" w:cs="Times New Roman"/>
          <w:color w:val="000000" w:themeColor="text1"/>
          <w:sz w:val="28"/>
          <w:szCs w:val="28"/>
        </w:rPr>
        <w:t>Изучение кровотока в сосудах матки п</w:t>
      </w:r>
      <w:r w:rsidRPr="00916B3A">
        <w:rPr>
          <w:rFonts w:ascii="Times New Roman" w:hAnsi="Times New Roman" w:cs="Times New Roman"/>
          <w:sz w:val="28"/>
          <w:szCs w:val="28"/>
        </w:rPr>
        <w:t xml:space="preserve">ри ЦДК </w:t>
      </w:r>
      <w:r w:rsidRPr="00916B3A">
        <w:rPr>
          <w:rFonts w:ascii="Times New Roman" w:hAnsi="Times New Roman" w:cs="Times New Roman"/>
          <w:color w:val="000000" w:themeColor="text1"/>
          <w:sz w:val="28"/>
          <w:szCs w:val="28"/>
        </w:rPr>
        <w:t>показало, что у пациенток основной группы визуализация</w:t>
      </w:r>
      <w:r w:rsidRPr="00916B3A">
        <w:rPr>
          <w:rFonts w:ascii="Times New Roman" w:hAnsi="Times New Roman" w:cs="Times New Roman"/>
          <w:sz w:val="28"/>
          <w:szCs w:val="28"/>
        </w:rPr>
        <w:t xml:space="preserve"> </w:t>
      </w:r>
      <w:r w:rsidRPr="00916B3A">
        <w:rPr>
          <w:rFonts w:ascii="Times New Roman" w:hAnsi="Times New Roman" w:cs="Times New Roman"/>
          <w:color w:val="000000" w:themeColor="text1"/>
          <w:sz w:val="28"/>
          <w:szCs w:val="28"/>
        </w:rPr>
        <w:t xml:space="preserve">аркуатных и радиальных артерий оказалась возможной в 80±7,4% и в 83,3±6,9% случаев (в группе сравнения - 95±5,0% и 95±5,0% соответственно), при этом достоверно реже регистрировалась визуализация базальных (60±9,1% против 90,0±6,9%, </w:t>
      </w:r>
      <w:r w:rsidR="007465C5" w:rsidRPr="00916B3A">
        <w:rPr>
          <w:rFonts w:ascii="Times New Roman" w:hAnsi="Times New Roman" w:cs="Times New Roman"/>
          <w:color w:val="000000" w:themeColor="text1"/>
          <w:sz w:val="28"/>
          <w:szCs w:val="28"/>
          <w:lang w:val="en-US"/>
        </w:rPr>
        <w:t>p</w:t>
      </w:r>
      <w:r w:rsidR="007465C5" w:rsidRPr="00916B3A">
        <w:rPr>
          <w:rFonts w:ascii="Times New Roman" w:hAnsi="Times New Roman" w:cs="Times New Roman"/>
          <w:color w:val="000000" w:themeColor="text1"/>
          <w:sz w:val="28"/>
          <w:szCs w:val="28"/>
        </w:rPr>
        <w:t xml:space="preserve"> &lt;</w:t>
      </w:r>
      <w:r w:rsidRPr="00916B3A">
        <w:rPr>
          <w:rFonts w:ascii="Times New Roman" w:hAnsi="Times New Roman" w:cs="Times New Roman"/>
          <w:color w:val="000000" w:themeColor="text1"/>
          <w:sz w:val="28"/>
          <w:szCs w:val="28"/>
        </w:rPr>
        <w:t xml:space="preserve">0,05) и спиральных артерий (20±7,4% против 90,0±6,9%, </w:t>
      </w:r>
      <w:proofErr w:type="gramStart"/>
      <w:r w:rsidRPr="00916B3A">
        <w:rPr>
          <w:rFonts w:ascii="Times New Roman" w:hAnsi="Times New Roman" w:cs="Times New Roman"/>
          <w:color w:val="000000" w:themeColor="text1"/>
          <w:sz w:val="28"/>
          <w:szCs w:val="28"/>
          <w:lang w:val="en-US"/>
        </w:rPr>
        <w:t>p</w:t>
      </w:r>
      <w:r w:rsidRPr="00916B3A">
        <w:rPr>
          <w:rFonts w:ascii="Times New Roman" w:hAnsi="Times New Roman" w:cs="Times New Roman"/>
          <w:color w:val="000000" w:themeColor="text1"/>
          <w:sz w:val="28"/>
          <w:szCs w:val="28"/>
        </w:rPr>
        <w:t>&lt;</w:t>
      </w:r>
      <w:proofErr w:type="gramEnd"/>
      <w:r w:rsidRPr="00916B3A">
        <w:rPr>
          <w:rFonts w:ascii="Times New Roman" w:hAnsi="Times New Roman" w:cs="Times New Roman"/>
          <w:color w:val="000000" w:themeColor="text1"/>
          <w:sz w:val="28"/>
          <w:szCs w:val="28"/>
        </w:rPr>
        <w:t xml:space="preserve">0,01). У пациенток с «тонким эндометрием» отмечались высокие значения сосудистого сопротивления </w:t>
      </w:r>
      <w:r w:rsidRPr="00916B3A">
        <w:rPr>
          <w:rFonts w:ascii="Times New Roman" w:hAnsi="Times New Roman" w:cs="Times New Roman"/>
          <w:sz w:val="28"/>
          <w:szCs w:val="28"/>
        </w:rPr>
        <w:t>в спиральных артериях - пульсационный индекс PI (1,43</w:t>
      </w:r>
      <w:r w:rsidRPr="00916B3A">
        <w:rPr>
          <w:rFonts w:ascii="Times New Roman" w:hAnsi="Times New Roman" w:cs="Times New Roman"/>
          <w:color w:val="000000" w:themeColor="text1"/>
          <w:sz w:val="28"/>
          <w:szCs w:val="28"/>
        </w:rPr>
        <w:t xml:space="preserve">±0,04 против 2,0±0,09, </w:t>
      </w:r>
      <w:proofErr w:type="gramStart"/>
      <w:r w:rsidRPr="00916B3A">
        <w:rPr>
          <w:rFonts w:ascii="Times New Roman" w:hAnsi="Times New Roman" w:cs="Times New Roman"/>
          <w:color w:val="000000" w:themeColor="text1"/>
          <w:sz w:val="28"/>
          <w:szCs w:val="28"/>
          <w:lang w:val="en-US"/>
        </w:rPr>
        <w:t>p</w:t>
      </w:r>
      <w:r w:rsidRPr="00916B3A">
        <w:rPr>
          <w:rFonts w:ascii="Times New Roman" w:hAnsi="Times New Roman" w:cs="Times New Roman"/>
          <w:color w:val="000000" w:themeColor="text1"/>
          <w:sz w:val="28"/>
          <w:szCs w:val="28"/>
        </w:rPr>
        <w:t>&lt;</w:t>
      </w:r>
      <w:proofErr w:type="gramEnd"/>
      <w:r w:rsidRPr="00916B3A">
        <w:rPr>
          <w:rFonts w:ascii="Times New Roman" w:hAnsi="Times New Roman" w:cs="Times New Roman"/>
          <w:color w:val="000000" w:themeColor="text1"/>
          <w:sz w:val="28"/>
          <w:szCs w:val="28"/>
        </w:rPr>
        <w:t>0,05). П</w:t>
      </w:r>
      <w:r w:rsidRPr="00916B3A">
        <w:rPr>
          <w:rFonts w:ascii="Times New Roman" w:hAnsi="Times New Roman" w:cs="Times New Roman"/>
          <w:sz w:val="28"/>
          <w:szCs w:val="28"/>
        </w:rPr>
        <w:t>ри этом индекс резистентности RI (0,96</w:t>
      </w:r>
      <w:r w:rsidRPr="00916B3A">
        <w:rPr>
          <w:rFonts w:ascii="Times New Roman" w:hAnsi="Times New Roman" w:cs="Times New Roman"/>
          <w:color w:val="000000" w:themeColor="text1"/>
          <w:sz w:val="28"/>
          <w:szCs w:val="28"/>
        </w:rPr>
        <w:t>±0,05 против 1,0±0,05) и</w:t>
      </w:r>
      <w:r w:rsidRPr="00916B3A">
        <w:rPr>
          <w:rFonts w:ascii="Times New Roman" w:hAnsi="Times New Roman" w:cs="Times New Roman"/>
          <w:sz w:val="28"/>
          <w:szCs w:val="28"/>
        </w:rPr>
        <w:t xml:space="preserve"> систоло/диастолическое соотношение - S/D в маточных (4,5</w:t>
      </w:r>
      <w:r w:rsidRPr="00916B3A">
        <w:rPr>
          <w:rFonts w:ascii="Times New Roman" w:hAnsi="Times New Roman" w:cs="Times New Roman"/>
          <w:color w:val="000000" w:themeColor="text1"/>
          <w:sz w:val="28"/>
          <w:szCs w:val="28"/>
        </w:rPr>
        <w:t xml:space="preserve">±0,04 против 4,6±0,05) </w:t>
      </w:r>
      <w:r w:rsidRPr="00916B3A">
        <w:rPr>
          <w:rFonts w:ascii="Times New Roman" w:hAnsi="Times New Roman" w:cs="Times New Roman"/>
          <w:sz w:val="28"/>
          <w:szCs w:val="28"/>
        </w:rPr>
        <w:t>и аркуатных артериях (3,67</w:t>
      </w:r>
      <w:r w:rsidRPr="00916B3A">
        <w:rPr>
          <w:rFonts w:ascii="Times New Roman" w:hAnsi="Times New Roman" w:cs="Times New Roman"/>
          <w:color w:val="000000" w:themeColor="text1"/>
          <w:sz w:val="28"/>
          <w:szCs w:val="28"/>
        </w:rPr>
        <w:t>±0,04 против 3,8±0,05) не имели различий с группой сравнения. Это указывает на необходимость поиска дополнительных критериев рецептивности эндометрия.</w:t>
      </w:r>
    </w:p>
    <w:p w14:paraId="3150FB30" w14:textId="77777777" w:rsidR="00E84A0A" w:rsidRPr="00916B3A" w:rsidRDefault="00E84A0A" w:rsidP="003C597C">
      <w:pPr>
        <w:pStyle w:val="a6"/>
        <w:pBdr>
          <w:bottom w:val="single" w:sz="4" w:space="12" w:color="FFFFFF"/>
        </w:pBdr>
        <w:autoSpaceDE w:val="0"/>
        <w:spacing w:after="0" w:line="240" w:lineRule="auto"/>
        <w:ind w:left="0" w:firstLine="426"/>
        <w:contextualSpacing w:val="0"/>
        <w:jc w:val="both"/>
        <w:rPr>
          <w:rFonts w:ascii="Times New Roman" w:hAnsi="Times New Roman" w:cs="Times New Roman"/>
          <w:color w:val="000000" w:themeColor="text1"/>
          <w:sz w:val="28"/>
          <w:szCs w:val="28"/>
        </w:rPr>
      </w:pPr>
    </w:p>
    <w:p w14:paraId="29FA5211" w14:textId="7C9D8EBA" w:rsidR="00B20B12" w:rsidRPr="00916B3A" w:rsidRDefault="001E7011" w:rsidP="003C597C">
      <w:pPr>
        <w:pStyle w:val="a6"/>
        <w:pBdr>
          <w:bottom w:val="single" w:sz="4" w:space="12" w:color="FFFFFF"/>
        </w:pBdr>
        <w:autoSpaceDE w:val="0"/>
        <w:spacing w:after="0" w:line="240" w:lineRule="auto"/>
        <w:ind w:left="0" w:firstLine="426"/>
        <w:contextualSpacing w:val="0"/>
        <w:jc w:val="both"/>
        <w:rPr>
          <w:rFonts w:ascii="Times New Roman" w:hAnsi="Times New Roman" w:cs="Times New Roman"/>
          <w:b/>
          <w:bCs/>
          <w:sz w:val="28"/>
          <w:szCs w:val="28"/>
        </w:rPr>
      </w:pPr>
      <w:r>
        <w:rPr>
          <w:rFonts w:ascii="Times New Roman" w:hAnsi="Times New Roman" w:cs="Times New Roman"/>
          <w:b/>
          <w:bCs/>
          <w:sz w:val="28"/>
          <w:szCs w:val="28"/>
        </w:rPr>
        <w:t>3.3</w:t>
      </w:r>
      <w:r w:rsidR="00021B57" w:rsidRPr="00916B3A">
        <w:rPr>
          <w:rFonts w:ascii="Times New Roman" w:hAnsi="Times New Roman" w:cs="Times New Roman"/>
          <w:b/>
          <w:bCs/>
          <w:sz w:val="28"/>
          <w:szCs w:val="28"/>
        </w:rPr>
        <w:t xml:space="preserve"> Экспрессия генов иммунного ответа при репродуктивных нарушениях</w:t>
      </w:r>
    </w:p>
    <w:p w14:paraId="5C217758" w14:textId="532CF81A" w:rsidR="00B20B12" w:rsidRPr="00916B3A" w:rsidRDefault="00021B57" w:rsidP="003C597C">
      <w:pPr>
        <w:pStyle w:val="a6"/>
        <w:pBdr>
          <w:bottom w:val="single" w:sz="4" w:space="12" w:color="FFFFFF"/>
        </w:pBdr>
        <w:autoSpaceDE w:val="0"/>
        <w:spacing w:after="0" w:line="240" w:lineRule="auto"/>
        <w:ind w:left="0" w:firstLine="426"/>
        <w:contextualSpacing w:val="0"/>
        <w:jc w:val="both"/>
        <w:rPr>
          <w:rFonts w:ascii="Times New Roman" w:hAnsi="Times New Roman"/>
          <w:sz w:val="28"/>
          <w:szCs w:val="28"/>
        </w:rPr>
      </w:pPr>
      <w:r w:rsidRPr="00916B3A">
        <w:rPr>
          <w:rFonts w:ascii="Times New Roman" w:hAnsi="Times New Roman"/>
          <w:sz w:val="28"/>
          <w:szCs w:val="28"/>
        </w:rPr>
        <w:t>Демографические и клинические характеристики исследуемых</w:t>
      </w:r>
      <w:r w:rsidR="00B20B12" w:rsidRPr="00916B3A">
        <w:rPr>
          <w:rFonts w:ascii="Times New Roman" w:hAnsi="Times New Roman"/>
          <w:sz w:val="28"/>
          <w:szCs w:val="28"/>
        </w:rPr>
        <w:t xml:space="preserve"> групп представлены в таблице 13</w:t>
      </w:r>
      <w:r w:rsidRPr="00916B3A">
        <w:rPr>
          <w:rFonts w:ascii="Times New Roman" w:hAnsi="Times New Roman"/>
          <w:sz w:val="28"/>
          <w:szCs w:val="28"/>
        </w:rPr>
        <w:t>.</w:t>
      </w:r>
    </w:p>
    <w:p w14:paraId="453E93D8" w14:textId="77777777" w:rsidR="00D219EB" w:rsidRPr="00916B3A" w:rsidRDefault="00D219EB" w:rsidP="003C597C">
      <w:pPr>
        <w:pStyle w:val="a6"/>
        <w:pBdr>
          <w:bottom w:val="single" w:sz="4" w:space="12" w:color="FFFFFF"/>
        </w:pBdr>
        <w:autoSpaceDE w:val="0"/>
        <w:spacing w:after="0" w:line="240" w:lineRule="auto"/>
        <w:ind w:left="0"/>
        <w:contextualSpacing w:val="0"/>
        <w:jc w:val="both"/>
        <w:rPr>
          <w:rFonts w:ascii="Times New Roman" w:hAnsi="Times New Roman" w:cs="Times New Roman"/>
          <w:bCs/>
          <w:sz w:val="28"/>
          <w:szCs w:val="28"/>
          <w:lang w:eastAsia="de-DE" w:bidi="en-US"/>
        </w:rPr>
      </w:pPr>
    </w:p>
    <w:p w14:paraId="7268ED80" w14:textId="0CBA9C50" w:rsidR="00021B57" w:rsidRPr="00916B3A" w:rsidRDefault="00DB05A1" w:rsidP="003C597C">
      <w:pPr>
        <w:pStyle w:val="a6"/>
        <w:pBdr>
          <w:bottom w:val="single" w:sz="4" w:space="12" w:color="FFFFFF"/>
        </w:pBdr>
        <w:autoSpaceDE w:val="0"/>
        <w:spacing w:after="0" w:line="240" w:lineRule="auto"/>
        <w:ind w:left="0"/>
        <w:contextualSpacing w:val="0"/>
        <w:jc w:val="both"/>
        <w:rPr>
          <w:rFonts w:ascii="Times New Roman" w:hAnsi="Times New Roman" w:cs="Times New Roman"/>
          <w:b/>
          <w:sz w:val="28"/>
          <w:szCs w:val="28"/>
        </w:rPr>
      </w:pPr>
      <w:r w:rsidRPr="00916B3A">
        <w:rPr>
          <w:rFonts w:ascii="Times New Roman" w:hAnsi="Times New Roman" w:cs="Times New Roman"/>
          <w:bCs/>
          <w:sz w:val="28"/>
          <w:szCs w:val="28"/>
          <w:lang w:eastAsia="de-DE" w:bidi="en-US"/>
        </w:rPr>
        <w:t>Таблица 13</w:t>
      </w:r>
      <w:r w:rsidR="00021B57" w:rsidRPr="00916B3A">
        <w:rPr>
          <w:rFonts w:ascii="Times New Roman" w:hAnsi="Times New Roman" w:cs="Times New Roman"/>
          <w:bCs/>
          <w:sz w:val="28"/>
          <w:szCs w:val="28"/>
          <w:lang w:eastAsia="de-DE" w:bidi="en-US"/>
        </w:rPr>
        <w:t xml:space="preserve"> – Демографические и клинические характеристики групп</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8"/>
        <w:gridCol w:w="1842"/>
        <w:gridCol w:w="1702"/>
        <w:gridCol w:w="1842"/>
      </w:tblGrid>
      <w:tr w:rsidR="00021B57" w:rsidRPr="00916B3A" w14:paraId="4DB661EB" w14:textId="77777777" w:rsidTr="003C597C">
        <w:tc>
          <w:tcPr>
            <w:tcW w:w="4248" w:type="dxa"/>
            <w:shd w:val="clear" w:color="auto" w:fill="auto"/>
            <w:vAlign w:val="center"/>
          </w:tcPr>
          <w:p w14:paraId="3E6C405C" w14:textId="77777777" w:rsidR="00021B57" w:rsidRPr="00916B3A" w:rsidRDefault="00021B57" w:rsidP="00E84A0A">
            <w:pPr>
              <w:pStyle w:val="MDPI42tablebody"/>
              <w:spacing w:line="240" w:lineRule="auto"/>
              <w:rPr>
                <w:rFonts w:ascii="Times New Roman" w:hAnsi="Times New Roman"/>
                <w:snapToGrid/>
                <w:sz w:val="28"/>
                <w:szCs w:val="28"/>
              </w:rPr>
            </w:pPr>
            <w:r w:rsidRPr="00916B3A">
              <w:rPr>
                <w:rFonts w:ascii="Times New Roman" w:hAnsi="Times New Roman"/>
                <w:sz w:val="28"/>
                <w:szCs w:val="28"/>
              </w:rPr>
              <w:t>Характеристики</w:t>
            </w:r>
          </w:p>
        </w:tc>
        <w:tc>
          <w:tcPr>
            <w:tcW w:w="1842" w:type="dxa"/>
            <w:shd w:val="clear" w:color="auto" w:fill="auto"/>
            <w:vAlign w:val="center"/>
          </w:tcPr>
          <w:p w14:paraId="59EDEE59" w14:textId="77777777" w:rsidR="00021B57" w:rsidRPr="00916B3A" w:rsidRDefault="00021B57" w:rsidP="00E84A0A">
            <w:pPr>
              <w:autoSpaceDE w:val="0"/>
              <w:autoSpaceDN w:val="0"/>
              <w:adjustRightInd w:val="0"/>
              <w:snapToGrid w:val="0"/>
              <w:spacing w:after="0" w:line="240" w:lineRule="auto"/>
              <w:jc w:val="center"/>
              <w:rPr>
                <w:rFonts w:ascii="Times New Roman" w:hAnsi="Times New Roman" w:cs="Times New Roman"/>
                <w:sz w:val="28"/>
                <w:szCs w:val="28"/>
                <w:lang w:eastAsia="de-DE" w:bidi="en-US"/>
              </w:rPr>
            </w:pPr>
            <w:r w:rsidRPr="00916B3A">
              <w:rPr>
                <w:rFonts w:ascii="Times New Roman" w:hAnsi="Times New Roman" w:cs="Times New Roman"/>
                <w:sz w:val="28"/>
                <w:szCs w:val="28"/>
                <w:lang w:eastAsia="de-DE" w:bidi="en-US"/>
              </w:rPr>
              <w:t>РНИ</w:t>
            </w:r>
          </w:p>
        </w:tc>
        <w:tc>
          <w:tcPr>
            <w:tcW w:w="1702" w:type="dxa"/>
          </w:tcPr>
          <w:p w14:paraId="17DDBFE0" w14:textId="77777777" w:rsidR="00021B57" w:rsidRPr="00916B3A" w:rsidRDefault="00021B57" w:rsidP="00E84A0A">
            <w:pPr>
              <w:autoSpaceDE w:val="0"/>
              <w:autoSpaceDN w:val="0"/>
              <w:adjustRightInd w:val="0"/>
              <w:snapToGrid w:val="0"/>
              <w:spacing w:after="0" w:line="240" w:lineRule="auto"/>
              <w:jc w:val="center"/>
              <w:rPr>
                <w:rFonts w:ascii="Times New Roman" w:hAnsi="Times New Roman" w:cs="Times New Roman"/>
                <w:sz w:val="28"/>
                <w:szCs w:val="28"/>
                <w:lang w:eastAsia="de-DE" w:bidi="en-US"/>
              </w:rPr>
            </w:pPr>
            <w:r w:rsidRPr="00916B3A">
              <w:rPr>
                <w:rFonts w:ascii="Times New Roman" w:hAnsi="Times New Roman" w:cs="Times New Roman"/>
                <w:sz w:val="28"/>
                <w:szCs w:val="28"/>
                <w:lang w:eastAsia="de-DE" w:bidi="en-US"/>
              </w:rPr>
              <w:t>РПБ</w:t>
            </w:r>
          </w:p>
        </w:tc>
        <w:tc>
          <w:tcPr>
            <w:tcW w:w="1842" w:type="dxa"/>
            <w:shd w:val="clear" w:color="auto" w:fill="auto"/>
            <w:vAlign w:val="center"/>
          </w:tcPr>
          <w:p w14:paraId="3116AB4C" w14:textId="77777777" w:rsidR="00021B57" w:rsidRPr="00916B3A" w:rsidRDefault="00021B57" w:rsidP="00E84A0A">
            <w:pPr>
              <w:autoSpaceDE w:val="0"/>
              <w:autoSpaceDN w:val="0"/>
              <w:adjustRightInd w:val="0"/>
              <w:snapToGrid w:val="0"/>
              <w:spacing w:after="0" w:line="240" w:lineRule="auto"/>
              <w:jc w:val="center"/>
              <w:rPr>
                <w:rFonts w:ascii="Times New Roman" w:hAnsi="Times New Roman" w:cs="Times New Roman"/>
                <w:sz w:val="28"/>
                <w:szCs w:val="28"/>
              </w:rPr>
            </w:pPr>
            <w:r w:rsidRPr="00916B3A">
              <w:rPr>
                <w:rFonts w:ascii="Times New Roman" w:hAnsi="Times New Roman" w:cs="Times New Roman"/>
                <w:sz w:val="28"/>
                <w:szCs w:val="28"/>
                <w:lang w:eastAsia="de-DE" w:bidi="en-US"/>
              </w:rPr>
              <w:t>Фертильные</w:t>
            </w:r>
          </w:p>
        </w:tc>
      </w:tr>
      <w:tr w:rsidR="003C597C" w:rsidRPr="00916B3A" w14:paraId="600987CF" w14:textId="77777777" w:rsidTr="003C597C">
        <w:tc>
          <w:tcPr>
            <w:tcW w:w="4248" w:type="dxa"/>
            <w:shd w:val="clear" w:color="auto" w:fill="auto"/>
            <w:vAlign w:val="center"/>
          </w:tcPr>
          <w:p w14:paraId="62120454" w14:textId="68AC0190" w:rsidR="003C597C" w:rsidRPr="003C597C" w:rsidRDefault="003C597C" w:rsidP="00E84A0A">
            <w:pPr>
              <w:pStyle w:val="MDPI42tablebody"/>
              <w:spacing w:line="240" w:lineRule="auto"/>
              <w:rPr>
                <w:rFonts w:ascii="Times New Roman" w:hAnsi="Times New Roman"/>
                <w:sz w:val="28"/>
                <w:szCs w:val="28"/>
                <w:lang w:val="ru-RU"/>
              </w:rPr>
            </w:pPr>
            <w:r>
              <w:rPr>
                <w:rFonts w:ascii="Times New Roman" w:hAnsi="Times New Roman"/>
                <w:sz w:val="28"/>
                <w:szCs w:val="28"/>
                <w:lang w:val="ru-RU"/>
              </w:rPr>
              <w:t>1</w:t>
            </w:r>
          </w:p>
        </w:tc>
        <w:tc>
          <w:tcPr>
            <w:tcW w:w="1842" w:type="dxa"/>
            <w:shd w:val="clear" w:color="auto" w:fill="auto"/>
            <w:vAlign w:val="center"/>
          </w:tcPr>
          <w:p w14:paraId="683CF583" w14:textId="29C4EAB3" w:rsidR="003C597C" w:rsidRPr="00916B3A" w:rsidRDefault="003C597C" w:rsidP="00E84A0A">
            <w:pPr>
              <w:autoSpaceDE w:val="0"/>
              <w:autoSpaceDN w:val="0"/>
              <w:adjustRightInd w:val="0"/>
              <w:snapToGrid w:val="0"/>
              <w:spacing w:after="0" w:line="240" w:lineRule="auto"/>
              <w:jc w:val="center"/>
              <w:rPr>
                <w:rFonts w:ascii="Times New Roman" w:hAnsi="Times New Roman" w:cs="Times New Roman"/>
                <w:sz w:val="28"/>
                <w:szCs w:val="28"/>
                <w:lang w:eastAsia="de-DE" w:bidi="en-US"/>
              </w:rPr>
            </w:pPr>
            <w:r>
              <w:rPr>
                <w:rFonts w:ascii="Times New Roman" w:hAnsi="Times New Roman" w:cs="Times New Roman"/>
                <w:sz w:val="28"/>
                <w:szCs w:val="28"/>
                <w:lang w:eastAsia="de-DE" w:bidi="en-US"/>
              </w:rPr>
              <w:t>2</w:t>
            </w:r>
          </w:p>
        </w:tc>
        <w:tc>
          <w:tcPr>
            <w:tcW w:w="1702" w:type="dxa"/>
          </w:tcPr>
          <w:p w14:paraId="05A38B1E" w14:textId="026C9266" w:rsidR="003C597C" w:rsidRPr="00916B3A" w:rsidRDefault="003C597C" w:rsidP="00E84A0A">
            <w:pPr>
              <w:autoSpaceDE w:val="0"/>
              <w:autoSpaceDN w:val="0"/>
              <w:adjustRightInd w:val="0"/>
              <w:snapToGrid w:val="0"/>
              <w:spacing w:after="0" w:line="240" w:lineRule="auto"/>
              <w:jc w:val="center"/>
              <w:rPr>
                <w:rFonts w:ascii="Times New Roman" w:hAnsi="Times New Roman" w:cs="Times New Roman"/>
                <w:sz w:val="28"/>
                <w:szCs w:val="28"/>
                <w:lang w:eastAsia="de-DE" w:bidi="en-US"/>
              </w:rPr>
            </w:pPr>
            <w:r>
              <w:rPr>
                <w:rFonts w:ascii="Times New Roman" w:hAnsi="Times New Roman" w:cs="Times New Roman"/>
                <w:sz w:val="28"/>
                <w:szCs w:val="28"/>
                <w:lang w:eastAsia="de-DE" w:bidi="en-US"/>
              </w:rPr>
              <w:t>3</w:t>
            </w:r>
          </w:p>
        </w:tc>
        <w:tc>
          <w:tcPr>
            <w:tcW w:w="1842" w:type="dxa"/>
            <w:shd w:val="clear" w:color="auto" w:fill="auto"/>
            <w:vAlign w:val="center"/>
          </w:tcPr>
          <w:p w14:paraId="6E1CC048" w14:textId="1A38FD77" w:rsidR="003C597C" w:rsidRPr="00916B3A" w:rsidRDefault="003C597C" w:rsidP="00E84A0A">
            <w:pPr>
              <w:autoSpaceDE w:val="0"/>
              <w:autoSpaceDN w:val="0"/>
              <w:adjustRightInd w:val="0"/>
              <w:snapToGrid w:val="0"/>
              <w:spacing w:after="0" w:line="240" w:lineRule="auto"/>
              <w:jc w:val="center"/>
              <w:rPr>
                <w:rFonts w:ascii="Times New Roman" w:hAnsi="Times New Roman" w:cs="Times New Roman"/>
                <w:sz w:val="28"/>
                <w:szCs w:val="28"/>
                <w:lang w:eastAsia="de-DE" w:bidi="en-US"/>
              </w:rPr>
            </w:pPr>
            <w:r>
              <w:rPr>
                <w:rFonts w:ascii="Times New Roman" w:hAnsi="Times New Roman" w:cs="Times New Roman"/>
                <w:sz w:val="28"/>
                <w:szCs w:val="28"/>
                <w:lang w:eastAsia="de-DE" w:bidi="en-US"/>
              </w:rPr>
              <w:t>4</w:t>
            </w:r>
          </w:p>
        </w:tc>
      </w:tr>
      <w:tr w:rsidR="00021B57" w:rsidRPr="00916B3A" w14:paraId="696713A3" w14:textId="77777777" w:rsidTr="003C597C">
        <w:tc>
          <w:tcPr>
            <w:tcW w:w="4248" w:type="dxa"/>
            <w:shd w:val="clear" w:color="auto" w:fill="auto"/>
            <w:vAlign w:val="center"/>
          </w:tcPr>
          <w:p w14:paraId="68D75002" w14:textId="77777777" w:rsidR="00021B57" w:rsidRPr="00916B3A" w:rsidRDefault="00021B57" w:rsidP="00E84A0A">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Возраст (лет): Среднее значение ± </w:t>
            </w:r>
            <w:r w:rsidRPr="00916B3A">
              <w:rPr>
                <w:rFonts w:ascii="Times New Roman" w:hAnsi="Times New Roman"/>
                <w:sz w:val="28"/>
                <w:szCs w:val="28"/>
              </w:rPr>
              <w:t>SD</w:t>
            </w:r>
          </w:p>
        </w:tc>
        <w:tc>
          <w:tcPr>
            <w:tcW w:w="1842" w:type="dxa"/>
            <w:shd w:val="clear" w:color="auto" w:fill="auto"/>
            <w:vAlign w:val="center"/>
          </w:tcPr>
          <w:p w14:paraId="27253C30" w14:textId="77777777" w:rsidR="00021B57" w:rsidRPr="00916B3A" w:rsidRDefault="00021B57" w:rsidP="00E84A0A">
            <w:pPr>
              <w:pStyle w:val="MDPI42tablebody"/>
              <w:spacing w:line="240" w:lineRule="auto"/>
              <w:rPr>
                <w:rFonts w:ascii="Times New Roman" w:hAnsi="Times New Roman"/>
                <w:sz w:val="28"/>
                <w:szCs w:val="28"/>
              </w:rPr>
            </w:pPr>
            <w:r w:rsidRPr="00916B3A">
              <w:rPr>
                <w:rFonts w:ascii="Times New Roman" w:hAnsi="Times New Roman"/>
                <w:sz w:val="28"/>
                <w:szCs w:val="28"/>
              </w:rPr>
              <w:t>34,65 ± 5,29</w:t>
            </w:r>
          </w:p>
        </w:tc>
        <w:tc>
          <w:tcPr>
            <w:tcW w:w="1702" w:type="dxa"/>
            <w:vAlign w:val="center"/>
          </w:tcPr>
          <w:p w14:paraId="5A82C0A6" w14:textId="77777777" w:rsidR="00021B57" w:rsidRPr="00916B3A" w:rsidRDefault="00021B57" w:rsidP="00E84A0A">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33,37 ± 5,22</w:t>
            </w:r>
          </w:p>
        </w:tc>
        <w:tc>
          <w:tcPr>
            <w:tcW w:w="1842" w:type="dxa"/>
            <w:shd w:val="clear" w:color="auto" w:fill="auto"/>
            <w:vAlign w:val="center"/>
          </w:tcPr>
          <w:p w14:paraId="65257785" w14:textId="77777777" w:rsidR="00021B57" w:rsidRPr="00916B3A" w:rsidRDefault="00021B57" w:rsidP="00E84A0A">
            <w:pPr>
              <w:pStyle w:val="MDPI42tablebody"/>
              <w:spacing w:line="240" w:lineRule="auto"/>
              <w:rPr>
                <w:rFonts w:ascii="Times New Roman" w:hAnsi="Times New Roman"/>
                <w:sz w:val="28"/>
                <w:szCs w:val="28"/>
              </w:rPr>
            </w:pPr>
            <w:r w:rsidRPr="00916B3A">
              <w:rPr>
                <w:rFonts w:ascii="Times New Roman" w:hAnsi="Times New Roman"/>
                <w:sz w:val="28"/>
                <w:szCs w:val="28"/>
              </w:rPr>
              <w:t>32,71 ± 5,47</w:t>
            </w:r>
          </w:p>
        </w:tc>
      </w:tr>
      <w:tr w:rsidR="00021B57" w:rsidRPr="00916B3A" w14:paraId="1D1CC075" w14:textId="77777777" w:rsidTr="003C597C">
        <w:tc>
          <w:tcPr>
            <w:tcW w:w="4248" w:type="dxa"/>
            <w:shd w:val="clear" w:color="auto" w:fill="auto"/>
            <w:vAlign w:val="center"/>
          </w:tcPr>
          <w:p w14:paraId="32694AC1" w14:textId="77777777" w:rsidR="00021B57" w:rsidRPr="00916B3A" w:rsidRDefault="00021B57" w:rsidP="00E84A0A">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ИМТ (кг/м2): среднее значение ± </w:t>
            </w:r>
            <w:r w:rsidRPr="00916B3A">
              <w:rPr>
                <w:rFonts w:ascii="Times New Roman" w:hAnsi="Times New Roman"/>
                <w:sz w:val="28"/>
                <w:szCs w:val="28"/>
              </w:rPr>
              <w:t>SD</w:t>
            </w:r>
          </w:p>
        </w:tc>
        <w:tc>
          <w:tcPr>
            <w:tcW w:w="1842" w:type="dxa"/>
            <w:shd w:val="clear" w:color="auto" w:fill="auto"/>
            <w:vAlign w:val="center"/>
          </w:tcPr>
          <w:p w14:paraId="0C658F3B" w14:textId="77777777" w:rsidR="00021B57" w:rsidRPr="00916B3A" w:rsidRDefault="00021B57" w:rsidP="00E84A0A">
            <w:pPr>
              <w:pStyle w:val="MDPI42tablebody"/>
              <w:spacing w:line="240" w:lineRule="auto"/>
              <w:rPr>
                <w:rFonts w:ascii="Times New Roman" w:hAnsi="Times New Roman"/>
                <w:sz w:val="28"/>
                <w:szCs w:val="28"/>
              </w:rPr>
            </w:pPr>
            <w:r w:rsidRPr="00916B3A">
              <w:rPr>
                <w:rFonts w:ascii="Times New Roman" w:hAnsi="Times New Roman"/>
                <w:sz w:val="28"/>
                <w:szCs w:val="28"/>
              </w:rPr>
              <w:t>23,36 ± 4,24</w:t>
            </w:r>
          </w:p>
        </w:tc>
        <w:tc>
          <w:tcPr>
            <w:tcW w:w="1702" w:type="dxa"/>
            <w:vAlign w:val="center"/>
          </w:tcPr>
          <w:p w14:paraId="2F3477FE" w14:textId="77777777" w:rsidR="00021B57" w:rsidRPr="00916B3A" w:rsidRDefault="00021B57" w:rsidP="00E84A0A">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25,69 ± 4,79</w:t>
            </w:r>
          </w:p>
        </w:tc>
        <w:tc>
          <w:tcPr>
            <w:tcW w:w="1842" w:type="dxa"/>
            <w:shd w:val="clear" w:color="auto" w:fill="auto"/>
            <w:vAlign w:val="center"/>
          </w:tcPr>
          <w:p w14:paraId="0AEC0F89" w14:textId="77777777" w:rsidR="00021B57" w:rsidRPr="00916B3A" w:rsidRDefault="00021B57" w:rsidP="00E84A0A">
            <w:pPr>
              <w:pStyle w:val="MDPI42tablebody"/>
              <w:spacing w:line="240" w:lineRule="auto"/>
              <w:rPr>
                <w:rFonts w:ascii="Times New Roman" w:hAnsi="Times New Roman"/>
                <w:sz w:val="28"/>
                <w:szCs w:val="28"/>
              </w:rPr>
            </w:pPr>
            <w:r w:rsidRPr="00916B3A">
              <w:rPr>
                <w:rFonts w:ascii="Times New Roman" w:hAnsi="Times New Roman"/>
                <w:sz w:val="28"/>
                <w:szCs w:val="28"/>
              </w:rPr>
              <w:t>23,98 ± 3,81</w:t>
            </w:r>
          </w:p>
        </w:tc>
      </w:tr>
      <w:tr w:rsidR="00021B57" w:rsidRPr="00916B3A" w14:paraId="07C30B9A" w14:textId="77777777" w:rsidTr="003C597C">
        <w:tc>
          <w:tcPr>
            <w:tcW w:w="4248" w:type="dxa"/>
            <w:shd w:val="clear" w:color="auto" w:fill="auto"/>
            <w:vAlign w:val="center"/>
          </w:tcPr>
          <w:p w14:paraId="730FF921" w14:textId="77777777" w:rsidR="00021B57" w:rsidRPr="00916B3A" w:rsidRDefault="00021B57" w:rsidP="00E84A0A">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Толщина эндометрия (мм): среднее значение ± </w:t>
            </w:r>
            <w:r w:rsidRPr="00916B3A">
              <w:rPr>
                <w:rFonts w:ascii="Times New Roman" w:hAnsi="Times New Roman"/>
                <w:sz w:val="28"/>
                <w:szCs w:val="28"/>
              </w:rPr>
              <w:t>SD</w:t>
            </w:r>
          </w:p>
        </w:tc>
        <w:tc>
          <w:tcPr>
            <w:tcW w:w="1842" w:type="dxa"/>
            <w:shd w:val="clear" w:color="auto" w:fill="auto"/>
            <w:vAlign w:val="center"/>
          </w:tcPr>
          <w:p w14:paraId="46D562C5" w14:textId="77777777" w:rsidR="00021B57" w:rsidRPr="00916B3A" w:rsidRDefault="00021B57" w:rsidP="00E84A0A">
            <w:pPr>
              <w:pStyle w:val="MDPI42tablebody"/>
              <w:spacing w:line="240" w:lineRule="auto"/>
              <w:rPr>
                <w:rFonts w:ascii="Times New Roman" w:hAnsi="Times New Roman"/>
                <w:sz w:val="28"/>
                <w:szCs w:val="28"/>
              </w:rPr>
            </w:pPr>
            <w:r w:rsidRPr="00916B3A">
              <w:rPr>
                <w:rFonts w:ascii="Times New Roman" w:hAnsi="Times New Roman"/>
                <w:sz w:val="28"/>
                <w:szCs w:val="28"/>
              </w:rPr>
              <w:t>6,51 ± 1,27</w:t>
            </w:r>
          </w:p>
        </w:tc>
        <w:tc>
          <w:tcPr>
            <w:tcW w:w="1702" w:type="dxa"/>
            <w:vAlign w:val="center"/>
          </w:tcPr>
          <w:p w14:paraId="033AFC1B" w14:textId="77777777" w:rsidR="00021B57" w:rsidRPr="00916B3A" w:rsidRDefault="00021B57" w:rsidP="00E84A0A">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6,13 ± 1,86</w:t>
            </w:r>
          </w:p>
        </w:tc>
        <w:tc>
          <w:tcPr>
            <w:tcW w:w="1842" w:type="dxa"/>
            <w:shd w:val="clear" w:color="auto" w:fill="auto"/>
            <w:vAlign w:val="center"/>
          </w:tcPr>
          <w:p w14:paraId="08E657CD" w14:textId="77777777" w:rsidR="00021B57" w:rsidRPr="00916B3A" w:rsidRDefault="00021B57" w:rsidP="00E84A0A">
            <w:pPr>
              <w:pStyle w:val="MDPI42tablebody"/>
              <w:spacing w:line="240" w:lineRule="auto"/>
              <w:rPr>
                <w:rFonts w:ascii="Times New Roman" w:hAnsi="Times New Roman"/>
                <w:sz w:val="28"/>
                <w:szCs w:val="28"/>
              </w:rPr>
            </w:pPr>
            <w:r w:rsidRPr="00916B3A">
              <w:rPr>
                <w:rFonts w:ascii="Times New Roman" w:hAnsi="Times New Roman"/>
                <w:sz w:val="28"/>
                <w:szCs w:val="28"/>
              </w:rPr>
              <w:t>7,74 ± 0,88</w:t>
            </w:r>
          </w:p>
        </w:tc>
      </w:tr>
      <w:tr w:rsidR="00021B57" w:rsidRPr="00916B3A" w14:paraId="5AC904D7" w14:textId="77777777" w:rsidTr="003C597C">
        <w:tc>
          <w:tcPr>
            <w:tcW w:w="4248" w:type="dxa"/>
            <w:shd w:val="clear" w:color="auto" w:fill="auto"/>
            <w:vAlign w:val="center"/>
          </w:tcPr>
          <w:p w14:paraId="60A0B8EC" w14:textId="77777777" w:rsidR="00021B57" w:rsidRPr="00916B3A" w:rsidRDefault="00021B57" w:rsidP="000B7B11">
            <w:pPr>
              <w:pStyle w:val="MDPI42tablebody"/>
              <w:spacing w:line="240" w:lineRule="auto"/>
              <w:jc w:val="left"/>
              <w:rPr>
                <w:rFonts w:ascii="Times New Roman" w:hAnsi="Times New Roman"/>
                <w:sz w:val="28"/>
                <w:szCs w:val="28"/>
                <w:lang w:val="da-DK"/>
              </w:rPr>
            </w:pPr>
            <w:r w:rsidRPr="00916B3A">
              <w:rPr>
                <w:rFonts w:ascii="Times New Roman" w:hAnsi="Times New Roman"/>
                <w:sz w:val="28"/>
                <w:szCs w:val="28"/>
                <w:lang w:val="da-DK"/>
              </w:rPr>
              <w:t>Фибриноген, г/л: среднее значение ± SD</w:t>
            </w:r>
          </w:p>
        </w:tc>
        <w:tc>
          <w:tcPr>
            <w:tcW w:w="1842" w:type="dxa"/>
            <w:shd w:val="clear" w:color="auto" w:fill="auto"/>
            <w:vAlign w:val="center"/>
          </w:tcPr>
          <w:p w14:paraId="10E32A34"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3,05 ± 0,51</w:t>
            </w:r>
          </w:p>
        </w:tc>
        <w:tc>
          <w:tcPr>
            <w:tcW w:w="1702" w:type="dxa"/>
            <w:vAlign w:val="center"/>
          </w:tcPr>
          <w:p w14:paraId="75D6D21F"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3,10 ± 0,23</w:t>
            </w:r>
          </w:p>
        </w:tc>
        <w:tc>
          <w:tcPr>
            <w:tcW w:w="1842" w:type="dxa"/>
            <w:shd w:val="clear" w:color="auto" w:fill="auto"/>
            <w:vAlign w:val="center"/>
          </w:tcPr>
          <w:p w14:paraId="4D47E92B"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2,71 ± 0,17</w:t>
            </w:r>
          </w:p>
        </w:tc>
      </w:tr>
      <w:tr w:rsidR="00021B57" w:rsidRPr="00916B3A" w14:paraId="3B1ABAB1" w14:textId="77777777" w:rsidTr="003C597C">
        <w:tc>
          <w:tcPr>
            <w:tcW w:w="4248" w:type="dxa"/>
            <w:shd w:val="clear" w:color="auto" w:fill="auto"/>
            <w:vAlign w:val="center"/>
          </w:tcPr>
          <w:p w14:paraId="6CCB8D5C" w14:textId="77777777" w:rsidR="00021B57" w:rsidRPr="00916B3A" w:rsidRDefault="00021B57" w:rsidP="000B7B11">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Протромбиновый индекс, %: среднее значение±</w:t>
            </w:r>
            <w:r w:rsidRPr="00916B3A">
              <w:rPr>
                <w:rFonts w:ascii="Times New Roman" w:hAnsi="Times New Roman"/>
                <w:sz w:val="28"/>
                <w:szCs w:val="28"/>
              </w:rPr>
              <w:t>SD</w:t>
            </w:r>
          </w:p>
        </w:tc>
        <w:tc>
          <w:tcPr>
            <w:tcW w:w="1842" w:type="dxa"/>
            <w:shd w:val="clear" w:color="auto" w:fill="auto"/>
            <w:vAlign w:val="center"/>
          </w:tcPr>
          <w:p w14:paraId="57FAF9C8"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99,16 ± 8,22</w:t>
            </w:r>
          </w:p>
        </w:tc>
        <w:tc>
          <w:tcPr>
            <w:tcW w:w="1702" w:type="dxa"/>
            <w:vAlign w:val="center"/>
          </w:tcPr>
          <w:p w14:paraId="524D5522"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97,57 ± 6,49</w:t>
            </w:r>
          </w:p>
        </w:tc>
        <w:tc>
          <w:tcPr>
            <w:tcW w:w="1842" w:type="dxa"/>
            <w:shd w:val="clear" w:color="auto" w:fill="auto"/>
            <w:vAlign w:val="center"/>
          </w:tcPr>
          <w:p w14:paraId="7BC7CD45"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97,62 ± 7,81</w:t>
            </w:r>
          </w:p>
        </w:tc>
      </w:tr>
      <w:tr w:rsidR="00021B57" w:rsidRPr="00916B3A" w14:paraId="6D9D0332" w14:textId="77777777" w:rsidTr="003C597C">
        <w:tc>
          <w:tcPr>
            <w:tcW w:w="4248" w:type="dxa"/>
            <w:shd w:val="clear" w:color="auto" w:fill="auto"/>
            <w:vAlign w:val="center"/>
          </w:tcPr>
          <w:p w14:paraId="0B78DE10" w14:textId="77777777" w:rsidR="00021B57" w:rsidRPr="00916B3A" w:rsidRDefault="00021B57" w:rsidP="000B7B11">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Протромбиновое время, сек: Среднее ± </w:t>
            </w:r>
            <w:r w:rsidRPr="00916B3A">
              <w:rPr>
                <w:rFonts w:ascii="Times New Roman" w:hAnsi="Times New Roman"/>
                <w:sz w:val="28"/>
                <w:szCs w:val="28"/>
              </w:rPr>
              <w:t>SD</w:t>
            </w:r>
          </w:p>
        </w:tc>
        <w:tc>
          <w:tcPr>
            <w:tcW w:w="1842" w:type="dxa"/>
            <w:shd w:val="clear" w:color="auto" w:fill="auto"/>
            <w:vAlign w:val="center"/>
          </w:tcPr>
          <w:p w14:paraId="36EBC369"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13,04 ± 2,35</w:t>
            </w:r>
          </w:p>
        </w:tc>
        <w:tc>
          <w:tcPr>
            <w:tcW w:w="1702" w:type="dxa"/>
            <w:vAlign w:val="center"/>
          </w:tcPr>
          <w:p w14:paraId="0DB46472"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14,69 ± 1,78</w:t>
            </w:r>
          </w:p>
        </w:tc>
        <w:tc>
          <w:tcPr>
            <w:tcW w:w="1842" w:type="dxa"/>
            <w:shd w:val="clear" w:color="auto" w:fill="auto"/>
            <w:vAlign w:val="center"/>
          </w:tcPr>
          <w:p w14:paraId="5C7E1FF6"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12,47 ± 3,27</w:t>
            </w:r>
          </w:p>
        </w:tc>
      </w:tr>
      <w:tr w:rsidR="00021B57" w:rsidRPr="00916B3A" w14:paraId="1AFC8141" w14:textId="77777777" w:rsidTr="003C597C">
        <w:tc>
          <w:tcPr>
            <w:tcW w:w="4248" w:type="dxa"/>
            <w:shd w:val="clear" w:color="auto" w:fill="auto"/>
            <w:vAlign w:val="center"/>
          </w:tcPr>
          <w:p w14:paraId="3B908568" w14:textId="77777777" w:rsidR="00021B57" w:rsidRPr="00916B3A" w:rsidRDefault="00021B57" w:rsidP="000B7B11">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Активированное частичное тромбопластиновое время, сек: среднее значение ± </w:t>
            </w:r>
            <w:r w:rsidRPr="00916B3A">
              <w:rPr>
                <w:rFonts w:ascii="Times New Roman" w:hAnsi="Times New Roman"/>
                <w:sz w:val="28"/>
                <w:szCs w:val="28"/>
              </w:rPr>
              <w:t>SD</w:t>
            </w:r>
          </w:p>
        </w:tc>
        <w:tc>
          <w:tcPr>
            <w:tcW w:w="1842" w:type="dxa"/>
            <w:shd w:val="clear" w:color="auto" w:fill="auto"/>
            <w:vAlign w:val="center"/>
          </w:tcPr>
          <w:p w14:paraId="325AC485"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34,04 ± 3,61</w:t>
            </w:r>
          </w:p>
        </w:tc>
        <w:tc>
          <w:tcPr>
            <w:tcW w:w="1702" w:type="dxa"/>
            <w:vAlign w:val="center"/>
          </w:tcPr>
          <w:p w14:paraId="5F31DEB5"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32,10 ± 2,20</w:t>
            </w:r>
          </w:p>
        </w:tc>
        <w:tc>
          <w:tcPr>
            <w:tcW w:w="1842" w:type="dxa"/>
            <w:shd w:val="clear" w:color="auto" w:fill="auto"/>
            <w:vAlign w:val="center"/>
          </w:tcPr>
          <w:p w14:paraId="1739AF08"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25,15 ± 13,87</w:t>
            </w:r>
          </w:p>
        </w:tc>
      </w:tr>
      <w:tr w:rsidR="00021B57" w:rsidRPr="00916B3A" w14:paraId="56C9BDE8" w14:textId="77777777" w:rsidTr="003C597C">
        <w:tc>
          <w:tcPr>
            <w:tcW w:w="4248" w:type="dxa"/>
            <w:shd w:val="clear" w:color="auto" w:fill="auto"/>
            <w:vAlign w:val="center"/>
          </w:tcPr>
          <w:p w14:paraId="63F748B1" w14:textId="77777777" w:rsidR="00021B57" w:rsidRPr="00916B3A" w:rsidRDefault="00021B57" w:rsidP="000B7B11">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Международное нормализованное отношение: среднее значение ± </w:t>
            </w:r>
            <w:r w:rsidRPr="00916B3A">
              <w:rPr>
                <w:rFonts w:ascii="Times New Roman" w:hAnsi="Times New Roman"/>
                <w:sz w:val="28"/>
                <w:szCs w:val="28"/>
              </w:rPr>
              <w:t>SD</w:t>
            </w:r>
          </w:p>
        </w:tc>
        <w:tc>
          <w:tcPr>
            <w:tcW w:w="1842" w:type="dxa"/>
            <w:shd w:val="clear" w:color="auto" w:fill="auto"/>
            <w:vAlign w:val="center"/>
          </w:tcPr>
          <w:p w14:paraId="20ACA357"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1,04 ± 0,12</w:t>
            </w:r>
          </w:p>
        </w:tc>
        <w:tc>
          <w:tcPr>
            <w:tcW w:w="1702" w:type="dxa"/>
          </w:tcPr>
          <w:p w14:paraId="1A030FCF"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1,21 ± 0,14</w:t>
            </w:r>
          </w:p>
        </w:tc>
        <w:tc>
          <w:tcPr>
            <w:tcW w:w="1842" w:type="dxa"/>
            <w:shd w:val="clear" w:color="auto" w:fill="auto"/>
            <w:vAlign w:val="center"/>
          </w:tcPr>
          <w:p w14:paraId="02822B74"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1,06 ± 0,03</w:t>
            </w:r>
          </w:p>
        </w:tc>
      </w:tr>
      <w:tr w:rsidR="00021B57" w:rsidRPr="00916B3A" w14:paraId="3E2CCA14" w14:textId="77777777" w:rsidTr="003C597C">
        <w:tc>
          <w:tcPr>
            <w:tcW w:w="4248" w:type="dxa"/>
            <w:shd w:val="clear" w:color="auto" w:fill="auto"/>
            <w:vAlign w:val="center"/>
          </w:tcPr>
          <w:p w14:paraId="1487530A" w14:textId="77777777" w:rsidR="00021B57" w:rsidRPr="00916B3A" w:rsidRDefault="00021B57" w:rsidP="000B7B11">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ЛГ, МЕ/л: среднее значение ± </w:t>
            </w:r>
            <w:r w:rsidRPr="00916B3A">
              <w:rPr>
                <w:rFonts w:ascii="Times New Roman" w:hAnsi="Times New Roman"/>
                <w:sz w:val="28"/>
                <w:szCs w:val="28"/>
              </w:rPr>
              <w:t>SD</w:t>
            </w:r>
            <w:r w:rsidRPr="00916B3A">
              <w:rPr>
                <w:rFonts w:ascii="Times New Roman" w:hAnsi="Times New Roman"/>
                <w:sz w:val="28"/>
                <w:szCs w:val="28"/>
                <w:lang w:val="ru-RU"/>
              </w:rPr>
              <w:t xml:space="preserve"> (нормальный уровень 0,61–16,3)</w:t>
            </w:r>
          </w:p>
        </w:tc>
        <w:tc>
          <w:tcPr>
            <w:tcW w:w="1842" w:type="dxa"/>
            <w:shd w:val="clear" w:color="auto" w:fill="auto"/>
            <w:vAlign w:val="center"/>
          </w:tcPr>
          <w:p w14:paraId="26896460"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8,34 ± 2,13</w:t>
            </w:r>
          </w:p>
        </w:tc>
        <w:tc>
          <w:tcPr>
            <w:tcW w:w="1702" w:type="dxa"/>
            <w:vAlign w:val="center"/>
          </w:tcPr>
          <w:p w14:paraId="7FDC841F"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11,24 ± 3,26</w:t>
            </w:r>
          </w:p>
        </w:tc>
        <w:tc>
          <w:tcPr>
            <w:tcW w:w="1842" w:type="dxa"/>
            <w:shd w:val="clear" w:color="auto" w:fill="auto"/>
          </w:tcPr>
          <w:p w14:paraId="49C5A3E1"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w:t>
            </w:r>
          </w:p>
        </w:tc>
      </w:tr>
      <w:tr w:rsidR="00021B57" w:rsidRPr="00916B3A" w14:paraId="60B39026" w14:textId="77777777" w:rsidTr="003C597C">
        <w:tc>
          <w:tcPr>
            <w:tcW w:w="4248" w:type="dxa"/>
            <w:shd w:val="clear" w:color="auto" w:fill="auto"/>
            <w:vAlign w:val="center"/>
          </w:tcPr>
          <w:p w14:paraId="575124DA" w14:textId="77777777" w:rsidR="00021B57" w:rsidRPr="00916B3A" w:rsidRDefault="00021B57" w:rsidP="000B7B11">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ФСГ, МЕ/л: среднее значение ± </w:t>
            </w:r>
            <w:r w:rsidRPr="00916B3A">
              <w:rPr>
                <w:rFonts w:ascii="Times New Roman" w:hAnsi="Times New Roman"/>
                <w:sz w:val="28"/>
                <w:szCs w:val="28"/>
              </w:rPr>
              <w:t>SD</w:t>
            </w:r>
            <w:r w:rsidRPr="00916B3A">
              <w:rPr>
                <w:rFonts w:ascii="Times New Roman" w:hAnsi="Times New Roman"/>
                <w:sz w:val="28"/>
                <w:szCs w:val="28"/>
                <w:lang w:val="ru-RU"/>
              </w:rPr>
              <w:t xml:space="preserve"> (нормальный уровень 4,7–21,5)</w:t>
            </w:r>
          </w:p>
        </w:tc>
        <w:tc>
          <w:tcPr>
            <w:tcW w:w="1842" w:type="dxa"/>
            <w:shd w:val="clear" w:color="auto" w:fill="auto"/>
            <w:vAlign w:val="center"/>
          </w:tcPr>
          <w:p w14:paraId="5EFF92E3"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6,19 ± 1,43</w:t>
            </w:r>
          </w:p>
        </w:tc>
        <w:tc>
          <w:tcPr>
            <w:tcW w:w="1702" w:type="dxa"/>
            <w:vAlign w:val="center"/>
          </w:tcPr>
          <w:p w14:paraId="0DB30A8D"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6,00 ± 1,07</w:t>
            </w:r>
          </w:p>
        </w:tc>
        <w:tc>
          <w:tcPr>
            <w:tcW w:w="1842" w:type="dxa"/>
            <w:shd w:val="clear" w:color="auto" w:fill="auto"/>
          </w:tcPr>
          <w:p w14:paraId="28A86EE8"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w:t>
            </w:r>
          </w:p>
        </w:tc>
      </w:tr>
      <w:tr w:rsidR="00021B57" w:rsidRPr="00916B3A" w14:paraId="5348FFA9" w14:textId="77777777" w:rsidTr="003C597C">
        <w:tc>
          <w:tcPr>
            <w:tcW w:w="4248" w:type="dxa"/>
            <w:shd w:val="clear" w:color="auto" w:fill="auto"/>
            <w:vAlign w:val="center"/>
          </w:tcPr>
          <w:p w14:paraId="63ADE1C9" w14:textId="77777777" w:rsidR="00021B57" w:rsidRPr="00916B3A" w:rsidRDefault="00021B57" w:rsidP="000B7B11">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Пролактин*, нг/мл: среднее значение ± </w:t>
            </w:r>
            <w:r w:rsidRPr="00916B3A">
              <w:rPr>
                <w:rFonts w:ascii="Times New Roman" w:hAnsi="Times New Roman"/>
                <w:sz w:val="28"/>
                <w:szCs w:val="28"/>
              </w:rPr>
              <w:t>SD</w:t>
            </w:r>
            <w:r w:rsidRPr="00916B3A">
              <w:rPr>
                <w:rFonts w:ascii="Times New Roman" w:hAnsi="Times New Roman"/>
                <w:sz w:val="28"/>
                <w:szCs w:val="28"/>
                <w:lang w:val="ru-RU"/>
              </w:rPr>
              <w:t xml:space="preserve"> (нормальный уровень - менее 25)</w:t>
            </w:r>
          </w:p>
        </w:tc>
        <w:tc>
          <w:tcPr>
            <w:tcW w:w="1842" w:type="dxa"/>
            <w:shd w:val="clear" w:color="auto" w:fill="auto"/>
            <w:vAlign w:val="center"/>
          </w:tcPr>
          <w:p w14:paraId="20BBD003"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325,0 ± 152,4</w:t>
            </w:r>
          </w:p>
        </w:tc>
        <w:tc>
          <w:tcPr>
            <w:tcW w:w="1702" w:type="dxa"/>
            <w:vAlign w:val="center"/>
          </w:tcPr>
          <w:p w14:paraId="6027BD75"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color w:val="auto"/>
                <w:sz w:val="28"/>
                <w:szCs w:val="28"/>
                <w:lang w:eastAsia="ru-RU"/>
              </w:rPr>
              <w:t>333,6 ± 61,6</w:t>
            </w:r>
          </w:p>
        </w:tc>
        <w:tc>
          <w:tcPr>
            <w:tcW w:w="1842" w:type="dxa"/>
            <w:shd w:val="clear" w:color="auto" w:fill="auto"/>
          </w:tcPr>
          <w:p w14:paraId="6F9C1E72"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w:t>
            </w:r>
          </w:p>
        </w:tc>
      </w:tr>
      <w:tr w:rsidR="00021B57" w:rsidRPr="00916B3A" w14:paraId="004BE299" w14:textId="77777777" w:rsidTr="003C597C">
        <w:tc>
          <w:tcPr>
            <w:tcW w:w="4248" w:type="dxa"/>
            <w:tcBorders>
              <w:bottom w:val="single" w:sz="4" w:space="0" w:color="auto"/>
            </w:tcBorders>
            <w:shd w:val="clear" w:color="auto" w:fill="auto"/>
            <w:vAlign w:val="center"/>
          </w:tcPr>
          <w:p w14:paraId="3284E72A" w14:textId="77777777" w:rsidR="00021B57" w:rsidRPr="00916B3A" w:rsidRDefault="00021B57" w:rsidP="000B7B11">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 xml:space="preserve">ТТГ, мМЕ /л: среднее значение ± </w:t>
            </w:r>
            <w:r w:rsidRPr="00916B3A">
              <w:rPr>
                <w:rFonts w:ascii="Times New Roman" w:hAnsi="Times New Roman"/>
                <w:sz w:val="28"/>
                <w:szCs w:val="28"/>
              </w:rPr>
              <w:t>SD</w:t>
            </w:r>
            <w:r w:rsidRPr="00916B3A">
              <w:rPr>
                <w:rFonts w:ascii="Times New Roman" w:hAnsi="Times New Roman"/>
                <w:sz w:val="28"/>
                <w:szCs w:val="28"/>
                <w:lang w:val="ru-RU"/>
              </w:rPr>
              <w:t xml:space="preserve"> (норма 0,4-4,0)</w:t>
            </w:r>
          </w:p>
        </w:tc>
        <w:tc>
          <w:tcPr>
            <w:tcW w:w="1842" w:type="dxa"/>
            <w:tcBorders>
              <w:bottom w:val="single" w:sz="4" w:space="0" w:color="auto"/>
            </w:tcBorders>
            <w:shd w:val="clear" w:color="auto" w:fill="auto"/>
            <w:vAlign w:val="center"/>
          </w:tcPr>
          <w:p w14:paraId="2FA4F7E5"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2,84 ± 0,74</w:t>
            </w:r>
          </w:p>
        </w:tc>
        <w:tc>
          <w:tcPr>
            <w:tcW w:w="1702" w:type="dxa"/>
            <w:tcBorders>
              <w:bottom w:val="single" w:sz="4" w:space="0" w:color="auto"/>
            </w:tcBorders>
          </w:tcPr>
          <w:p w14:paraId="66C6EA86" w14:textId="5F2B8ACE" w:rsidR="00021B57" w:rsidRPr="003C597C" w:rsidRDefault="003C597C" w:rsidP="000B7B11">
            <w:pPr>
              <w:pStyle w:val="MDPI42tablebody"/>
              <w:spacing w:line="240" w:lineRule="auto"/>
              <w:rPr>
                <w:rFonts w:ascii="Times New Roman" w:hAnsi="Times New Roman"/>
                <w:sz w:val="28"/>
                <w:szCs w:val="28"/>
                <w:lang w:val="ru-RU"/>
              </w:rPr>
            </w:pPr>
            <w:r>
              <w:rPr>
                <w:rFonts w:ascii="Times New Roman" w:hAnsi="Times New Roman"/>
                <w:sz w:val="28"/>
                <w:szCs w:val="28"/>
                <w:lang w:val="ru-RU"/>
              </w:rPr>
              <w:t>-</w:t>
            </w:r>
          </w:p>
        </w:tc>
        <w:tc>
          <w:tcPr>
            <w:tcW w:w="1842" w:type="dxa"/>
            <w:tcBorders>
              <w:bottom w:val="single" w:sz="4" w:space="0" w:color="auto"/>
            </w:tcBorders>
            <w:shd w:val="clear" w:color="auto" w:fill="auto"/>
          </w:tcPr>
          <w:p w14:paraId="78200AD1"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w:t>
            </w:r>
          </w:p>
        </w:tc>
      </w:tr>
      <w:tr w:rsidR="00021B57" w:rsidRPr="00916B3A" w14:paraId="485A4DD3" w14:textId="77777777" w:rsidTr="003C597C">
        <w:trPr>
          <w:trHeight w:val="333"/>
        </w:trPr>
        <w:tc>
          <w:tcPr>
            <w:tcW w:w="4248" w:type="dxa"/>
            <w:tcBorders>
              <w:bottom w:val="nil"/>
            </w:tcBorders>
            <w:shd w:val="clear" w:color="auto" w:fill="auto"/>
          </w:tcPr>
          <w:p w14:paraId="7A40C5FE" w14:textId="77777777" w:rsidR="00021B57" w:rsidRPr="00916B3A" w:rsidRDefault="00021B57" w:rsidP="000B7B11">
            <w:pPr>
              <w:pStyle w:val="MDPI42tablebody"/>
              <w:spacing w:line="240" w:lineRule="auto"/>
              <w:jc w:val="left"/>
              <w:rPr>
                <w:rFonts w:ascii="Times New Roman" w:hAnsi="Times New Roman"/>
                <w:sz w:val="28"/>
                <w:szCs w:val="28"/>
              </w:rPr>
            </w:pPr>
            <w:r w:rsidRPr="00916B3A">
              <w:rPr>
                <w:rFonts w:ascii="Times New Roman" w:hAnsi="Times New Roman"/>
                <w:sz w:val="28"/>
                <w:szCs w:val="28"/>
              </w:rPr>
              <w:t>Хронический эндометрит, да/нет</w:t>
            </w:r>
          </w:p>
        </w:tc>
        <w:tc>
          <w:tcPr>
            <w:tcW w:w="1842" w:type="dxa"/>
            <w:tcBorders>
              <w:bottom w:val="nil"/>
            </w:tcBorders>
            <w:shd w:val="clear" w:color="auto" w:fill="auto"/>
            <w:vAlign w:val="center"/>
          </w:tcPr>
          <w:p w14:paraId="21F8AD3E"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20/0</w:t>
            </w:r>
          </w:p>
        </w:tc>
        <w:tc>
          <w:tcPr>
            <w:tcW w:w="1702" w:type="dxa"/>
            <w:tcBorders>
              <w:bottom w:val="nil"/>
            </w:tcBorders>
          </w:tcPr>
          <w:p w14:paraId="5C1AF113" w14:textId="2478EE15" w:rsidR="00021B57" w:rsidRPr="003C597C" w:rsidRDefault="003C597C" w:rsidP="000B7B11">
            <w:pPr>
              <w:pStyle w:val="MDPI42tablebody"/>
              <w:spacing w:line="240" w:lineRule="auto"/>
              <w:rPr>
                <w:rFonts w:ascii="Times New Roman" w:hAnsi="Times New Roman"/>
                <w:sz w:val="28"/>
                <w:szCs w:val="28"/>
                <w:lang w:val="ru-RU"/>
              </w:rPr>
            </w:pPr>
            <w:r>
              <w:rPr>
                <w:rFonts w:ascii="Times New Roman" w:hAnsi="Times New Roman"/>
                <w:sz w:val="28"/>
                <w:szCs w:val="28"/>
                <w:lang w:val="ru-RU"/>
              </w:rPr>
              <w:t>-</w:t>
            </w:r>
          </w:p>
        </w:tc>
        <w:tc>
          <w:tcPr>
            <w:tcW w:w="1842" w:type="dxa"/>
            <w:tcBorders>
              <w:bottom w:val="nil"/>
            </w:tcBorders>
            <w:shd w:val="clear" w:color="auto" w:fill="auto"/>
            <w:vAlign w:val="center"/>
          </w:tcPr>
          <w:p w14:paraId="109F3FAB"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0/14</w:t>
            </w:r>
          </w:p>
        </w:tc>
      </w:tr>
    </w:tbl>
    <w:p w14:paraId="576B081D" w14:textId="402318BA" w:rsidR="003C597C" w:rsidRDefault="003C597C"/>
    <w:p w14:paraId="1D786965" w14:textId="574B14D5" w:rsidR="003C597C" w:rsidRDefault="003C597C" w:rsidP="003C597C">
      <w:pPr>
        <w:spacing w:after="0" w:line="240" w:lineRule="auto"/>
        <w:rPr>
          <w:rFonts w:ascii="Times New Roman" w:hAnsi="Times New Roman" w:cs="Times New Roman"/>
          <w:color w:val="000000" w:themeColor="text1"/>
          <w:sz w:val="28"/>
          <w:szCs w:val="28"/>
        </w:rPr>
      </w:pPr>
      <w:r w:rsidRPr="003C597C">
        <w:rPr>
          <w:rFonts w:ascii="Times New Roman" w:hAnsi="Times New Roman" w:cs="Times New Roman"/>
          <w:color w:val="000000" w:themeColor="text1"/>
          <w:sz w:val="28"/>
          <w:szCs w:val="28"/>
        </w:rPr>
        <w:t>Продолжение таблицы 13</w:t>
      </w:r>
    </w:p>
    <w:p w14:paraId="766B18CD" w14:textId="77777777" w:rsidR="003C597C" w:rsidRPr="003C597C" w:rsidRDefault="003C597C" w:rsidP="003C597C">
      <w:pPr>
        <w:spacing w:after="0" w:line="240" w:lineRule="auto"/>
        <w:rPr>
          <w:rFonts w:ascii="Times New Roman" w:hAnsi="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8"/>
        <w:gridCol w:w="1842"/>
        <w:gridCol w:w="1702"/>
        <w:gridCol w:w="1842"/>
      </w:tblGrid>
      <w:tr w:rsidR="003C597C" w:rsidRPr="00916B3A" w14:paraId="7602E4E8" w14:textId="77777777" w:rsidTr="003C597C">
        <w:tc>
          <w:tcPr>
            <w:tcW w:w="4248" w:type="dxa"/>
            <w:shd w:val="clear" w:color="auto" w:fill="auto"/>
          </w:tcPr>
          <w:p w14:paraId="39972F39" w14:textId="681495A2" w:rsidR="003C597C" w:rsidRPr="003C597C" w:rsidRDefault="003C597C" w:rsidP="003C597C">
            <w:pPr>
              <w:pStyle w:val="MDPI42tablebody"/>
              <w:spacing w:line="240" w:lineRule="auto"/>
              <w:rPr>
                <w:rFonts w:ascii="Times New Roman" w:hAnsi="Times New Roman"/>
                <w:sz w:val="28"/>
                <w:szCs w:val="28"/>
                <w:lang w:val="ru-RU"/>
              </w:rPr>
            </w:pPr>
            <w:r>
              <w:rPr>
                <w:rFonts w:ascii="Times New Roman" w:hAnsi="Times New Roman"/>
                <w:sz w:val="28"/>
                <w:szCs w:val="28"/>
                <w:lang w:val="ru-RU"/>
              </w:rPr>
              <w:t>1</w:t>
            </w:r>
          </w:p>
        </w:tc>
        <w:tc>
          <w:tcPr>
            <w:tcW w:w="1842" w:type="dxa"/>
            <w:shd w:val="clear" w:color="auto" w:fill="auto"/>
            <w:vAlign w:val="center"/>
          </w:tcPr>
          <w:p w14:paraId="77FB730C" w14:textId="78BD63B4" w:rsidR="003C597C" w:rsidRPr="003C597C" w:rsidRDefault="003C597C" w:rsidP="003C597C">
            <w:pPr>
              <w:pStyle w:val="MDPI42tablebody"/>
              <w:spacing w:line="240" w:lineRule="auto"/>
              <w:rPr>
                <w:rFonts w:ascii="Times New Roman" w:hAnsi="Times New Roman"/>
                <w:sz w:val="28"/>
                <w:szCs w:val="28"/>
                <w:lang w:val="ru-RU"/>
              </w:rPr>
            </w:pPr>
            <w:r>
              <w:rPr>
                <w:rFonts w:ascii="Times New Roman" w:hAnsi="Times New Roman"/>
                <w:sz w:val="28"/>
                <w:szCs w:val="28"/>
                <w:lang w:val="ru-RU"/>
              </w:rPr>
              <w:t>2</w:t>
            </w:r>
          </w:p>
        </w:tc>
        <w:tc>
          <w:tcPr>
            <w:tcW w:w="1702" w:type="dxa"/>
            <w:vAlign w:val="center"/>
          </w:tcPr>
          <w:p w14:paraId="04798F4B" w14:textId="14A6FA43" w:rsidR="003C597C" w:rsidRPr="003C597C" w:rsidRDefault="003C597C" w:rsidP="003C597C">
            <w:pPr>
              <w:pStyle w:val="MDPI42tablebody"/>
              <w:spacing w:line="240" w:lineRule="auto"/>
              <w:rPr>
                <w:rFonts w:ascii="Times New Roman" w:eastAsia="SimSun" w:hAnsi="Times New Roman"/>
                <w:color w:val="auto"/>
                <w:sz w:val="28"/>
                <w:szCs w:val="28"/>
                <w:lang w:val="ru-RU" w:eastAsia="zh-CN"/>
              </w:rPr>
            </w:pPr>
            <w:r>
              <w:rPr>
                <w:rFonts w:ascii="Times New Roman" w:eastAsia="SimSun" w:hAnsi="Times New Roman"/>
                <w:color w:val="auto"/>
                <w:sz w:val="28"/>
                <w:szCs w:val="28"/>
                <w:lang w:val="ru-RU" w:eastAsia="zh-CN"/>
              </w:rPr>
              <w:t>3</w:t>
            </w:r>
          </w:p>
        </w:tc>
        <w:tc>
          <w:tcPr>
            <w:tcW w:w="1842" w:type="dxa"/>
            <w:shd w:val="clear" w:color="auto" w:fill="auto"/>
            <w:vAlign w:val="center"/>
          </w:tcPr>
          <w:p w14:paraId="467AF481" w14:textId="64DB9835" w:rsidR="003C597C" w:rsidRPr="003C597C" w:rsidRDefault="003C597C" w:rsidP="003C597C">
            <w:pPr>
              <w:pStyle w:val="MDPI42tablebody"/>
              <w:spacing w:line="240" w:lineRule="auto"/>
              <w:rPr>
                <w:rFonts w:ascii="Times New Roman" w:hAnsi="Times New Roman"/>
                <w:sz w:val="28"/>
                <w:szCs w:val="28"/>
                <w:lang w:val="ru-RU"/>
              </w:rPr>
            </w:pPr>
            <w:r>
              <w:rPr>
                <w:rFonts w:ascii="Times New Roman" w:hAnsi="Times New Roman"/>
                <w:sz w:val="28"/>
                <w:szCs w:val="28"/>
                <w:lang w:val="ru-RU"/>
              </w:rPr>
              <w:t>4</w:t>
            </w:r>
          </w:p>
        </w:tc>
      </w:tr>
      <w:tr w:rsidR="00021B57" w:rsidRPr="00916B3A" w14:paraId="39CBED1C" w14:textId="77777777" w:rsidTr="003C597C">
        <w:tc>
          <w:tcPr>
            <w:tcW w:w="4248" w:type="dxa"/>
            <w:shd w:val="clear" w:color="auto" w:fill="auto"/>
          </w:tcPr>
          <w:p w14:paraId="4B68752A" w14:textId="17167256" w:rsidR="00021B57" w:rsidRPr="00916B3A" w:rsidRDefault="00021B57" w:rsidP="003C597C">
            <w:pPr>
              <w:pStyle w:val="MDPI42tablebody"/>
              <w:spacing w:line="240" w:lineRule="auto"/>
              <w:jc w:val="left"/>
              <w:rPr>
                <w:rFonts w:ascii="Times New Roman" w:hAnsi="Times New Roman"/>
                <w:sz w:val="28"/>
                <w:szCs w:val="28"/>
              </w:rPr>
            </w:pPr>
            <w:r w:rsidRPr="00916B3A">
              <w:rPr>
                <w:rFonts w:ascii="Times New Roman" w:hAnsi="Times New Roman"/>
                <w:sz w:val="28"/>
                <w:szCs w:val="28"/>
              </w:rPr>
              <w:t>Хронический сальпингоофорит, да/нет</w:t>
            </w:r>
          </w:p>
        </w:tc>
        <w:tc>
          <w:tcPr>
            <w:tcW w:w="1842" w:type="dxa"/>
            <w:shd w:val="clear" w:color="auto" w:fill="auto"/>
            <w:vAlign w:val="center"/>
          </w:tcPr>
          <w:p w14:paraId="01639A1D" w14:textId="77777777" w:rsidR="00021B57" w:rsidRPr="00916B3A" w:rsidRDefault="00021B57" w:rsidP="003C597C">
            <w:pPr>
              <w:pStyle w:val="MDPI42tablebody"/>
              <w:spacing w:line="240" w:lineRule="auto"/>
              <w:rPr>
                <w:rFonts w:ascii="Times New Roman" w:hAnsi="Times New Roman"/>
                <w:sz w:val="28"/>
                <w:szCs w:val="28"/>
              </w:rPr>
            </w:pPr>
            <w:r w:rsidRPr="00916B3A">
              <w:rPr>
                <w:rFonts w:ascii="Times New Roman" w:hAnsi="Times New Roman"/>
                <w:sz w:val="28"/>
                <w:szCs w:val="28"/>
              </w:rPr>
              <w:t>10/10</w:t>
            </w:r>
          </w:p>
        </w:tc>
        <w:tc>
          <w:tcPr>
            <w:tcW w:w="1702" w:type="dxa"/>
            <w:vAlign w:val="center"/>
          </w:tcPr>
          <w:p w14:paraId="651BF372" w14:textId="77777777" w:rsidR="00021B57" w:rsidRPr="00916B3A" w:rsidRDefault="00021B57" w:rsidP="003C597C">
            <w:pPr>
              <w:pStyle w:val="MDPI42tablebody"/>
              <w:spacing w:line="240" w:lineRule="auto"/>
              <w:rPr>
                <w:rFonts w:ascii="Times New Roman" w:hAnsi="Times New Roman"/>
                <w:sz w:val="28"/>
                <w:szCs w:val="28"/>
              </w:rPr>
            </w:pPr>
            <w:r w:rsidRPr="00916B3A">
              <w:rPr>
                <w:rFonts w:ascii="Times New Roman" w:eastAsia="SimSun" w:hAnsi="Times New Roman"/>
                <w:color w:val="auto"/>
                <w:sz w:val="28"/>
                <w:szCs w:val="28"/>
                <w:lang w:eastAsia="zh-CN"/>
              </w:rPr>
              <w:t>16/3</w:t>
            </w:r>
          </w:p>
        </w:tc>
        <w:tc>
          <w:tcPr>
            <w:tcW w:w="1842" w:type="dxa"/>
            <w:shd w:val="clear" w:color="auto" w:fill="auto"/>
            <w:vAlign w:val="center"/>
          </w:tcPr>
          <w:p w14:paraId="7C573CFF" w14:textId="77777777" w:rsidR="00021B57" w:rsidRPr="00916B3A" w:rsidRDefault="00021B57" w:rsidP="003C597C">
            <w:pPr>
              <w:pStyle w:val="MDPI42tablebody"/>
              <w:spacing w:line="240" w:lineRule="auto"/>
              <w:rPr>
                <w:rFonts w:ascii="Times New Roman" w:hAnsi="Times New Roman"/>
                <w:sz w:val="28"/>
                <w:szCs w:val="28"/>
              </w:rPr>
            </w:pPr>
            <w:r w:rsidRPr="00916B3A">
              <w:rPr>
                <w:rFonts w:ascii="Times New Roman" w:hAnsi="Times New Roman"/>
                <w:sz w:val="28"/>
                <w:szCs w:val="28"/>
              </w:rPr>
              <w:t>0/14</w:t>
            </w:r>
          </w:p>
        </w:tc>
      </w:tr>
      <w:tr w:rsidR="00021B57" w:rsidRPr="00916B3A" w14:paraId="393B86B3" w14:textId="77777777" w:rsidTr="003C597C">
        <w:tc>
          <w:tcPr>
            <w:tcW w:w="4248" w:type="dxa"/>
            <w:shd w:val="clear" w:color="auto" w:fill="auto"/>
          </w:tcPr>
          <w:p w14:paraId="5F54295B" w14:textId="77777777" w:rsidR="00021B57" w:rsidRPr="00916B3A" w:rsidRDefault="00021B57" w:rsidP="003C597C">
            <w:pPr>
              <w:pStyle w:val="MDPI42tablebody"/>
              <w:spacing w:line="240" w:lineRule="auto"/>
              <w:jc w:val="left"/>
              <w:rPr>
                <w:rFonts w:ascii="Times New Roman" w:hAnsi="Times New Roman"/>
                <w:sz w:val="28"/>
                <w:szCs w:val="28"/>
                <w:lang w:val="ru-RU"/>
              </w:rPr>
            </w:pPr>
            <w:r w:rsidRPr="00916B3A">
              <w:rPr>
                <w:rFonts w:ascii="Times New Roman" w:hAnsi="Times New Roman"/>
                <w:sz w:val="28"/>
                <w:szCs w:val="28"/>
                <w:lang w:val="ru-RU"/>
              </w:rPr>
              <w:t>Операции на органах малого таза, да/нет</w:t>
            </w:r>
          </w:p>
        </w:tc>
        <w:tc>
          <w:tcPr>
            <w:tcW w:w="1842" w:type="dxa"/>
            <w:shd w:val="clear" w:color="auto" w:fill="auto"/>
            <w:vAlign w:val="center"/>
          </w:tcPr>
          <w:p w14:paraId="3AC36E43" w14:textId="77777777" w:rsidR="00021B57" w:rsidRPr="00916B3A" w:rsidRDefault="00021B57" w:rsidP="003C597C">
            <w:pPr>
              <w:pStyle w:val="MDPI42tablebody"/>
              <w:spacing w:line="240" w:lineRule="auto"/>
              <w:rPr>
                <w:rFonts w:ascii="Times New Roman" w:hAnsi="Times New Roman"/>
                <w:sz w:val="28"/>
                <w:szCs w:val="28"/>
              </w:rPr>
            </w:pPr>
            <w:r w:rsidRPr="00916B3A">
              <w:rPr>
                <w:rFonts w:ascii="Times New Roman" w:hAnsi="Times New Roman"/>
                <w:sz w:val="28"/>
                <w:szCs w:val="28"/>
              </w:rPr>
              <w:t>10/10</w:t>
            </w:r>
          </w:p>
        </w:tc>
        <w:tc>
          <w:tcPr>
            <w:tcW w:w="1702" w:type="dxa"/>
            <w:vAlign w:val="center"/>
          </w:tcPr>
          <w:p w14:paraId="7669D0E2" w14:textId="77777777" w:rsidR="00021B57" w:rsidRPr="00916B3A" w:rsidRDefault="00021B57" w:rsidP="003C597C">
            <w:pPr>
              <w:pStyle w:val="MDPI42tablebody"/>
              <w:spacing w:line="240" w:lineRule="auto"/>
              <w:rPr>
                <w:rFonts w:ascii="Times New Roman" w:hAnsi="Times New Roman"/>
                <w:sz w:val="28"/>
                <w:szCs w:val="28"/>
              </w:rPr>
            </w:pPr>
            <w:r w:rsidRPr="00916B3A">
              <w:rPr>
                <w:rFonts w:ascii="Times New Roman" w:eastAsia="SimSun" w:hAnsi="Times New Roman"/>
                <w:color w:val="auto"/>
                <w:sz w:val="28"/>
                <w:szCs w:val="28"/>
                <w:lang w:eastAsia="zh-CN"/>
              </w:rPr>
              <w:t>10/9</w:t>
            </w:r>
          </w:p>
        </w:tc>
        <w:tc>
          <w:tcPr>
            <w:tcW w:w="1842" w:type="dxa"/>
            <w:shd w:val="clear" w:color="auto" w:fill="auto"/>
            <w:vAlign w:val="center"/>
          </w:tcPr>
          <w:p w14:paraId="547F786B" w14:textId="77777777" w:rsidR="00021B57" w:rsidRPr="00916B3A" w:rsidRDefault="00021B57" w:rsidP="003C597C">
            <w:pPr>
              <w:pStyle w:val="MDPI42tablebody"/>
              <w:spacing w:line="240" w:lineRule="auto"/>
              <w:rPr>
                <w:rFonts w:ascii="Times New Roman" w:hAnsi="Times New Roman"/>
                <w:sz w:val="28"/>
                <w:szCs w:val="28"/>
              </w:rPr>
            </w:pPr>
            <w:r w:rsidRPr="00916B3A">
              <w:rPr>
                <w:rFonts w:ascii="Times New Roman" w:hAnsi="Times New Roman"/>
                <w:sz w:val="28"/>
                <w:szCs w:val="28"/>
              </w:rPr>
              <w:t>0/14</w:t>
            </w:r>
          </w:p>
        </w:tc>
      </w:tr>
      <w:tr w:rsidR="00021B57" w:rsidRPr="00916B3A" w14:paraId="65280887" w14:textId="77777777" w:rsidTr="003C597C">
        <w:tc>
          <w:tcPr>
            <w:tcW w:w="4248" w:type="dxa"/>
            <w:shd w:val="clear" w:color="auto" w:fill="auto"/>
          </w:tcPr>
          <w:p w14:paraId="3BAB5519" w14:textId="77777777" w:rsidR="00021B57" w:rsidRPr="00916B3A" w:rsidRDefault="00021B57" w:rsidP="003C597C">
            <w:pPr>
              <w:pStyle w:val="MDPI42tablebody"/>
              <w:spacing w:line="240" w:lineRule="auto"/>
              <w:jc w:val="left"/>
              <w:rPr>
                <w:rFonts w:ascii="Times New Roman" w:hAnsi="Times New Roman"/>
                <w:sz w:val="28"/>
                <w:szCs w:val="28"/>
              </w:rPr>
            </w:pPr>
            <w:r w:rsidRPr="00916B3A">
              <w:rPr>
                <w:rFonts w:ascii="Times New Roman" w:hAnsi="Times New Roman"/>
                <w:sz w:val="28"/>
                <w:szCs w:val="28"/>
              </w:rPr>
              <w:t>Внематочная беременность, да/нет</w:t>
            </w:r>
          </w:p>
        </w:tc>
        <w:tc>
          <w:tcPr>
            <w:tcW w:w="1842" w:type="dxa"/>
            <w:shd w:val="clear" w:color="auto" w:fill="auto"/>
            <w:vAlign w:val="center"/>
          </w:tcPr>
          <w:p w14:paraId="36EC7247" w14:textId="77777777" w:rsidR="00021B57" w:rsidRPr="00916B3A" w:rsidRDefault="00021B57" w:rsidP="003C597C">
            <w:pPr>
              <w:pStyle w:val="MDPI42tablebody"/>
              <w:spacing w:line="240" w:lineRule="auto"/>
              <w:rPr>
                <w:rFonts w:ascii="Times New Roman" w:hAnsi="Times New Roman"/>
                <w:sz w:val="28"/>
                <w:szCs w:val="28"/>
              </w:rPr>
            </w:pPr>
            <w:r w:rsidRPr="00916B3A">
              <w:rPr>
                <w:rFonts w:ascii="Times New Roman" w:hAnsi="Times New Roman"/>
                <w:sz w:val="28"/>
                <w:szCs w:val="28"/>
              </w:rPr>
              <w:t>2/18</w:t>
            </w:r>
          </w:p>
        </w:tc>
        <w:tc>
          <w:tcPr>
            <w:tcW w:w="1702" w:type="dxa"/>
            <w:vAlign w:val="center"/>
          </w:tcPr>
          <w:p w14:paraId="27E8F199" w14:textId="77777777" w:rsidR="00021B57" w:rsidRPr="00916B3A" w:rsidRDefault="00021B57" w:rsidP="003C597C">
            <w:pPr>
              <w:pStyle w:val="MDPI42tablebody"/>
              <w:spacing w:line="240" w:lineRule="auto"/>
              <w:rPr>
                <w:rFonts w:ascii="Times New Roman" w:hAnsi="Times New Roman"/>
                <w:sz w:val="28"/>
                <w:szCs w:val="28"/>
              </w:rPr>
            </w:pPr>
            <w:r w:rsidRPr="00916B3A">
              <w:rPr>
                <w:rFonts w:ascii="Times New Roman" w:eastAsia="SimSun" w:hAnsi="Times New Roman"/>
                <w:color w:val="auto"/>
                <w:sz w:val="28"/>
                <w:szCs w:val="28"/>
                <w:lang w:eastAsia="zh-CN"/>
              </w:rPr>
              <w:t>6/13</w:t>
            </w:r>
          </w:p>
        </w:tc>
        <w:tc>
          <w:tcPr>
            <w:tcW w:w="1842" w:type="dxa"/>
            <w:shd w:val="clear" w:color="auto" w:fill="auto"/>
            <w:vAlign w:val="center"/>
          </w:tcPr>
          <w:p w14:paraId="2E895253" w14:textId="77777777" w:rsidR="00021B57" w:rsidRPr="00916B3A" w:rsidRDefault="00021B57" w:rsidP="003C597C">
            <w:pPr>
              <w:pStyle w:val="MDPI42tablebody"/>
              <w:spacing w:line="240" w:lineRule="auto"/>
              <w:rPr>
                <w:rFonts w:ascii="Times New Roman" w:hAnsi="Times New Roman"/>
                <w:sz w:val="28"/>
                <w:szCs w:val="28"/>
              </w:rPr>
            </w:pPr>
            <w:r w:rsidRPr="00916B3A">
              <w:rPr>
                <w:rFonts w:ascii="Times New Roman" w:hAnsi="Times New Roman"/>
                <w:sz w:val="28"/>
                <w:szCs w:val="28"/>
              </w:rPr>
              <w:t>0/14</w:t>
            </w:r>
          </w:p>
        </w:tc>
      </w:tr>
      <w:tr w:rsidR="00021B57" w:rsidRPr="00916B3A" w14:paraId="41AB0278" w14:textId="77777777" w:rsidTr="003C597C">
        <w:tc>
          <w:tcPr>
            <w:tcW w:w="4248" w:type="dxa"/>
            <w:shd w:val="clear" w:color="auto" w:fill="auto"/>
          </w:tcPr>
          <w:p w14:paraId="4BDBFCBB" w14:textId="77777777" w:rsidR="00021B57" w:rsidRPr="00916B3A" w:rsidRDefault="00021B57" w:rsidP="000B7B11">
            <w:pPr>
              <w:pStyle w:val="MDPI42tablebody"/>
              <w:spacing w:line="240" w:lineRule="auto"/>
              <w:jc w:val="left"/>
              <w:rPr>
                <w:rFonts w:ascii="Times New Roman" w:hAnsi="Times New Roman"/>
                <w:sz w:val="28"/>
                <w:szCs w:val="28"/>
              </w:rPr>
            </w:pPr>
            <w:r w:rsidRPr="00916B3A">
              <w:rPr>
                <w:rFonts w:ascii="Times New Roman" w:hAnsi="Times New Roman"/>
                <w:sz w:val="28"/>
                <w:szCs w:val="28"/>
              </w:rPr>
              <w:t>Эндометриоз, да/нет</w:t>
            </w:r>
          </w:p>
        </w:tc>
        <w:tc>
          <w:tcPr>
            <w:tcW w:w="1842" w:type="dxa"/>
            <w:shd w:val="clear" w:color="auto" w:fill="auto"/>
            <w:vAlign w:val="center"/>
          </w:tcPr>
          <w:p w14:paraId="517B7C08"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5/15</w:t>
            </w:r>
          </w:p>
        </w:tc>
        <w:tc>
          <w:tcPr>
            <w:tcW w:w="1702" w:type="dxa"/>
            <w:vAlign w:val="center"/>
          </w:tcPr>
          <w:p w14:paraId="0952208B"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eastAsia="SimSun" w:hAnsi="Times New Roman"/>
                <w:color w:val="auto"/>
                <w:sz w:val="28"/>
                <w:szCs w:val="28"/>
                <w:lang w:eastAsia="zh-CN"/>
              </w:rPr>
              <w:t>4/15</w:t>
            </w:r>
          </w:p>
        </w:tc>
        <w:tc>
          <w:tcPr>
            <w:tcW w:w="1842" w:type="dxa"/>
            <w:shd w:val="clear" w:color="auto" w:fill="auto"/>
            <w:vAlign w:val="center"/>
          </w:tcPr>
          <w:p w14:paraId="2EB71B9C"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1/13</w:t>
            </w:r>
          </w:p>
        </w:tc>
      </w:tr>
      <w:tr w:rsidR="00021B57" w:rsidRPr="00916B3A" w14:paraId="682D6614" w14:textId="77777777" w:rsidTr="003C597C">
        <w:tc>
          <w:tcPr>
            <w:tcW w:w="4248" w:type="dxa"/>
            <w:shd w:val="clear" w:color="auto" w:fill="auto"/>
          </w:tcPr>
          <w:p w14:paraId="588A846B" w14:textId="77777777" w:rsidR="00021B57" w:rsidRPr="00916B3A" w:rsidRDefault="00021B57" w:rsidP="000B7B11">
            <w:pPr>
              <w:pStyle w:val="MDPI42tablebody"/>
              <w:spacing w:line="240" w:lineRule="auto"/>
              <w:jc w:val="left"/>
              <w:rPr>
                <w:rFonts w:ascii="Times New Roman" w:hAnsi="Times New Roman"/>
                <w:sz w:val="28"/>
                <w:szCs w:val="28"/>
              </w:rPr>
            </w:pPr>
            <w:r w:rsidRPr="00916B3A">
              <w:rPr>
                <w:rFonts w:ascii="Times New Roman" w:hAnsi="Times New Roman"/>
                <w:sz w:val="28"/>
                <w:szCs w:val="28"/>
              </w:rPr>
              <w:t>Миома матки, да/нет</w:t>
            </w:r>
          </w:p>
        </w:tc>
        <w:tc>
          <w:tcPr>
            <w:tcW w:w="1842" w:type="dxa"/>
            <w:shd w:val="clear" w:color="auto" w:fill="auto"/>
            <w:vAlign w:val="center"/>
          </w:tcPr>
          <w:p w14:paraId="5506DA02"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1/19</w:t>
            </w:r>
          </w:p>
        </w:tc>
        <w:tc>
          <w:tcPr>
            <w:tcW w:w="1702" w:type="dxa"/>
            <w:vAlign w:val="center"/>
          </w:tcPr>
          <w:p w14:paraId="02E6501A"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eastAsia="SimSun" w:hAnsi="Times New Roman"/>
                <w:color w:val="auto"/>
                <w:sz w:val="28"/>
                <w:szCs w:val="28"/>
                <w:lang w:eastAsia="zh-CN"/>
              </w:rPr>
              <w:t>3/16</w:t>
            </w:r>
          </w:p>
        </w:tc>
        <w:tc>
          <w:tcPr>
            <w:tcW w:w="1842" w:type="dxa"/>
            <w:shd w:val="clear" w:color="auto" w:fill="auto"/>
            <w:vAlign w:val="center"/>
          </w:tcPr>
          <w:p w14:paraId="589BB2F6"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0/14</w:t>
            </w:r>
          </w:p>
        </w:tc>
      </w:tr>
      <w:tr w:rsidR="00021B57" w:rsidRPr="00916B3A" w14:paraId="7EA12245" w14:textId="77777777" w:rsidTr="003C597C">
        <w:tc>
          <w:tcPr>
            <w:tcW w:w="4248" w:type="dxa"/>
            <w:shd w:val="clear" w:color="auto" w:fill="auto"/>
          </w:tcPr>
          <w:p w14:paraId="30B1EE86" w14:textId="77777777" w:rsidR="00021B57" w:rsidRPr="00916B3A" w:rsidRDefault="00021B57" w:rsidP="000B7B11">
            <w:pPr>
              <w:pStyle w:val="MDPI42tablebody"/>
              <w:spacing w:line="240" w:lineRule="auto"/>
              <w:jc w:val="left"/>
              <w:rPr>
                <w:rFonts w:ascii="Times New Roman" w:hAnsi="Times New Roman"/>
                <w:sz w:val="28"/>
                <w:szCs w:val="28"/>
              </w:rPr>
            </w:pPr>
            <w:r w:rsidRPr="00916B3A">
              <w:rPr>
                <w:rFonts w:ascii="Times New Roman" w:hAnsi="Times New Roman"/>
                <w:sz w:val="28"/>
                <w:szCs w:val="28"/>
              </w:rPr>
              <w:t>Полипы, да/нет</w:t>
            </w:r>
          </w:p>
        </w:tc>
        <w:tc>
          <w:tcPr>
            <w:tcW w:w="1842" w:type="dxa"/>
            <w:shd w:val="clear" w:color="auto" w:fill="auto"/>
            <w:vAlign w:val="center"/>
          </w:tcPr>
          <w:p w14:paraId="35185BAE"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1/19</w:t>
            </w:r>
          </w:p>
        </w:tc>
        <w:tc>
          <w:tcPr>
            <w:tcW w:w="1702" w:type="dxa"/>
            <w:vAlign w:val="center"/>
          </w:tcPr>
          <w:p w14:paraId="0281E341"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eastAsia="SimSun" w:hAnsi="Times New Roman"/>
                <w:color w:val="auto"/>
                <w:sz w:val="28"/>
                <w:szCs w:val="28"/>
                <w:lang w:eastAsia="zh-CN"/>
              </w:rPr>
              <w:t>4/15</w:t>
            </w:r>
          </w:p>
        </w:tc>
        <w:tc>
          <w:tcPr>
            <w:tcW w:w="1842" w:type="dxa"/>
            <w:shd w:val="clear" w:color="auto" w:fill="auto"/>
            <w:vAlign w:val="center"/>
          </w:tcPr>
          <w:p w14:paraId="4BF7DB33"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6/8</w:t>
            </w:r>
          </w:p>
        </w:tc>
      </w:tr>
      <w:tr w:rsidR="003C597C" w:rsidRPr="00916B3A" w14:paraId="0332D603" w14:textId="77777777" w:rsidTr="00293A56">
        <w:tc>
          <w:tcPr>
            <w:tcW w:w="9634" w:type="dxa"/>
            <w:gridSpan w:val="4"/>
            <w:shd w:val="clear" w:color="auto" w:fill="auto"/>
          </w:tcPr>
          <w:p w14:paraId="7340627A" w14:textId="4BDC1773" w:rsidR="003C597C" w:rsidRPr="003C597C" w:rsidRDefault="003C597C" w:rsidP="003C597C">
            <w:pPr>
              <w:pStyle w:val="MDPI31text"/>
              <w:spacing w:line="240" w:lineRule="auto"/>
              <w:ind w:left="0" w:firstLine="567"/>
              <w:rPr>
                <w:rFonts w:ascii="Times New Roman" w:hAnsi="Times New Roman"/>
                <w:sz w:val="28"/>
                <w:szCs w:val="28"/>
                <w:lang w:val="ru-RU"/>
              </w:rPr>
            </w:pPr>
            <w:r w:rsidRPr="003C597C">
              <w:rPr>
                <w:rFonts w:ascii="Times New Roman" w:hAnsi="Times New Roman"/>
                <w:sz w:val="28"/>
                <w:szCs w:val="28"/>
                <w:lang w:val="ru-RU"/>
              </w:rPr>
              <w:t>Примечание: ИМТ – индекс массы тела, ЛГ – лютеинизирующий гормон; ФСГ – фолликулостимулирующий гормон; ТТГ – тиреотропный гормон.</w:t>
            </w:r>
          </w:p>
          <w:p w14:paraId="60FA73A1" w14:textId="77777777" w:rsidR="003C597C" w:rsidRPr="003C597C" w:rsidRDefault="003C597C" w:rsidP="000B7B11">
            <w:pPr>
              <w:pStyle w:val="MDPI42tablebody"/>
              <w:spacing w:line="240" w:lineRule="auto"/>
              <w:rPr>
                <w:rFonts w:ascii="Times New Roman" w:hAnsi="Times New Roman"/>
                <w:sz w:val="28"/>
                <w:szCs w:val="28"/>
                <w:lang w:val="ru-RU"/>
              </w:rPr>
            </w:pPr>
          </w:p>
        </w:tc>
      </w:tr>
    </w:tbl>
    <w:p w14:paraId="64DA5371" w14:textId="77777777" w:rsidR="00021B57" w:rsidRPr="00916B3A" w:rsidRDefault="00021B57" w:rsidP="000B7B11">
      <w:pPr>
        <w:pStyle w:val="MDPI31text"/>
        <w:spacing w:line="240" w:lineRule="auto"/>
        <w:ind w:left="0" w:firstLine="567"/>
        <w:rPr>
          <w:rFonts w:ascii="Times New Roman" w:hAnsi="Times New Roman"/>
          <w:sz w:val="28"/>
          <w:szCs w:val="28"/>
          <w:lang w:val="ru-RU"/>
        </w:rPr>
      </w:pPr>
    </w:p>
    <w:p w14:paraId="26BFF0A4" w14:textId="77777777" w:rsidR="00021B57" w:rsidRPr="00916B3A" w:rsidRDefault="00021B57" w:rsidP="000B7B11">
      <w:pPr>
        <w:pStyle w:val="MDPI31text"/>
        <w:spacing w:line="240" w:lineRule="auto"/>
        <w:ind w:left="0" w:firstLine="567"/>
        <w:rPr>
          <w:rFonts w:ascii="Times New Roman" w:hAnsi="Times New Roman"/>
          <w:sz w:val="28"/>
          <w:szCs w:val="28"/>
          <w:lang w:val="ru-RU"/>
        </w:rPr>
      </w:pPr>
      <w:r w:rsidRPr="00916B3A">
        <w:rPr>
          <w:rFonts w:ascii="Times New Roman" w:hAnsi="Times New Roman"/>
          <w:sz w:val="28"/>
          <w:szCs w:val="28"/>
          <w:lang w:val="ru-RU"/>
        </w:rPr>
        <w:t>При сравнении клинических характеристик между РНИ, РПБ и фертильными группами статистических различий по возрасту и ИМТ не выявлено. Все участницы были моложе 40 лет. В гинекологическом анамнезе наличие хронического сальпингоофорита и операций на органах малого таза чаще отмечалось у пациенток группы РНИ по сравнению с фертильной группой. Не было выявлено значимых различий между группами по показателям гемостаза, уровню гормонов в крови.</w:t>
      </w:r>
    </w:p>
    <w:p w14:paraId="2C7F8E35" w14:textId="30907885" w:rsidR="00021B57" w:rsidRPr="00916B3A" w:rsidRDefault="00021B57" w:rsidP="000B7B11">
      <w:pPr>
        <w:pStyle w:val="MDPI21heading1"/>
        <w:spacing w:before="0" w:after="0" w:line="240" w:lineRule="auto"/>
        <w:ind w:left="0" w:firstLine="567"/>
        <w:jc w:val="both"/>
        <w:rPr>
          <w:rFonts w:ascii="Times New Roman" w:hAnsi="Times New Roman"/>
          <w:b w:val="0"/>
          <w:bCs/>
          <w:sz w:val="28"/>
          <w:szCs w:val="28"/>
          <w:lang w:val="ru-RU"/>
        </w:rPr>
      </w:pPr>
      <w:r w:rsidRPr="00916B3A">
        <w:rPr>
          <w:rFonts w:ascii="Times New Roman" w:eastAsia="Calibri" w:hAnsi="Times New Roman"/>
          <w:b w:val="0"/>
          <w:bCs/>
          <w:snapToGrid/>
          <w:color w:val="000000" w:themeColor="text1"/>
          <w:sz w:val="28"/>
          <w:szCs w:val="28"/>
          <w:lang w:val="ru-RU" w:eastAsia="en-US" w:bidi="ar-SA"/>
        </w:rPr>
        <w:t>Для транскрипционного анализа эндометрия отобраны 53 образца эндометрия (20 – у пациенток с РНИ, 19 – с РПБ и тонким эндометрием, 14 – у фертильных женщин).</w:t>
      </w:r>
      <w:r w:rsidRPr="00916B3A">
        <w:rPr>
          <w:rFonts w:ascii="Times New Roman" w:hAnsi="Times New Roman"/>
          <w:b w:val="0"/>
          <w:bCs/>
          <w:sz w:val="28"/>
          <w:szCs w:val="28"/>
          <w:lang w:val="ru-RU"/>
        </w:rPr>
        <w:t xml:space="preserve"> В этом исследовании мы сосредоточились на генах, которые также были идентифицированы и продемонстрировали повышенную регуляцию в рецепти</w:t>
      </w:r>
      <w:r w:rsidR="005B0610" w:rsidRPr="00916B3A">
        <w:rPr>
          <w:rFonts w:ascii="Times New Roman" w:hAnsi="Times New Roman"/>
          <w:b w:val="0"/>
          <w:bCs/>
          <w:sz w:val="28"/>
          <w:szCs w:val="28"/>
          <w:lang w:val="ru-RU"/>
        </w:rPr>
        <w:t>вной фазе у здоровых женщин - 5</w:t>
      </w:r>
      <w:r w:rsidRPr="00916B3A">
        <w:rPr>
          <w:rFonts w:ascii="Times New Roman" w:hAnsi="Times New Roman"/>
          <w:b w:val="0"/>
          <w:bCs/>
          <w:sz w:val="28"/>
          <w:szCs w:val="28"/>
          <w:lang w:val="ru-RU"/>
        </w:rPr>
        <w:t xml:space="preserve"> генов иммунного ответа (</w:t>
      </w:r>
      <w:r w:rsidR="004279BA" w:rsidRPr="00916B3A">
        <w:rPr>
          <w:rFonts w:ascii="Times New Roman" w:hAnsi="Times New Roman"/>
          <w:b w:val="0"/>
          <w:bCs/>
          <w:sz w:val="28"/>
          <w:szCs w:val="28"/>
        </w:rPr>
        <w:t>C</w:t>
      </w:r>
      <w:r w:rsidR="004279BA" w:rsidRPr="00916B3A">
        <w:rPr>
          <w:rFonts w:ascii="Times New Roman" w:hAnsi="Times New Roman"/>
          <w:b w:val="0"/>
          <w:bCs/>
          <w:sz w:val="28"/>
          <w:szCs w:val="28"/>
          <w:lang w:val="ru-RU"/>
        </w:rPr>
        <w:t>4</w:t>
      </w:r>
      <w:r w:rsidR="004279BA" w:rsidRPr="00916B3A">
        <w:rPr>
          <w:rFonts w:ascii="Times New Roman" w:hAnsi="Times New Roman"/>
          <w:b w:val="0"/>
          <w:bCs/>
          <w:sz w:val="28"/>
          <w:szCs w:val="28"/>
        </w:rPr>
        <w:t>BPA</w:t>
      </w:r>
      <w:r w:rsidR="004279BA" w:rsidRPr="00916B3A">
        <w:rPr>
          <w:rFonts w:ascii="Times New Roman" w:hAnsi="Times New Roman"/>
          <w:b w:val="0"/>
          <w:bCs/>
          <w:sz w:val="28"/>
          <w:szCs w:val="28"/>
          <w:lang w:val="ru-RU"/>
        </w:rPr>
        <w:t xml:space="preserve">, </w:t>
      </w:r>
      <w:r w:rsidR="004279BA" w:rsidRPr="00916B3A">
        <w:rPr>
          <w:rFonts w:ascii="Times New Roman" w:hAnsi="Times New Roman"/>
          <w:b w:val="0"/>
          <w:bCs/>
          <w:sz w:val="28"/>
          <w:szCs w:val="28"/>
        </w:rPr>
        <w:t>IL</w:t>
      </w:r>
      <w:r w:rsidR="004279BA" w:rsidRPr="00916B3A">
        <w:rPr>
          <w:rFonts w:ascii="Times New Roman" w:hAnsi="Times New Roman"/>
          <w:b w:val="0"/>
          <w:bCs/>
          <w:sz w:val="28"/>
          <w:szCs w:val="28"/>
          <w:lang w:val="ru-RU"/>
        </w:rPr>
        <w:t xml:space="preserve">15, </w:t>
      </w:r>
      <w:r w:rsidR="004279BA" w:rsidRPr="00916B3A">
        <w:rPr>
          <w:rFonts w:ascii="Times New Roman" w:hAnsi="Times New Roman"/>
          <w:b w:val="0"/>
          <w:bCs/>
          <w:sz w:val="28"/>
          <w:szCs w:val="28"/>
        </w:rPr>
        <w:t>HAND</w:t>
      </w:r>
      <w:r w:rsidR="004279BA" w:rsidRPr="00916B3A">
        <w:rPr>
          <w:rFonts w:ascii="Times New Roman" w:hAnsi="Times New Roman"/>
          <w:b w:val="0"/>
          <w:bCs/>
          <w:sz w:val="28"/>
          <w:szCs w:val="28"/>
          <w:lang w:val="ru-RU"/>
        </w:rPr>
        <w:t xml:space="preserve">2, </w:t>
      </w:r>
      <w:r w:rsidR="004279BA" w:rsidRPr="00916B3A">
        <w:rPr>
          <w:rFonts w:ascii="Times New Roman" w:hAnsi="Times New Roman"/>
          <w:b w:val="0"/>
          <w:bCs/>
          <w:sz w:val="28"/>
          <w:szCs w:val="28"/>
        </w:rPr>
        <w:t>VEGFB</w:t>
      </w:r>
      <w:r w:rsidR="004279BA" w:rsidRPr="00916B3A">
        <w:rPr>
          <w:rFonts w:ascii="Times New Roman" w:hAnsi="Times New Roman"/>
          <w:b w:val="0"/>
          <w:bCs/>
          <w:sz w:val="28"/>
          <w:szCs w:val="28"/>
          <w:lang w:val="ru-RU"/>
        </w:rPr>
        <w:t xml:space="preserve">, </w:t>
      </w:r>
      <w:r w:rsidRPr="00916B3A">
        <w:rPr>
          <w:rFonts w:ascii="Times New Roman" w:hAnsi="Times New Roman"/>
          <w:b w:val="0"/>
          <w:bCs/>
          <w:sz w:val="28"/>
          <w:szCs w:val="28"/>
        </w:rPr>
        <w:t>CXCL</w:t>
      </w:r>
      <w:r w:rsidRPr="00916B3A">
        <w:rPr>
          <w:rFonts w:ascii="Times New Roman" w:hAnsi="Times New Roman"/>
          <w:b w:val="0"/>
          <w:bCs/>
          <w:sz w:val="28"/>
          <w:szCs w:val="28"/>
          <w:lang w:val="ru-RU"/>
        </w:rPr>
        <w:t>1</w:t>
      </w:r>
      <w:r w:rsidR="004279BA" w:rsidRPr="00916B3A">
        <w:rPr>
          <w:rFonts w:ascii="Times New Roman" w:hAnsi="Times New Roman"/>
          <w:b w:val="0"/>
          <w:bCs/>
          <w:sz w:val="28"/>
          <w:szCs w:val="28"/>
          <w:lang w:val="ru-RU"/>
        </w:rPr>
        <w:t>).</w:t>
      </w:r>
    </w:p>
    <w:p w14:paraId="347F5DCC" w14:textId="3FDFF266" w:rsidR="00021B57" w:rsidRPr="00916B3A" w:rsidRDefault="00021B57" w:rsidP="000B7B11">
      <w:pPr>
        <w:pStyle w:val="MDPI31text"/>
        <w:spacing w:line="240" w:lineRule="auto"/>
        <w:ind w:left="0" w:firstLine="567"/>
        <w:rPr>
          <w:rFonts w:ascii="Times New Roman" w:hAnsi="Times New Roman"/>
          <w:i/>
          <w:sz w:val="28"/>
          <w:szCs w:val="28"/>
          <w:lang w:val="ru-RU"/>
        </w:rPr>
      </w:pPr>
      <w:r w:rsidRPr="00916B3A">
        <w:rPr>
          <w:rFonts w:ascii="Times New Roman" w:hAnsi="Times New Roman"/>
          <w:i/>
          <w:sz w:val="28"/>
          <w:szCs w:val="28"/>
          <w:lang w:val="ru-RU"/>
        </w:rPr>
        <w:t>Уровень мРНК в образцах эндометрия пациенток с РИФ в сравнении с фертильной группой</w:t>
      </w:r>
    </w:p>
    <w:p w14:paraId="4FF66C9F" w14:textId="77777777" w:rsidR="00534EEF" w:rsidRPr="00916B3A" w:rsidRDefault="00021B57" w:rsidP="000B7B11">
      <w:pPr>
        <w:pStyle w:val="MDPI31text"/>
        <w:spacing w:line="240" w:lineRule="auto"/>
        <w:ind w:left="0" w:firstLine="567"/>
        <w:rPr>
          <w:rFonts w:ascii="Times New Roman" w:hAnsi="Times New Roman"/>
          <w:color w:val="2E74B5" w:themeColor="accent5" w:themeShade="BF"/>
          <w:sz w:val="28"/>
          <w:szCs w:val="28"/>
          <w:lang w:val="ru-RU"/>
        </w:rPr>
      </w:pPr>
      <w:r w:rsidRPr="00916B3A">
        <w:rPr>
          <w:rFonts w:ascii="Times New Roman" w:hAnsi="Times New Roman"/>
          <w:sz w:val="28"/>
          <w:szCs w:val="28"/>
          <w:lang w:val="ru-RU"/>
        </w:rPr>
        <w:t xml:space="preserve">Сравнительная статистика экспрессии генов между </w:t>
      </w:r>
      <w:r w:rsidRPr="00916B3A">
        <w:rPr>
          <w:rFonts w:ascii="Times New Roman" w:hAnsi="Times New Roman"/>
          <w:sz w:val="28"/>
          <w:szCs w:val="28"/>
        </w:rPr>
        <w:t>RIF</w:t>
      </w:r>
      <w:r w:rsidRPr="00916B3A">
        <w:rPr>
          <w:rFonts w:ascii="Times New Roman" w:hAnsi="Times New Roman"/>
          <w:sz w:val="28"/>
          <w:szCs w:val="28"/>
          <w:lang w:val="ru-RU"/>
        </w:rPr>
        <w:t xml:space="preserve"> и фертильными жен</w:t>
      </w:r>
      <w:r w:rsidR="00DB05A1" w:rsidRPr="00916B3A">
        <w:rPr>
          <w:rFonts w:ascii="Times New Roman" w:hAnsi="Times New Roman"/>
          <w:sz w:val="28"/>
          <w:szCs w:val="28"/>
          <w:lang w:val="ru-RU"/>
        </w:rPr>
        <w:t>щинами представлена в Таблице 14</w:t>
      </w:r>
      <w:r w:rsidRPr="00916B3A">
        <w:rPr>
          <w:rFonts w:ascii="Times New Roman" w:hAnsi="Times New Roman"/>
          <w:sz w:val="28"/>
          <w:szCs w:val="28"/>
          <w:lang w:val="ru-RU"/>
        </w:rPr>
        <w:t>.</w:t>
      </w:r>
      <w:r w:rsidRPr="00916B3A">
        <w:rPr>
          <w:rFonts w:ascii="Times New Roman" w:hAnsi="Times New Roman"/>
          <w:color w:val="2E74B5" w:themeColor="accent5" w:themeShade="BF"/>
          <w:sz w:val="28"/>
          <w:szCs w:val="28"/>
          <w:lang w:val="ru-RU"/>
        </w:rPr>
        <w:t xml:space="preserve"> </w:t>
      </w:r>
    </w:p>
    <w:p w14:paraId="1A5D8370" w14:textId="77777777" w:rsidR="00534EEF" w:rsidRPr="00916B3A" w:rsidRDefault="00534EEF" w:rsidP="000B7B11">
      <w:pPr>
        <w:pStyle w:val="MDPI31text"/>
        <w:spacing w:line="240" w:lineRule="auto"/>
        <w:ind w:left="0" w:firstLine="567"/>
        <w:rPr>
          <w:rFonts w:ascii="Times New Roman" w:hAnsi="Times New Roman"/>
          <w:sz w:val="28"/>
          <w:szCs w:val="28"/>
          <w:lang w:val="ru-RU"/>
        </w:rPr>
      </w:pPr>
    </w:p>
    <w:p w14:paraId="2752F86B" w14:textId="40974F8C" w:rsidR="00021B57" w:rsidRPr="00916B3A" w:rsidRDefault="00DB05A1" w:rsidP="003C597C">
      <w:pPr>
        <w:spacing w:after="0" w:line="240" w:lineRule="auto"/>
        <w:jc w:val="both"/>
        <w:rPr>
          <w:rFonts w:ascii="Times New Roman" w:hAnsi="Times New Roman" w:cs="Times New Roman"/>
          <w:sz w:val="28"/>
          <w:szCs w:val="28"/>
          <w:lang w:eastAsia="de-DE" w:bidi="en-US"/>
        </w:rPr>
      </w:pPr>
      <w:r w:rsidRPr="00916B3A">
        <w:rPr>
          <w:rFonts w:ascii="Times New Roman" w:hAnsi="Times New Roman" w:cs="Times New Roman"/>
          <w:sz w:val="28"/>
          <w:szCs w:val="28"/>
          <w:lang w:eastAsia="de-DE" w:bidi="en-US"/>
        </w:rPr>
        <w:t>Таблица 14</w:t>
      </w:r>
      <w:r w:rsidR="00021B57" w:rsidRPr="00916B3A">
        <w:rPr>
          <w:rFonts w:ascii="Times New Roman" w:hAnsi="Times New Roman" w:cs="Times New Roman"/>
          <w:b/>
          <w:bCs/>
          <w:sz w:val="28"/>
          <w:szCs w:val="28"/>
          <w:lang w:eastAsia="de-DE" w:bidi="en-US"/>
        </w:rPr>
        <w:t xml:space="preserve"> </w:t>
      </w:r>
      <w:r w:rsidR="00021B57" w:rsidRPr="00916B3A">
        <w:rPr>
          <w:rFonts w:ascii="Times New Roman" w:hAnsi="Times New Roman" w:cs="Times New Roman"/>
          <w:sz w:val="28"/>
          <w:szCs w:val="28"/>
          <w:lang w:eastAsia="de-DE" w:bidi="en-US"/>
        </w:rPr>
        <w:t>– Сравнительная статистика экспрессии генов между РНИ и фертильными женщинами</w:t>
      </w:r>
    </w:p>
    <w:p w14:paraId="5CC97493" w14:textId="77777777" w:rsidR="00342832" w:rsidRPr="00916B3A" w:rsidRDefault="00342832" w:rsidP="000B7B11">
      <w:pPr>
        <w:spacing w:after="0" w:line="240" w:lineRule="auto"/>
        <w:rPr>
          <w:rFonts w:ascii="Times New Roman" w:hAnsi="Times New Roman" w:cs="Times New Roman"/>
          <w:sz w:val="28"/>
          <w:szCs w:val="28"/>
          <w:lang w:eastAsia="de-DE" w:bidi="en-US"/>
        </w:rPr>
      </w:pPr>
    </w:p>
    <w:tbl>
      <w:tblPr>
        <w:tblStyle w:val="ae"/>
        <w:tblW w:w="5000" w:type="pct"/>
        <w:tblLook w:val="04A0" w:firstRow="1" w:lastRow="0" w:firstColumn="1" w:lastColumn="0" w:noHBand="0" w:noVBand="1"/>
      </w:tblPr>
      <w:tblGrid>
        <w:gridCol w:w="1239"/>
        <w:gridCol w:w="901"/>
        <w:gridCol w:w="1812"/>
        <w:gridCol w:w="928"/>
        <w:gridCol w:w="1810"/>
        <w:gridCol w:w="1567"/>
        <w:gridCol w:w="1371"/>
      </w:tblGrid>
      <w:tr w:rsidR="00021B57" w:rsidRPr="00916B3A" w14:paraId="233C6615" w14:textId="77777777" w:rsidTr="00534EEF">
        <w:tc>
          <w:tcPr>
            <w:tcW w:w="643" w:type="pct"/>
            <w:vMerge w:val="restart"/>
            <w:vAlign w:val="center"/>
          </w:tcPr>
          <w:p w14:paraId="3510DCAA" w14:textId="77777777" w:rsidR="00021B57" w:rsidRPr="00916B3A" w:rsidRDefault="00021B57" w:rsidP="000B7B11">
            <w:pPr>
              <w:jc w:val="center"/>
              <w:rPr>
                <w:rFonts w:ascii="Times New Roman" w:hAnsi="Times New Roman" w:cs="Times New Roman"/>
                <w:bCs/>
                <w:sz w:val="24"/>
                <w:szCs w:val="24"/>
                <w:lang w:eastAsia="de-DE" w:bidi="en-US"/>
              </w:rPr>
            </w:pPr>
            <w:r w:rsidRPr="00916B3A">
              <w:rPr>
                <w:rFonts w:ascii="Times New Roman" w:hAnsi="Times New Roman" w:cs="Times New Roman"/>
                <w:bCs/>
                <w:sz w:val="24"/>
                <w:szCs w:val="24"/>
                <w:lang w:eastAsia="de-DE" w:bidi="en-US"/>
              </w:rPr>
              <w:t>Ген</w:t>
            </w:r>
          </w:p>
        </w:tc>
        <w:tc>
          <w:tcPr>
            <w:tcW w:w="1409" w:type="pct"/>
            <w:gridSpan w:val="2"/>
            <w:vAlign w:val="center"/>
          </w:tcPr>
          <w:p w14:paraId="62EE3DA6" w14:textId="77777777" w:rsidR="00021B57" w:rsidRPr="00916B3A" w:rsidRDefault="00021B57" w:rsidP="000B7B11">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Ct среднее ± SD</w:t>
            </w:r>
          </w:p>
        </w:tc>
        <w:tc>
          <w:tcPr>
            <w:tcW w:w="1422" w:type="pct"/>
            <w:gridSpan w:val="2"/>
            <w:vAlign w:val="center"/>
          </w:tcPr>
          <w:p w14:paraId="68BFE59D" w14:textId="77777777" w:rsidR="00021B57" w:rsidRPr="00916B3A" w:rsidRDefault="00021B57" w:rsidP="000B7B11">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sym w:font="Symbol" w:char="F044"/>
            </w:r>
            <w:r w:rsidRPr="00916B3A">
              <w:rPr>
                <w:rFonts w:ascii="Times New Roman" w:hAnsi="Times New Roman" w:cs="Times New Roman"/>
                <w:sz w:val="24"/>
                <w:szCs w:val="24"/>
                <w:lang w:eastAsia="de-DE" w:bidi="en-US"/>
              </w:rPr>
              <w:t>Ct среднее ± SE</w:t>
            </w:r>
          </w:p>
        </w:tc>
        <w:tc>
          <w:tcPr>
            <w:tcW w:w="814" w:type="pct"/>
            <w:vMerge w:val="restart"/>
            <w:vAlign w:val="center"/>
          </w:tcPr>
          <w:p w14:paraId="24D8AFD9" w14:textId="77777777" w:rsidR="00021B57" w:rsidRPr="00916B3A" w:rsidRDefault="00021B57" w:rsidP="000B7B11">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sym w:font="Symbol" w:char="F044"/>
            </w:r>
            <w:r w:rsidRPr="00916B3A">
              <w:rPr>
                <w:rFonts w:ascii="Times New Roman" w:hAnsi="Times New Roman" w:cs="Times New Roman"/>
                <w:sz w:val="24"/>
                <w:szCs w:val="24"/>
                <w:lang w:eastAsia="de-DE" w:bidi="en-US"/>
              </w:rPr>
              <w:sym w:font="Symbol" w:char="F044"/>
            </w:r>
            <w:r w:rsidRPr="00916B3A">
              <w:rPr>
                <w:rFonts w:ascii="Times New Roman" w:hAnsi="Times New Roman" w:cs="Times New Roman"/>
                <w:sz w:val="24"/>
                <w:szCs w:val="24"/>
                <w:lang w:eastAsia="de-DE" w:bidi="en-US"/>
              </w:rPr>
              <w:t>Ct (95% ДИ)</w:t>
            </w:r>
          </w:p>
          <w:p w14:paraId="27DEDC51" w14:textId="77777777" w:rsidR="00021B57" w:rsidRPr="00916B3A" w:rsidRDefault="00021B57" w:rsidP="000B7B11">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изменение в 2 раза</w:t>
            </w:r>
          </w:p>
        </w:tc>
        <w:tc>
          <w:tcPr>
            <w:tcW w:w="712" w:type="pct"/>
            <w:vMerge w:val="restart"/>
            <w:vAlign w:val="center"/>
          </w:tcPr>
          <w:p w14:paraId="2BB6EA04" w14:textId="77777777" w:rsidR="00021B57" w:rsidRPr="00916B3A" w:rsidRDefault="00021B57" w:rsidP="000B7B11">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P-значение</w:t>
            </w:r>
          </w:p>
        </w:tc>
      </w:tr>
      <w:tr w:rsidR="004E13F4" w:rsidRPr="00916B3A" w14:paraId="247097A3" w14:textId="77777777" w:rsidTr="003C597C">
        <w:tc>
          <w:tcPr>
            <w:tcW w:w="643" w:type="pct"/>
            <w:vMerge/>
            <w:vAlign w:val="center"/>
          </w:tcPr>
          <w:p w14:paraId="5F250A2B" w14:textId="77777777" w:rsidR="00021B57" w:rsidRPr="00916B3A" w:rsidRDefault="00021B57" w:rsidP="000B7B11">
            <w:pPr>
              <w:jc w:val="center"/>
              <w:rPr>
                <w:rFonts w:ascii="Times New Roman" w:hAnsi="Times New Roman" w:cs="Times New Roman"/>
                <w:bCs/>
                <w:sz w:val="24"/>
                <w:szCs w:val="24"/>
                <w:lang w:eastAsia="de-DE" w:bidi="en-US"/>
              </w:rPr>
            </w:pPr>
          </w:p>
        </w:tc>
        <w:tc>
          <w:tcPr>
            <w:tcW w:w="468" w:type="pct"/>
            <w:vAlign w:val="center"/>
          </w:tcPr>
          <w:p w14:paraId="2B040BF5" w14:textId="77777777" w:rsidR="00021B57" w:rsidRPr="00916B3A" w:rsidRDefault="00021B57" w:rsidP="000B7B11">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РНИ</w:t>
            </w:r>
          </w:p>
        </w:tc>
        <w:tc>
          <w:tcPr>
            <w:tcW w:w="941" w:type="pct"/>
            <w:vAlign w:val="center"/>
          </w:tcPr>
          <w:p w14:paraId="554B84E7" w14:textId="77777777" w:rsidR="00021B57" w:rsidRPr="00916B3A" w:rsidRDefault="00021B57" w:rsidP="000B7B11">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 xml:space="preserve">Фертильные </w:t>
            </w:r>
          </w:p>
        </w:tc>
        <w:tc>
          <w:tcPr>
            <w:tcW w:w="482" w:type="pct"/>
            <w:vAlign w:val="center"/>
          </w:tcPr>
          <w:p w14:paraId="4D367606" w14:textId="77777777" w:rsidR="00021B57" w:rsidRPr="00916B3A" w:rsidRDefault="00021B57" w:rsidP="000B7B11">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РНИ</w:t>
            </w:r>
          </w:p>
        </w:tc>
        <w:tc>
          <w:tcPr>
            <w:tcW w:w="940" w:type="pct"/>
            <w:vAlign w:val="center"/>
          </w:tcPr>
          <w:p w14:paraId="3D5A916E" w14:textId="77777777" w:rsidR="00021B57" w:rsidRPr="00916B3A" w:rsidRDefault="00021B57" w:rsidP="000B7B11">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 xml:space="preserve">Фертильные </w:t>
            </w:r>
          </w:p>
        </w:tc>
        <w:tc>
          <w:tcPr>
            <w:tcW w:w="814" w:type="pct"/>
            <w:vMerge/>
            <w:vAlign w:val="center"/>
          </w:tcPr>
          <w:p w14:paraId="568A0D37" w14:textId="77777777" w:rsidR="00021B57" w:rsidRPr="00916B3A" w:rsidRDefault="00021B57" w:rsidP="000B7B11">
            <w:pPr>
              <w:jc w:val="center"/>
              <w:rPr>
                <w:rFonts w:ascii="Times New Roman" w:hAnsi="Times New Roman" w:cs="Times New Roman"/>
                <w:sz w:val="24"/>
                <w:szCs w:val="24"/>
                <w:lang w:eastAsia="de-DE" w:bidi="en-US"/>
              </w:rPr>
            </w:pPr>
          </w:p>
        </w:tc>
        <w:tc>
          <w:tcPr>
            <w:tcW w:w="712" w:type="pct"/>
            <w:vMerge/>
            <w:vAlign w:val="center"/>
          </w:tcPr>
          <w:p w14:paraId="0929D22C" w14:textId="77777777" w:rsidR="00021B57" w:rsidRPr="00916B3A" w:rsidRDefault="00021B57" w:rsidP="000B7B11">
            <w:pPr>
              <w:jc w:val="center"/>
              <w:rPr>
                <w:rFonts w:ascii="Times New Roman" w:hAnsi="Times New Roman" w:cs="Times New Roman"/>
                <w:sz w:val="24"/>
                <w:szCs w:val="24"/>
                <w:lang w:eastAsia="de-DE" w:bidi="en-US"/>
              </w:rPr>
            </w:pPr>
          </w:p>
        </w:tc>
      </w:tr>
      <w:tr w:rsidR="003C597C" w:rsidRPr="00916B3A" w14:paraId="5B62614C" w14:textId="77777777" w:rsidTr="003C597C">
        <w:tc>
          <w:tcPr>
            <w:tcW w:w="643" w:type="pct"/>
            <w:tcBorders>
              <w:bottom w:val="single" w:sz="4" w:space="0" w:color="auto"/>
            </w:tcBorders>
            <w:vAlign w:val="center"/>
          </w:tcPr>
          <w:p w14:paraId="75AFC0EF" w14:textId="683B8AEE" w:rsidR="003C597C" w:rsidRPr="00916B3A" w:rsidRDefault="003C597C" w:rsidP="000B7B11">
            <w:pPr>
              <w:jc w:val="center"/>
              <w:rPr>
                <w:rFonts w:ascii="Times New Roman" w:hAnsi="Times New Roman" w:cs="Times New Roman"/>
                <w:bCs/>
                <w:sz w:val="24"/>
                <w:szCs w:val="24"/>
                <w:lang w:eastAsia="de-DE" w:bidi="en-US"/>
              </w:rPr>
            </w:pPr>
            <w:r>
              <w:rPr>
                <w:rFonts w:ascii="Times New Roman" w:hAnsi="Times New Roman" w:cs="Times New Roman"/>
                <w:bCs/>
                <w:sz w:val="24"/>
                <w:szCs w:val="24"/>
                <w:lang w:eastAsia="de-DE" w:bidi="en-US"/>
              </w:rPr>
              <w:t>1</w:t>
            </w:r>
          </w:p>
        </w:tc>
        <w:tc>
          <w:tcPr>
            <w:tcW w:w="468" w:type="pct"/>
            <w:tcBorders>
              <w:bottom w:val="single" w:sz="4" w:space="0" w:color="auto"/>
            </w:tcBorders>
            <w:vAlign w:val="center"/>
          </w:tcPr>
          <w:p w14:paraId="72899226" w14:textId="4F4DC2FF" w:rsidR="003C597C" w:rsidRPr="00916B3A" w:rsidRDefault="003C597C" w:rsidP="000B7B11">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2</w:t>
            </w:r>
          </w:p>
        </w:tc>
        <w:tc>
          <w:tcPr>
            <w:tcW w:w="941" w:type="pct"/>
            <w:tcBorders>
              <w:bottom w:val="single" w:sz="4" w:space="0" w:color="auto"/>
            </w:tcBorders>
            <w:vAlign w:val="center"/>
          </w:tcPr>
          <w:p w14:paraId="22B8A96D" w14:textId="753E981C" w:rsidR="003C597C" w:rsidRPr="00916B3A" w:rsidRDefault="003C597C" w:rsidP="000B7B11">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3</w:t>
            </w:r>
          </w:p>
        </w:tc>
        <w:tc>
          <w:tcPr>
            <w:tcW w:w="482" w:type="pct"/>
            <w:tcBorders>
              <w:bottom w:val="single" w:sz="4" w:space="0" w:color="auto"/>
            </w:tcBorders>
            <w:vAlign w:val="center"/>
          </w:tcPr>
          <w:p w14:paraId="21488A8C" w14:textId="7D5E6474" w:rsidR="003C597C" w:rsidRPr="00916B3A" w:rsidRDefault="003C597C" w:rsidP="000B7B11">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4</w:t>
            </w:r>
          </w:p>
        </w:tc>
        <w:tc>
          <w:tcPr>
            <w:tcW w:w="940" w:type="pct"/>
            <w:tcBorders>
              <w:bottom w:val="single" w:sz="4" w:space="0" w:color="auto"/>
            </w:tcBorders>
            <w:vAlign w:val="center"/>
          </w:tcPr>
          <w:p w14:paraId="76F7EF6D" w14:textId="2940A0C4" w:rsidR="003C597C" w:rsidRPr="00916B3A" w:rsidRDefault="003C597C" w:rsidP="000B7B11">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5</w:t>
            </w:r>
          </w:p>
        </w:tc>
        <w:tc>
          <w:tcPr>
            <w:tcW w:w="814" w:type="pct"/>
            <w:tcBorders>
              <w:bottom w:val="single" w:sz="4" w:space="0" w:color="auto"/>
            </w:tcBorders>
            <w:vAlign w:val="center"/>
          </w:tcPr>
          <w:p w14:paraId="20A92F3F" w14:textId="2F6444F6" w:rsidR="003C597C" w:rsidRPr="00916B3A" w:rsidRDefault="003C597C" w:rsidP="000B7B11">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6</w:t>
            </w:r>
          </w:p>
        </w:tc>
        <w:tc>
          <w:tcPr>
            <w:tcW w:w="712" w:type="pct"/>
            <w:tcBorders>
              <w:bottom w:val="single" w:sz="4" w:space="0" w:color="auto"/>
            </w:tcBorders>
            <w:vAlign w:val="center"/>
          </w:tcPr>
          <w:p w14:paraId="1586471A" w14:textId="34B66F54" w:rsidR="003C597C" w:rsidRPr="00916B3A" w:rsidRDefault="003C597C" w:rsidP="000B7B11">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7</w:t>
            </w:r>
          </w:p>
        </w:tc>
      </w:tr>
      <w:tr w:rsidR="004E13F4" w:rsidRPr="00916B3A" w14:paraId="3C28AF1A" w14:textId="77777777" w:rsidTr="003C597C">
        <w:tc>
          <w:tcPr>
            <w:tcW w:w="643" w:type="pct"/>
            <w:tcBorders>
              <w:bottom w:val="nil"/>
            </w:tcBorders>
            <w:vAlign w:val="center"/>
          </w:tcPr>
          <w:p w14:paraId="0EFD462A" w14:textId="2BAD057F" w:rsidR="004279BA" w:rsidRPr="00916B3A" w:rsidRDefault="004279BA" w:rsidP="004279BA">
            <w:pPr>
              <w:jc w:val="center"/>
              <w:rPr>
                <w:rFonts w:ascii="Times New Roman" w:hAnsi="Times New Roman" w:cs="Times New Roman"/>
                <w:bCs/>
                <w:sz w:val="24"/>
                <w:szCs w:val="24"/>
                <w:lang w:eastAsia="de-DE" w:bidi="en-US"/>
              </w:rPr>
            </w:pPr>
            <w:r w:rsidRPr="00916B3A">
              <w:rPr>
                <w:rFonts w:ascii="Times New Roman" w:hAnsi="Times New Roman" w:cs="Times New Roman"/>
                <w:bCs/>
                <w:sz w:val="24"/>
                <w:szCs w:val="24"/>
                <w:lang w:eastAsia="de-DE" w:bidi="en-US"/>
              </w:rPr>
              <w:t>C4BPA</w:t>
            </w:r>
          </w:p>
        </w:tc>
        <w:tc>
          <w:tcPr>
            <w:tcW w:w="468" w:type="pct"/>
            <w:tcBorders>
              <w:bottom w:val="nil"/>
            </w:tcBorders>
            <w:vAlign w:val="center"/>
          </w:tcPr>
          <w:p w14:paraId="257970DB" w14:textId="27B8B274" w:rsidR="004279BA" w:rsidRPr="00916B3A" w:rsidRDefault="004279BA" w:rsidP="004279BA">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29,69 ± 3,29</w:t>
            </w:r>
          </w:p>
        </w:tc>
        <w:tc>
          <w:tcPr>
            <w:tcW w:w="941" w:type="pct"/>
            <w:tcBorders>
              <w:bottom w:val="nil"/>
            </w:tcBorders>
            <w:vAlign w:val="center"/>
          </w:tcPr>
          <w:p w14:paraId="3EEB52DB" w14:textId="73A2D365" w:rsidR="004279BA" w:rsidRPr="00916B3A" w:rsidRDefault="004279BA" w:rsidP="004279BA">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30,28 ± 4,21</w:t>
            </w:r>
          </w:p>
        </w:tc>
        <w:tc>
          <w:tcPr>
            <w:tcW w:w="482" w:type="pct"/>
            <w:tcBorders>
              <w:bottom w:val="nil"/>
            </w:tcBorders>
            <w:vAlign w:val="center"/>
          </w:tcPr>
          <w:p w14:paraId="64D67878" w14:textId="4894BFEE" w:rsidR="004279BA" w:rsidRPr="00916B3A" w:rsidRDefault="004279BA" w:rsidP="004279BA">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-9,65 ± 0,38</w:t>
            </w:r>
          </w:p>
        </w:tc>
        <w:tc>
          <w:tcPr>
            <w:tcW w:w="940" w:type="pct"/>
            <w:tcBorders>
              <w:bottom w:val="nil"/>
            </w:tcBorders>
            <w:vAlign w:val="center"/>
          </w:tcPr>
          <w:p w14:paraId="12D8766D" w14:textId="0D93D938" w:rsidR="004279BA" w:rsidRPr="00916B3A" w:rsidRDefault="004279BA" w:rsidP="004279BA">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-7,39 ± 0,81</w:t>
            </w:r>
          </w:p>
        </w:tc>
        <w:tc>
          <w:tcPr>
            <w:tcW w:w="814" w:type="pct"/>
            <w:tcBorders>
              <w:bottom w:val="nil"/>
            </w:tcBorders>
            <w:vAlign w:val="center"/>
          </w:tcPr>
          <w:p w14:paraId="1543FD7B" w14:textId="7C00DEF4" w:rsidR="004279BA" w:rsidRPr="00916B3A" w:rsidRDefault="004279BA" w:rsidP="004279BA">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-2,09 (-3,99; -0,38)</w:t>
            </w:r>
          </w:p>
        </w:tc>
        <w:tc>
          <w:tcPr>
            <w:tcW w:w="712" w:type="pct"/>
            <w:tcBorders>
              <w:bottom w:val="nil"/>
            </w:tcBorders>
            <w:vAlign w:val="center"/>
          </w:tcPr>
          <w:p w14:paraId="6C600EE7" w14:textId="48763DE3" w:rsidR="004279BA" w:rsidRPr="00916B3A" w:rsidRDefault="004279BA" w:rsidP="004279BA">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0,030*</w:t>
            </w:r>
          </w:p>
        </w:tc>
      </w:tr>
    </w:tbl>
    <w:p w14:paraId="6F92F6C9" w14:textId="74126D42" w:rsidR="003C597C" w:rsidRDefault="003C597C"/>
    <w:p w14:paraId="0C6A2E2F" w14:textId="2A841582" w:rsidR="003C597C" w:rsidRDefault="003C597C" w:rsidP="003C597C">
      <w:pPr>
        <w:spacing w:after="0" w:line="240" w:lineRule="auto"/>
        <w:rPr>
          <w:rFonts w:ascii="Times New Roman" w:hAnsi="Times New Roman" w:cs="Times New Roman"/>
          <w:color w:val="000000" w:themeColor="text1"/>
          <w:sz w:val="28"/>
          <w:szCs w:val="28"/>
        </w:rPr>
      </w:pPr>
      <w:r w:rsidRPr="003C597C">
        <w:rPr>
          <w:rFonts w:ascii="Times New Roman" w:hAnsi="Times New Roman" w:cs="Times New Roman"/>
          <w:color w:val="000000" w:themeColor="text1"/>
          <w:sz w:val="28"/>
          <w:szCs w:val="28"/>
        </w:rPr>
        <w:t>Продолжение таблицы 1</w:t>
      </w:r>
      <w:r w:rsidR="002635DA">
        <w:rPr>
          <w:rFonts w:ascii="Times New Roman" w:hAnsi="Times New Roman" w:cs="Times New Roman"/>
          <w:color w:val="000000" w:themeColor="text1"/>
          <w:sz w:val="28"/>
          <w:szCs w:val="28"/>
        </w:rPr>
        <w:t>4</w:t>
      </w:r>
    </w:p>
    <w:p w14:paraId="01F68114" w14:textId="77777777" w:rsidR="003C597C" w:rsidRDefault="003C597C" w:rsidP="003C597C">
      <w:pPr>
        <w:spacing w:after="0" w:line="240" w:lineRule="auto"/>
      </w:pPr>
    </w:p>
    <w:tbl>
      <w:tblPr>
        <w:tblStyle w:val="ae"/>
        <w:tblW w:w="5000" w:type="pct"/>
        <w:tblLook w:val="04A0" w:firstRow="1" w:lastRow="0" w:firstColumn="1" w:lastColumn="0" w:noHBand="0" w:noVBand="1"/>
      </w:tblPr>
      <w:tblGrid>
        <w:gridCol w:w="1239"/>
        <w:gridCol w:w="901"/>
        <w:gridCol w:w="1812"/>
        <w:gridCol w:w="928"/>
        <w:gridCol w:w="1810"/>
        <w:gridCol w:w="1567"/>
        <w:gridCol w:w="1371"/>
      </w:tblGrid>
      <w:tr w:rsidR="004E13F4" w:rsidRPr="00916B3A" w14:paraId="2435076C" w14:textId="77777777" w:rsidTr="003C597C">
        <w:tc>
          <w:tcPr>
            <w:tcW w:w="643" w:type="pct"/>
            <w:vAlign w:val="center"/>
          </w:tcPr>
          <w:p w14:paraId="57C957A3" w14:textId="72970BDA" w:rsidR="004279BA" w:rsidRPr="003C597C" w:rsidRDefault="003C597C" w:rsidP="004279BA">
            <w:pPr>
              <w:pStyle w:val="MDPI31text"/>
              <w:spacing w:line="240" w:lineRule="auto"/>
              <w:ind w:left="0" w:firstLine="0"/>
              <w:rPr>
                <w:rFonts w:ascii="Times New Roman" w:hAnsi="Times New Roman"/>
                <w:bCs/>
                <w:sz w:val="24"/>
                <w:szCs w:val="24"/>
                <w:lang w:val="ru-RU"/>
              </w:rPr>
            </w:pPr>
            <w:r>
              <w:rPr>
                <w:rFonts w:ascii="Times New Roman" w:hAnsi="Times New Roman"/>
                <w:bCs/>
                <w:sz w:val="24"/>
                <w:szCs w:val="24"/>
                <w:lang w:val="ru-RU"/>
              </w:rPr>
              <w:t>1</w:t>
            </w:r>
          </w:p>
        </w:tc>
        <w:tc>
          <w:tcPr>
            <w:tcW w:w="468" w:type="pct"/>
            <w:vAlign w:val="center"/>
          </w:tcPr>
          <w:p w14:paraId="6233F71B" w14:textId="27AE97F8" w:rsidR="004279BA" w:rsidRPr="00916B3A" w:rsidRDefault="003C597C" w:rsidP="004279BA">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2</w:t>
            </w:r>
          </w:p>
        </w:tc>
        <w:tc>
          <w:tcPr>
            <w:tcW w:w="941" w:type="pct"/>
            <w:vAlign w:val="center"/>
          </w:tcPr>
          <w:p w14:paraId="7E9BC06A" w14:textId="7008BC9D" w:rsidR="004279BA" w:rsidRPr="00916B3A" w:rsidRDefault="003C597C" w:rsidP="004279BA">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3</w:t>
            </w:r>
          </w:p>
        </w:tc>
        <w:tc>
          <w:tcPr>
            <w:tcW w:w="482" w:type="pct"/>
            <w:vAlign w:val="center"/>
          </w:tcPr>
          <w:p w14:paraId="38319B25" w14:textId="1A38C3BB" w:rsidR="004279BA" w:rsidRPr="00916B3A" w:rsidRDefault="003C597C" w:rsidP="004279BA">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4</w:t>
            </w:r>
          </w:p>
        </w:tc>
        <w:tc>
          <w:tcPr>
            <w:tcW w:w="940" w:type="pct"/>
            <w:vAlign w:val="center"/>
          </w:tcPr>
          <w:p w14:paraId="62199F00" w14:textId="0EB9979B" w:rsidR="004279BA" w:rsidRPr="00916B3A" w:rsidRDefault="003C597C" w:rsidP="004279BA">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5</w:t>
            </w:r>
          </w:p>
        </w:tc>
        <w:tc>
          <w:tcPr>
            <w:tcW w:w="814" w:type="pct"/>
            <w:vAlign w:val="center"/>
          </w:tcPr>
          <w:p w14:paraId="0BF5A48F" w14:textId="00F9D168" w:rsidR="004279BA" w:rsidRPr="00916B3A" w:rsidRDefault="003C597C" w:rsidP="004279BA">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6</w:t>
            </w:r>
          </w:p>
        </w:tc>
        <w:tc>
          <w:tcPr>
            <w:tcW w:w="712" w:type="pct"/>
            <w:vAlign w:val="center"/>
          </w:tcPr>
          <w:p w14:paraId="69B6C874" w14:textId="0AE329D3" w:rsidR="004279BA" w:rsidRPr="00916B3A" w:rsidRDefault="003C597C" w:rsidP="004279BA">
            <w:pPr>
              <w:jc w:val="cente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t>7</w:t>
            </w:r>
          </w:p>
        </w:tc>
      </w:tr>
      <w:tr w:rsidR="003C597C" w:rsidRPr="00916B3A" w14:paraId="353C50C0" w14:textId="77777777" w:rsidTr="003C597C">
        <w:tc>
          <w:tcPr>
            <w:tcW w:w="643" w:type="pct"/>
            <w:vAlign w:val="center"/>
          </w:tcPr>
          <w:p w14:paraId="7A41DD17" w14:textId="701C86FA" w:rsidR="003C597C" w:rsidRPr="00916B3A" w:rsidRDefault="003C597C" w:rsidP="003C597C">
            <w:pPr>
              <w:pStyle w:val="MDPI31text"/>
              <w:spacing w:line="240" w:lineRule="auto"/>
              <w:ind w:left="0" w:firstLine="0"/>
              <w:rPr>
                <w:rFonts w:ascii="Times New Roman" w:hAnsi="Times New Roman"/>
                <w:bCs/>
                <w:sz w:val="24"/>
                <w:szCs w:val="24"/>
              </w:rPr>
            </w:pPr>
            <w:r w:rsidRPr="00916B3A">
              <w:rPr>
                <w:rFonts w:ascii="Times New Roman" w:hAnsi="Times New Roman"/>
                <w:bCs/>
                <w:sz w:val="24"/>
                <w:szCs w:val="24"/>
              </w:rPr>
              <w:t>IL15</w:t>
            </w:r>
          </w:p>
        </w:tc>
        <w:tc>
          <w:tcPr>
            <w:tcW w:w="468" w:type="pct"/>
            <w:vAlign w:val="center"/>
          </w:tcPr>
          <w:p w14:paraId="4BCBBDCE" w14:textId="11730615"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25,89 ± 3,89</w:t>
            </w:r>
          </w:p>
        </w:tc>
        <w:tc>
          <w:tcPr>
            <w:tcW w:w="941" w:type="pct"/>
            <w:vAlign w:val="center"/>
          </w:tcPr>
          <w:p w14:paraId="623D6AD0" w14:textId="04BCFE6B"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26,86 ± 2,94</w:t>
            </w:r>
          </w:p>
        </w:tc>
        <w:tc>
          <w:tcPr>
            <w:tcW w:w="482" w:type="pct"/>
            <w:vAlign w:val="center"/>
          </w:tcPr>
          <w:p w14:paraId="6937ABBD" w14:textId="6178F77B"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-4,87 ± 0,22</w:t>
            </w:r>
          </w:p>
        </w:tc>
        <w:tc>
          <w:tcPr>
            <w:tcW w:w="940" w:type="pct"/>
            <w:vAlign w:val="center"/>
          </w:tcPr>
          <w:p w14:paraId="17C46D5F" w14:textId="78BB14C1"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-3,97 ± 0,32</w:t>
            </w:r>
          </w:p>
        </w:tc>
        <w:tc>
          <w:tcPr>
            <w:tcW w:w="814" w:type="pct"/>
            <w:vAlign w:val="center"/>
          </w:tcPr>
          <w:p w14:paraId="65A484B7" w14:textId="3C181F9B"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-0,73 (-1,65; 0,00)</w:t>
            </w:r>
          </w:p>
        </w:tc>
        <w:tc>
          <w:tcPr>
            <w:tcW w:w="712" w:type="pct"/>
            <w:vAlign w:val="center"/>
          </w:tcPr>
          <w:p w14:paraId="73844AF3" w14:textId="048161F1"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0,051</w:t>
            </w:r>
          </w:p>
        </w:tc>
      </w:tr>
      <w:tr w:rsidR="003C597C" w:rsidRPr="00916B3A" w14:paraId="4546E062" w14:textId="77777777" w:rsidTr="003C597C">
        <w:tc>
          <w:tcPr>
            <w:tcW w:w="643" w:type="pct"/>
            <w:vAlign w:val="center"/>
          </w:tcPr>
          <w:p w14:paraId="164A80A4" w14:textId="460B124B" w:rsidR="003C597C" w:rsidRPr="00916B3A" w:rsidRDefault="003C597C" w:rsidP="003C597C">
            <w:pPr>
              <w:pStyle w:val="MDPI31text"/>
              <w:spacing w:line="240" w:lineRule="auto"/>
              <w:ind w:left="0" w:firstLine="0"/>
              <w:rPr>
                <w:rFonts w:ascii="Times New Roman" w:hAnsi="Times New Roman"/>
                <w:bCs/>
                <w:sz w:val="24"/>
                <w:szCs w:val="24"/>
              </w:rPr>
            </w:pPr>
            <w:r w:rsidRPr="00916B3A">
              <w:rPr>
                <w:rFonts w:ascii="Times New Roman" w:hAnsi="Times New Roman"/>
                <w:bCs/>
                <w:sz w:val="24"/>
                <w:szCs w:val="24"/>
              </w:rPr>
              <w:t>HAND2</w:t>
            </w:r>
          </w:p>
        </w:tc>
        <w:tc>
          <w:tcPr>
            <w:tcW w:w="468" w:type="pct"/>
            <w:vAlign w:val="center"/>
          </w:tcPr>
          <w:p w14:paraId="4335C0AF" w14:textId="31C9A834"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22,90 ± 3,52</w:t>
            </w:r>
          </w:p>
        </w:tc>
        <w:tc>
          <w:tcPr>
            <w:tcW w:w="941" w:type="pct"/>
            <w:vAlign w:val="center"/>
          </w:tcPr>
          <w:p w14:paraId="002DE0C1" w14:textId="2046AE61"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24,48 ± 2,73</w:t>
            </w:r>
          </w:p>
        </w:tc>
        <w:tc>
          <w:tcPr>
            <w:tcW w:w="482" w:type="pct"/>
            <w:vAlign w:val="center"/>
          </w:tcPr>
          <w:p w14:paraId="7B140428" w14:textId="529C90C2"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-1,88 ± 0,17</w:t>
            </w:r>
          </w:p>
        </w:tc>
        <w:tc>
          <w:tcPr>
            <w:tcW w:w="940" w:type="pct"/>
            <w:vAlign w:val="center"/>
          </w:tcPr>
          <w:p w14:paraId="49F06DA4" w14:textId="5B6A544B"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-1,59 ± 0,31</w:t>
            </w:r>
          </w:p>
        </w:tc>
        <w:tc>
          <w:tcPr>
            <w:tcW w:w="814" w:type="pct"/>
            <w:vAlign w:val="center"/>
          </w:tcPr>
          <w:p w14:paraId="27AAFF3A" w14:textId="193097B7"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-0,31 (-0,87; 0,23)</w:t>
            </w:r>
          </w:p>
        </w:tc>
        <w:tc>
          <w:tcPr>
            <w:tcW w:w="712" w:type="pct"/>
            <w:vAlign w:val="center"/>
          </w:tcPr>
          <w:p w14:paraId="660E14F5" w14:textId="7839127B"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0,231</w:t>
            </w:r>
          </w:p>
        </w:tc>
      </w:tr>
      <w:tr w:rsidR="003C597C" w:rsidRPr="00916B3A" w14:paraId="5C568F18" w14:textId="77777777" w:rsidTr="003C597C">
        <w:tc>
          <w:tcPr>
            <w:tcW w:w="643" w:type="pct"/>
            <w:vAlign w:val="center"/>
          </w:tcPr>
          <w:p w14:paraId="386D37C5" w14:textId="77777777" w:rsidR="003C597C" w:rsidRPr="00916B3A" w:rsidRDefault="003C597C" w:rsidP="003C597C">
            <w:pPr>
              <w:rPr>
                <w:rFonts w:ascii="Times New Roman" w:hAnsi="Times New Roman" w:cs="Times New Roman"/>
                <w:bCs/>
                <w:sz w:val="24"/>
                <w:szCs w:val="24"/>
                <w:lang w:eastAsia="de-DE" w:bidi="en-US"/>
              </w:rPr>
            </w:pPr>
            <w:r w:rsidRPr="00916B3A">
              <w:rPr>
                <w:rFonts w:ascii="Times New Roman" w:hAnsi="Times New Roman" w:cs="Times New Roman"/>
                <w:bCs/>
                <w:sz w:val="24"/>
                <w:szCs w:val="24"/>
                <w:lang w:eastAsia="de-DE" w:bidi="en-US"/>
              </w:rPr>
              <w:t>VEGFB</w:t>
            </w:r>
          </w:p>
        </w:tc>
        <w:tc>
          <w:tcPr>
            <w:tcW w:w="468" w:type="pct"/>
            <w:vAlign w:val="center"/>
          </w:tcPr>
          <w:p w14:paraId="51015EAD" w14:textId="77777777"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24,20 ± 3,41</w:t>
            </w:r>
          </w:p>
        </w:tc>
        <w:tc>
          <w:tcPr>
            <w:tcW w:w="941" w:type="pct"/>
            <w:vAlign w:val="center"/>
          </w:tcPr>
          <w:p w14:paraId="3C99F215" w14:textId="77777777"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25,60 ± 2,50</w:t>
            </w:r>
          </w:p>
        </w:tc>
        <w:tc>
          <w:tcPr>
            <w:tcW w:w="482" w:type="pct"/>
            <w:vAlign w:val="center"/>
          </w:tcPr>
          <w:p w14:paraId="78E8E44B" w14:textId="77777777"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-3,18 ± 0,21</w:t>
            </w:r>
          </w:p>
        </w:tc>
        <w:tc>
          <w:tcPr>
            <w:tcW w:w="940" w:type="pct"/>
            <w:vAlign w:val="center"/>
          </w:tcPr>
          <w:p w14:paraId="198B1B31" w14:textId="77777777"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-2,71 ± 0,27</w:t>
            </w:r>
          </w:p>
        </w:tc>
        <w:tc>
          <w:tcPr>
            <w:tcW w:w="814" w:type="pct"/>
            <w:vAlign w:val="center"/>
          </w:tcPr>
          <w:p w14:paraId="089EE9B7" w14:textId="77777777"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-0,45 (-1,06; 0,18)</w:t>
            </w:r>
          </w:p>
        </w:tc>
        <w:tc>
          <w:tcPr>
            <w:tcW w:w="712" w:type="pct"/>
            <w:vAlign w:val="center"/>
          </w:tcPr>
          <w:p w14:paraId="5378CCD3" w14:textId="77777777"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0,148</w:t>
            </w:r>
          </w:p>
        </w:tc>
      </w:tr>
      <w:tr w:rsidR="003C597C" w:rsidRPr="00916B3A" w14:paraId="6470004A" w14:textId="77777777" w:rsidTr="003C597C">
        <w:tc>
          <w:tcPr>
            <w:tcW w:w="643" w:type="pct"/>
            <w:vAlign w:val="center"/>
          </w:tcPr>
          <w:p w14:paraId="1FAD38D0" w14:textId="25367CA4" w:rsidR="003C597C" w:rsidRPr="00916B3A" w:rsidRDefault="003C597C" w:rsidP="003C597C">
            <w:pPr>
              <w:rPr>
                <w:rFonts w:ascii="Times New Roman" w:hAnsi="Times New Roman" w:cs="Times New Roman"/>
                <w:bCs/>
                <w:sz w:val="24"/>
                <w:szCs w:val="24"/>
                <w:lang w:eastAsia="de-DE" w:bidi="en-US"/>
              </w:rPr>
            </w:pPr>
            <w:r w:rsidRPr="00916B3A">
              <w:rPr>
                <w:rFonts w:ascii="Times New Roman" w:hAnsi="Times New Roman" w:cs="Times New Roman"/>
                <w:bCs/>
                <w:sz w:val="24"/>
                <w:szCs w:val="24"/>
                <w:lang w:eastAsia="de-DE" w:bidi="en-US"/>
              </w:rPr>
              <w:t>CXCL1</w:t>
            </w:r>
          </w:p>
        </w:tc>
        <w:tc>
          <w:tcPr>
            <w:tcW w:w="468" w:type="pct"/>
            <w:vAlign w:val="center"/>
          </w:tcPr>
          <w:p w14:paraId="5369523D" w14:textId="365870A7"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27,84 ± 4,27</w:t>
            </w:r>
          </w:p>
        </w:tc>
        <w:tc>
          <w:tcPr>
            <w:tcW w:w="941" w:type="pct"/>
            <w:vAlign w:val="center"/>
          </w:tcPr>
          <w:p w14:paraId="0A84BD5D" w14:textId="79E67EAC"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27,76 ± 3,84</w:t>
            </w:r>
          </w:p>
        </w:tc>
        <w:tc>
          <w:tcPr>
            <w:tcW w:w="482" w:type="pct"/>
            <w:vAlign w:val="center"/>
          </w:tcPr>
          <w:p w14:paraId="21614C0A" w14:textId="1A967BAE"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-6,82 ± 0,29</w:t>
            </w:r>
          </w:p>
        </w:tc>
        <w:tc>
          <w:tcPr>
            <w:tcW w:w="940" w:type="pct"/>
            <w:vAlign w:val="center"/>
          </w:tcPr>
          <w:p w14:paraId="2CAED867" w14:textId="1A138AF8"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-4,87 ± 0,58</w:t>
            </w:r>
          </w:p>
        </w:tc>
        <w:tc>
          <w:tcPr>
            <w:tcW w:w="814" w:type="pct"/>
            <w:vAlign w:val="center"/>
          </w:tcPr>
          <w:p w14:paraId="4AB0A6CF" w14:textId="7AC70DE1"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-1,95 (-3,45; -0,60)</w:t>
            </w:r>
          </w:p>
        </w:tc>
        <w:tc>
          <w:tcPr>
            <w:tcW w:w="712" w:type="pct"/>
            <w:vAlign w:val="center"/>
          </w:tcPr>
          <w:p w14:paraId="75FC204C" w14:textId="416C5D03" w:rsidR="003C597C" w:rsidRPr="00916B3A" w:rsidRDefault="003C597C" w:rsidP="003C597C">
            <w:pPr>
              <w:jc w:val="center"/>
              <w:rPr>
                <w:rFonts w:ascii="Times New Roman" w:hAnsi="Times New Roman" w:cs="Times New Roman"/>
                <w:sz w:val="24"/>
                <w:szCs w:val="24"/>
                <w:lang w:eastAsia="de-DE" w:bidi="en-US"/>
              </w:rPr>
            </w:pPr>
            <w:r w:rsidRPr="00916B3A">
              <w:rPr>
                <w:rFonts w:ascii="Times New Roman" w:hAnsi="Times New Roman" w:cs="Times New Roman"/>
                <w:sz w:val="24"/>
                <w:szCs w:val="24"/>
                <w:lang w:eastAsia="de-DE" w:bidi="en-US"/>
              </w:rPr>
              <w:t>0,005**</w:t>
            </w:r>
          </w:p>
        </w:tc>
      </w:tr>
    </w:tbl>
    <w:p w14:paraId="48C8AC05" w14:textId="77777777" w:rsidR="00534EEF" w:rsidRPr="00916B3A" w:rsidRDefault="00534EEF" w:rsidP="000B7B11">
      <w:pPr>
        <w:spacing w:after="0" w:line="240" w:lineRule="auto"/>
        <w:rPr>
          <w:rFonts w:ascii="Times New Roman" w:hAnsi="Times New Roman"/>
          <w:sz w:val="28"/>
          <w:szCs w:val="28"/>
        </w:rPr>
      </w:pPr>
    </w:p>
    <w:p w14:paraId="1CE09A7A" w14:textId="77777777" w:rsidR="003C597C" w:rsidRPr="00916B3A" w:rsidRDefault="003C597C" w:rsidP="003C597C">
      <w:pPr>
        <w:pStyle w:val="MDPI31text"/>
        <w:spacing w:line="240" w:lineRule="auto"/>
        <w:ind w:left="0" w:firstLine="567"/>
        <w:rPr>
          <w:rFonts w:ascii="Times New Roman" w:hAnsi="Times New Roman"/>
          <w:sz w:val="28"/>
          <w:szCs w:val="28"/>
          <w:lang w:val="ru-RU"/>
        </w:rPr>
      </w:pPr>
      <w:r w:rsidRPr="00916B3A">
        <w:rPr>
          <w:rFonts w:ascii="Times New Roman" w:hAnsi="Times New Roman"/>
          <w:sz w:val="28"/>
          <w:szCs w:val="28"/>
          <w:lang w:val="ru-RU"/>
        </w:rPr>
        <w:t xml:space="preserve">Исследование показало, что экспрессия 2 из 5 генов значительно различается между исследуемыми группами. </w:t>
      </w:r>
    </w:p>
    <w:p w14:paraId="7BA926E4" w14:textId="3C1039B9" w:rsidR="00021B57" w:rsidRDefault="00534EEF" w:rsidP="00534EEF">
      <w:pPr>
        <w:spacing w:after="0" w:line="240" w:lineRule="auto"/>
        <w:ind w:firstLine="426"/>
        <w:jc w:val="both"/>
        <w:rPr>
          <w:rFonts w:ascii="Times New Roman" w:hAnsi="Times New Roman"/>
          <w:sz w:val="28"/>
          <w:szCs w:val="28"/>
        </w:rPr>
      </w:pPr>
      <w:r w:rsidRPr="00916B3A">
        <w:rPr>
          <w:rFonts w:ascii="Times New Roman" w:hAnsi="Times New Roman"/>
          <w:sz w:val="28"/>
          <w:szCs w:val="28"/>
        </w:rPr>
        <w:t xml:space="preserve">Было обнаружено, что экспрессия CXCL1 и C4BPA была значительно снижена у пациенток с RIF и тонким эндометрием по сравнению с фертильными женщинами (логарифмическое изменение </w:t>
      </w:r>
      <w:r w:rsidRPr="00916B3A">
        <w:rPr>
          <w:rFonts w:ascii="Times New Roman" w:hAnsi="Times New Roman"/>
          <w:sz w:val="28"/>
          <w:szCs w:val="28"/>
          <w:vertAlign w:val="subscript"/>
        </w:rPr>
        <w:t xml:space="preserve">в 2 </w:t>
      </w:r>
      <w:r w:rsidRPr="00916B3A">
        <w:rPr>
          <w:rFonts w:ascii="Times New Roman" w:hAnsi="Times New Roman"/>
          <w:sz w:val="28"/>
          <w:szCs w:val="28"/>
        </w:rPr>
        <w:t>раза = -1,95 и -2,09, p = 0,005 и 0,030 соответственно) (Рисунок 7).</w:t>
      </w:r>
    </w:p>
    <w:p w14:paraId="55833204" w14:textId="77777777" w:rsidR="003C597C" w:rsidRPr="00916B3A" w:rsidRDefault="003C597C" w:rsidP="00534EEF">
      <w:pPr>
        <w:spacing w:after="0" w:line="240" w:lineRule="auto"/>
        <w:ind w:firstLine="426"/>
        <w:jc w:val="both"/>
        <w:rPr>
          <w:rFonts w:ascii="Times New Roman" w:hAnsi="Times New Roman" w:cs="Times New Roman"/>
          <w:sz w:val="28"/>
          <w:szCs w:val="28"/>
          <w:lang w:eastAsia="de-DE" w:bidi="en-US"/>
        </w:rPr>
      </w:pPr>
    </w:p>
    <w:tbl>
      <w:tblPr>
        <w:tblW w:w="8982" w:type="dxa"/>
        <w:jc w:val="right"/>
        <w:tblLook w:val="0000" w:firstRow="0" w:lastRow="0" w:firstColumn="0" w:lastColumn="0" w:noHBand="0" w:noVBand="0"/>
      </w:tblPr>
      <w:tblGrid>
        <w:gridCol w:w="5106"/>
        <w:gridCol w:w="4334"/>
      </w:tblGrid>
      <w:tr w:rsidR="00021B57" w:rsidRPr="00916B3A" w14:paraId="6CA33170" w14:textId="77777777" w:rsidTr="003C597C">
        <w:trPr>
          <w:jc w:val="right"/>
        </w:trPr>
        <w:tc>
          <w:tcPr>
            <w:tcW w:w="4536" w:type="dxa"/>
            <w:shd w:val="clear" w:color="auto" w:fill="auto"/>
            <w:vAlign w:val="center"/>
          </w:tcPr>
          <w:p w14:paraId="2345F3DD" w14:textId="77777777" w:rsidR="00021B57" w:rsidRPr="00916B3A" w:rsidRDefault="00021B57" w:rsidP="000B7B11">
            <w:pPr>
              <w:pStyle w:val="MDPI52figure"/>
              <w:spacing w:before="0" w:after="0"/>
              <w:rPr>
                <w:rFonts w:ascii="Times New Roman" w:hAnsi="Times New Roman"/>
                <w:sz w:val="28"/>
                <w:szCs w:val="28"/>
              </w:rPr>
            </w:pPr>
            <w:r w:rsidRPr="00916B3A">
              <w:rPr>
                <w:rFonts w:ascii="Times New Roman" w:hAnsi="Times New Roman"/>
                <w:noProof/>
                <w:snapToGrid/>
                <w:sz w:val="28"/>
                <w:szCs w:val="28"/>
                <w:lang w:val="ru-RU" w:eastAsia="ru-RU" w:bidi="ar-SA"/>
              </w:rPr>
              <w:drawing>
                <wp:inline distT="0" distB="0" distL="0" distR="0" wp14:anchorId="6D8A863D" wp14:editId="6D2E2B81">
                  <wp:extent cx="3097415" cy="2897581"/>
                  <wp:effectExtent l="0" t="0" r="8255" b="0"/>
                  <wp:docPr id="5" name="Рисунок 5" descr="C:\Users\User\Documents\0 Работа\0 Проекты\0 Проекты текущие\09 Проект Невынашивание\Статья1new\хлам\figure1\figure1b-CXC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0 Работа\0 Проекты\0 Проекты текущие\09 Проект Невынашивание\Статья1new\хлам\figure1\figure1b-CXCL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7246" cy="2925487"/>
                          </a:xfrm>
                          <a:prstGeom prst="rect">
                            <a:avLst/>
                          </a:prstGeom>
                          <a:noFill/>
                          <a:ln>
                            <a:noFill/>
                          </a:ln>
                        </pic:spPr>
                      </pic:pic>
                    </a:graphicData>
                  </a:graphic>
                </wp:inline>
              </w:drawing>
            </w:r>
          </w:p>
        </w:tc>
        <w:tc>
          <w:tcPr>
            <w:tcW w:w="4446" w:type="dxa"/>
          </w:tcPr>
          <w:p w14:paraId="4DA922A7" w14:textId="77777777" w:rsidR="00021B57" w:rsidRPr="00916B3A" w:rsidRDefault="00021B57" w:rsidP="000B7B11">
            <w:pPr>
              <w:pStyle w:val="MDPI52figure"/>
              <w:spacing w:before="0" w:after="0"/>
              <w:rPr>
                <w:rFonts w:ascii="Times New Roman" w:hAnsi="Times New Roman"/>
                <w:sz w:val="28"/>
                <w:szCs w:val="28"/>
              </w:rPr>
            </w:pPr>
            <w:r w:rsidRPr="00916B3A">
              <w:rPr>
                <w:rFonts w:ascii="Times New Roman" w:hAnsi="Times New Roman"/>
                <w:noProof/>
                <w:snapToGrid/>
                <w:sz w:val="28"/>
                <w:szCs w:val="28"/>
                <w:lang w:val="ru-RU" w:eastAsia="ru-RU" w:bidi="ar-SA"/>
              </w:rPr>
              <w:drawing>
                <wp:inline distT="0" distB="0" distL="0" distR="0" wp14:anchorId="7AB67C65" wp14:editId="132E1A9C">
                  <wp:extent cx="2615441" cy="3056357"/>
                  <wp:effectExtent l="0" t="0" r="0" b="0"/>
                  <wp:docPr id="2" name="Рисунок 2" descr="C:\Users\User\Documents\0 Работа\0 Проекты\0 Проекты текущие\09 Проект Невынашивание\Статья1new\хлам\figure1\figure1a-C4B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0 Работа\0 Проекты\0 Проекты текущие\09 Проект Невынашивание\Статья1new\хлам\figure1\figure1a-C4BP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200" cy="3081784"/>
                          </a:xfrm>
                          <a:prstGeom prst="rect">
                            <a:avLst/>
                          </a:prstGeom>
                          <a:noFill/>
                          <a:ln>
                            <a:noFill/>
                          </a:ln>
                        </pic:spPr>
                      </pic:pic>
                    </a:graphicData>
                  </a:graphic>
                </wp:inline>
              </w:drawing>
            </w:r>
          </w:p>
        </w:tc>
      </w:tr>
      <w:tr w:rsidR="00021B57" w:rsidRPr="00916B3A" w14:paraId="3D29E77A" w14:textId="77777777" w:rsidTr="003C597C">
        <w:trPr>
          <w:jc w:val="right"/>
        </w:trPr>
        <w:tc>
          <w:tcPr>
            <w:tcW w:w="4536" w:type="dxa"/>
            <w:shd w:val="clear" w:color="auto" w:fill="auto"/>
            <w:vAlign w:val="center"/>
          </w:tcPr>
          <w:p w14:paraId="4BAC8E8C" w14:textId="009C26AE"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 xml:space="preserve"> </w:t>
            </w:r>
            <w:r w:rsidRPr="003C597C">
              <w:rPr>
                <w:rFonts w:ascii="Times New Roman" w:hAnsi="Times New Roman"/>
                <w:bCs/>
                <w:sz w:val="28"/>
                <w:szCs w:val="28"/>
              </w:rPr>
              <w:t>а</w:t>
            </w:r>
            <w:r w:rsidRPr="00916B3A">
              <w:rPr>
                <w:rFonts w:ascii="Times New Roman" w:hAnsi="Times New Roman"/>
                <w:sz w:val="28"/>
                <w:szCs w:val="28"/>
              </w:rPr>
              <w:t>)</w:t>
            </w:r>
          </w:p>
        </w:tc>
        <w:tc>
          <w:tcPr>
            <w:tcW w:w="4446" w:type="dxa"/>
          </w:tcPr>
          <w:p w14:paraId="4F9ED6D1" w14:textId="77777777" w:rsidR="00021B57" w:rsidRDefault="00021B57" w:rsidP="000B7B11">
            <w:pPr>
              <w:pStyle w:val="MDPI42tablebody"/>
              <w:spacing w:line="240" w:lineRule="auto"/>
              <w:rPr>
                <w:rFonts w:ascii="Times New Roman" w:hAnsi="Times New Roman"/>
                <w:sz w:val="28"/>
                <w:szCs w:val="28"/>
              </w:rPr>
            </w:pPr>
            <w:r w:rsidRPr="003C597C">
              <w:rPr>
                <w:rFonts w:ascii="Times New Roman" w:hAnsi="Times New Roman"/>
                <w:bCs/>
                <w:sz w:val="28"/>
                <w:szCs w:val="28"/>
              </w:rPr>
              <w:t>б</w:t>
            </w:r>
            <w:r w:rsidRPr="00916B3A">
              <w:rPr>
                <w:rFonts w:ascii="Times New Roman" w:hAnsi="Times New Roman"/>
                <w:sz w:val="28"/>
                <w:szCs w:val="28"/>
              </w:rPr>
              <w:t>)</w:t>
            </w:r>
          </w:p>
          <w:p w14:paraId="35E56A40" w14:textId="57E6E2FD" w:rsidR="003C597C" w:rsidRPr="00916B3A" w:rsidRDefault="003C597C" w:rsidP="000B7B11">
            <w:pPr>
              <w:pStyle w:val="MDPI42tablebody"/>
              <w:spacing w:line="240" w:lineRule="auto"/>
              <w:rPr>
                <w:rFonts w:ascii="Times New Roman" w:hAnsi="Times New Roman"/>
                <w:sz w:val="28"/>
                <w:szCs w:val="28"/>
              </w:rPr>
            </w:pPr>
          </w:p>
        </w:tc>
      </w:tr>
    </w:tbl>
    <w:p w14:paraId="2453C097" w14:textId="77777777" w:rsidR="003C597C" w:rsidRDefault="003C597C" w:rsidP="003C597C">
      <w:pPr>
        <w:pStyle w:val="MDPI51figurecaption"/>
        <w:spacing w:before="0" w:after="0" w:line="240" w:lineRule="auto"/>
        <w:ind w:left="0"/>
        <w:rPr>
          <w:rFonts w:ascii="Times New Roman" w:hAnsi="Times New Roman"/>
          <w:sz w:val="28"/>
          <w:szCs w:val="28"/>
        </w:rPr>
      </w:pPr>
    </w:p>
    <w:p w14:paraId="021A90C7" w14:textId="5488EF5E" w:rsidR="003C597C" w:rsidRPr="003C597C" w:rsidRDefault="003C597C" w:rsidP="003C597C">
      <w:pPr>
        <w:pStyle w:val="MDPI51figurecaption"/>
        <w:spacing w:before="0" w:after="0" w:line="240" w:lineRule="auto"/>
        <w:ind w:left="0"/>
        <w:rPr>
          <w:rFonts w:ascii="Times New Roman" w:hAnsi="Times New Roman"/>
          <w:sz w:val="28"/>
          <w:szCs w:val="28"/>
        </w:rPr>
      </w:pPr>
      <w:r w:rsidRPr="00916B3A">
        <w:rPr>
          <w:rFonts w:ascii="Times New Roman" w:hAnsi="Times New Roman"/>
          <w:sz w:val="28"/>
          <w:szCs w:val="28"/>
        </w:rPr>
        <w:t>a</w:t>
      </w:r>
      <w:r w:rsidRPr="003C597C">
        <w:rPr>
          <w:rFonts w:ascii="Times New Roman" w:hAnsi="Times New Roman"/>
          <w:sz w:val="28"/>
          <w:szCs w:val="28"/>
        </w:rPr>
        <w:t xml:space="preserve">) </w:t>
      </w:r>
      <w:r w:rsidRPr="00916B3A">
        <w:rPr>
          <w:rFonts w:ascii="Times New Roman" w:hAnsi="Times New Roman"/>
          <w:sz w:val="28"/>
          <w:szCs w:val="28"/>
          <w:lang w:val="ru-RU"/>
        </w:rPr>
        <w:t>ген</w:t>
      </w:r>
      <w:r w:rsidRPr="003C597C">
        <w:rPr>
          <w:rFonts w:ascii="Times New Roman" w:hAnsi="Times New Roman"/>
          <w:sz w:val="28"/>
          <w:szCs w:val="28"/>
        </w:rPr>
        <w:t xml:space="preserve"> </w:t>
      </w:r>
      <w:r w:rsidRPr="00916B3A">
        <w:rPr>
          <w:rFonts w:ascii="Times New Roman" w:hAnsi="Times New Roman"/>
          <w:sz w:val="28"/>
          <w:szCs w:val="28"/>
        </w:rPr>
        <w:t>CXCL</w:t>
      </w:r>
      <w:r w:rsidRPr="003C597C">
        <w:rPr>
          <w:rFonts w:ascii="Times New Roman" w:hAnsi="Times New Roman"/>
          <w:sz w:val="28"/>
          <w:szCs w:val="28"/>
        </w:rPr>
        <w:t xml:space="preserve">1; </w:t>
      </w:r>
      <w:r w:rsidRPr="00916B3A">
        <w:rPr>
          <w:rFonts w:ascii="Times New Roman" w:hAnsi="Times New Roman"/>
          <w:sz w:val="28"/>
          <w:szCs w:val="28"/>
        </w:rPr>
        <w:t>b</w:t>
      </w:r>
      <w:r w:rsidRPr="003C597C">
        <w:rPr>
          <w:rFonts w:ascii="Times New Roman" w:hAnsi="Times New Roman"/>
          <w:sz w:val="28"/>
          <w:szCs w:val="28"/>
        </w:rPr>
        <w:t xml:space="preserve">) </w:t>
      </w:r>
      <w:r w:rsidRPr="00916B3A">
        <w:rPr>
          <w:rFonts w:ascii="Times New Roman" w:hAnsi="Times New Roman"/>
          <w:sz w:val="28"/>
          <w:szCs w:val="28"/>
          <w:lang w:val="ru-RU"/>
        </w:rPr>
        <w:t>ген</w:t>
      </w:r>
      <w:r w:rsidRPr="003C597C">
        <w:rPr>
          <w:rFonts w:ascii="Times New Roman" w:hAnsi="Times New Roman"/>
          <w:sz w:val="28"/>
          <w:szCs w:val="28"/>
        </w:rPr>
        <w:t xml:space="preserve"> </w:t>
      </w:r>
      <w:r w:rsidRPr="00916B3A">
        <w:rPr>
          <w:rFonts w:ascii="Times New Roman" w:hAnsi="Times New Roman"/>
          <w:sz w:val="28"/>
          <w:szCs w:val="28"/>
        </w:rPr>
        <w:t>C</w:t>
      </w:r>
      <w:r w:rsidRPr="003C597C">
        <w:rPr>
          <w:rFonts w:ascii="Times New Roman" w:hAnsi="Times New Roman"/>
          <w:sz w:val="28"/>
          <w:szCs w:val="28"/>
        </w:rPr>
        <w:t>4</w:t>
      </w:r>
      <w:r w:rsidRPr="00916B3A">
        <w:rPr>
          <w:rFonts w:ascii="Times New Roman" w:hAnsi="Times New Roman"/>
          <w:sz w:val="28"/>
          <w:szCs w:val="28"/>
        </w:rPr>
        <w:t>BPA</w:t>
      </w:r>
      <w:r w:rsidRPr="003C597C">
        <w:rPr>
          <w:rFonts w:ascii="Times New Roman" w:hAnsi="Times New Roman"/>
          <w:sz w:val="28"/>
          <w:szCs w:val="28"/>
        </w:rPr>
        <w:t>.</w:t>
      </w:r>
    </w:p>
    <w:p w14:paraId="6C1C09F8" w14:textId="77777777" w:rsidR="003C597C" w:rsidRDefault="003C597C" w:rsidP="000B7B11">
      <w:pPr>
        <w:pStyle w:val="MDPI51figurecaption"/>
        <w:spacing w:before="0" w:after="0" w:line="240" w:lineRule="auto"/>
        <w:ind w:left="0"/>
        <w:jc w:val="center"/>
        <w:rPr>
          <w:rFonts w:ascii="Times New Roman" w:hAnsi="Times New Roman"/>
          <w:sz w:val="28"/>
          <w:szCs w:val="28"/>
        </w:rPr>
      </w:pPr>
    </w:p>
    <w:p w14:paraId="0BA1FF14" w14:textId="36F10DEA" w:rsidR="00021B57" w:rsidRPr="00916B3A" w:rsidRDefault="00DB05A1" w:rsidP="000B7B11">
      <w:pPr>
        <w:pStyle w:val="MDPI51figurecaption"/>
        <w:spacing w:before="0" w:after="0" w:line="240" w:lineRule="auto"/>
        <w:ind w:left="0"/>
        <w:jc w:val="center"/>
        <w:rPr>
          <w:rFonts w:ascii="Times New Roman" w:hAnsi="Times New Roman"/>
          <w:sz w:val="28"/>
          <w:szCs w:val="28"/>
          <w:lang w:val="ru-RU"/>
        </w:rPr>
      </w:pPr>
      <w:r w:rsidRPr="00916B3A">
        <w:rPr>
          <w:rFonts w:ascii="Times New Roman" w:hAnsi="Times New Roman"/>
          <w:sz w:val="28"/>
          <w:szCs w:val="28"/>
          <w:lang w:val="ru-RU"/>
        </w:rPr>
        <w:t>Рисунок 7</w:t>
      </w:r>
      <w:r w:rsidR="003C597C">
        <w:rPr>
          <w:rFonts w:ascii="Times New Roman" w:hAnsi="Times New Roman"/>
          <w:sz w:val="28"/>
          <w:szCs w:val="28"/>
          <w:lang w:val="ru-RU"/>
        </w:rPr>
        <w:t>-</w:t>
      </w:r>
      <w:r w:rsidR="00021B57" w:rsidRPr="00916B3A">
        <w:rPr>
          <w:rFonts w:ascii="Times New Roman" w:hAnsi="Times New Roman"/>
          <w:sz w:val="28"/>
          <w:szCs w:val="28"/>
          <w:lang w:val="ru-RU"/>
        </w:rPr>
        <w:t xml:space="preserve"> Различия в уровнях экспрессии генов ( </w:t>
      </w:r>
      <w:r w:rsidR="00021B57" w:rsidRPr="00916B3A">
        <w:rPr>
          <w:rFonts w:ascii="Times New Roman" w:hAnsi="Times New Roman"/>
          <w:sz w:val="28"/>
          <w:szCs w:val="28"/>
        </w:rPr>
        <w:sym w:font="Symbol" w:char="F044"/>
      </w:r>
      <w:r w:rsidR="00021B57" w:rsidRPr="00916B3A">
        <w:rPr>
          <w:rFonts w:ascii="Times New Roman" w:hAnsi="Times New Roman"/>
          <w:sz w:val="28"/>
          <w:szCs w:val="28"/>
          <w:lang w:val="ru-RU"/>
        </w:rPr>
        <w:t xml:space="preserve">значения </w:t>
      </w:r>
      <w:r w:rsidR="00021B57" w:rsidRPr="00916B3A">
        <w:rPr>
          <w:rFonts w:ascii="Times New Roman" w:hAnsi="Times New Roman"/>
          <w:sz w:val="28"/>
          <w:szCs w:val="28"/>
        </w:rPr>
        <w:t>Ct</w:t>
      </w:r>
      <w:r w:rsidR="00021B57" w:rsidRPr="00916B3A">
        <w:rPr>
          <w:rFonts w:ascii="Times New Roman" w:hAnsi="Times New Roman"/>
          <w:sz w:val="28"/>
          <w:szCs w:val="28"/>
          <w:lang w:val="ru-RU"/>
        </w:rPr>
        <w:t>) в ткани эндометрия между пациентками с РИФ и фертильными женщинами</w:t>
      </w:r>
    </w:p>
    <w:p w14:paraId="2F6D181E" w14:textId="77777777" w:rsidR="00342832" w:rsidRPr="00916B3A" w:rsidRDefault="00342832" w:rsidP="000B7B11">
      <w:pPr>
        <w:pStyle w:val="MDPI51figurecaption"/>
        <w:spacing w:before="0" w:after="0" w:line="240" w:lineRule="auto"/>
        <w:ind w:left="0"/>
        <w:jc w:val="center"/>
        <w:rPr>
          <w:rFonts w:ascii="Times New Roman" w:hAnsi="Times New Roman"/>
          <w:sz w:val="28"/>
          <w:szCs w:val="28"/>
          <w:lang w:val="ru-RU"/>
        </w:rPr>
      </w:pPr>
    </w:p>
    <w:p w14:paraId="60C347E1" w14:textId="15CF39AB" w:rsidR="00021B57" w:rsidRPr="00916B3A" w:rsidRDefault="00021B57" w:rsidP="000B7B11">
      <w:pPr>
        <w:pStyle w:val="MDPI31text"/>
        <w:spacing w:line="240" w:lineRule="auto"/>
        <w:ind w:left="0" w:firstLine="567"/>
        <w:rPr>
          <w:rFonts w:ascii="Times New Roman" w:hAnsi="Times New Roman"/>
          <w:sz w:val="28"/>
          <w:szCs w:val="28"/>
          <w:lang w:val="ru-RU"/>
        </w:rPr>
      </w:pPr>
      <w:r w:rsidRPr="00916B3A">
        <w:rPr>
          <w:rFonts w:ascii="Times New Roman" w:hAnsi="Times New Roman"/>
          <w:sz w:val="28"/>
          <w:szCs w:val="28"/>
          <w:lang w:val="ru-RU"/>
        </w:rPr>
        <w:t xml:space="preserve">Однако после корректировки для множественных сравнений только разница в экспрессии </w:t>
      </w:r>
      <w:r w:rsidRPr="00916B3A">
        <w:rPr>
          <w:rFonts w:ascii="Times New Roman" w:hAnsi="Times New Roman"/>
          <w:sz w:val="28"/>
          <w:szCs w:val="28"/>
        </w:rPr>
        <w:t>CXCL</w:t>
      </w:r>
      <w:r w:rsidRPr="00916B3A">
        <w:rPr>
          <w:rFonts w:ascii="Times New Roman" w:hAnsi="Times New Roman"/>
          <w:sz w:val="28"/>
          <w:szCs w:val="28"/>
          <w:lang w:val="ru-RU"/>
        </w:rPr>
        <w:t>1 осталась значительной (</w:t>
      </w:r>
      <w:r w:rsidRPr="00916B3A">
        <w:rPr>
          <w:rFonts w:ascii="Times New Roman" w:hAnsi="Times New Roman"/>
          <w:sz w:val="28"/>
          <w:szCs w:val="28"/>
        </w:rPr>
        <w:t>pFDR</w:t>
      </w:r>
      <w:r w:rsidRPr="00916B3A">
        <w:rPr>
          <w:rFonts w:ascii="Times New Roman" w:hAnsi="Times New Roman"/>
          <w:sz w:val="28"/>
          <w:szCs w:val="28"/>
          <w:lang w:val="ru-RU"/>
        </w:rPr>
        <w:t xml:space="preserve"> = 0,050 и 0,150 соответственно). Не было значительных различий в экспрессии генов </w:t>
      </w:r>
      <w:r w:rsidRPr="00916B3A">
        <w:rPr>
          <w:rFonts w:ascii="Times New Roman" w:hAnsi="Times New Roman"/>
          <w:sz w:val="28"/>
          <w:szCs w:val="28"/>
        </w:rPr>
        <w:t>VEGFB</w:t>
      </w:r>
      <w:r w:rsidRPr="00916B3A">
        <w:rPr>
          <w:rFonts w:ascii="Times New Roman" w:hAnsi="Times New Roman"/>
          <w:sz w:val="28"/>
          <w:szCs w:val="28"/>
          <w:lang w:val="ru-RU"/>
        </w:rPr>
        <w:t xml:space="preserve">, </w:t>
      </w:r>
      <w:r w:rsidRPr="00916B3A">
        <w:rPr>
          <w:rFonts w:ascii="Times New Roman" w:hAnsi="Times New Roman"/>
          <w:sz w:val="28"/>
          <w:szCs w:val="28"/>
        </w:rPr>
        <w:t>HAND</w:t>
      </w:r>
      <w:r w:rsidRPr="00916B3A">
        <w:rPr>
          <w:rFonts w:ascii="Times New Roman" w:hAnsi="Times New Roman"/>
          <w:sz w:val="28"/>
          <w:szCs w:val="28"/>
          <w:lang w:val="ru-RU"/>
        </w:rPr>
        <w:t>2</w:t>
      </w:r>
      <w:r w:rsidR="004279BA" w:rsidRPr="00916B3A">
        <w:rPr>
          <w:rFonts w:ascii="Times New Roman" w:hAnsi="Times New Roman"/>
          <w:sz w:val="28"/>
          <w:szCs w:val="28"/>
          <w:lang w:val="ru-RU"/>
        </w:rPr>
        <w:t xml:space="preserve"> и </w:t>
      </w:r>
      <w:r w:rsidRPr="00916B3A">
        <w:rPr>
          <w:rFonts w:ascii="Times New Roman" w:hAnsi="Times New Roman"/>
          <w:sz w:val="28"/>
          <w:szCs w:val="28"/>
        </w:rPr>
        <w:t>IL</w:t>
      </w:r>
      <w:r w:rsidRPr="00916B3A">
        <w:rPr>
          <w:rFonts w:ascii="Times New Roman" w:hAnsi="Times New Roman"/>
          <w:sz w:val="28"/>
          <w:szCs w:val="28"/>
          <w:lang w:val="ru-RU"/>
        </w:rPr>
        <w:t>15 между группами.</w:t>
      </w:r>
    </w:p>
    <w:p w14:paraId="3EA9639F" w14:textId="575F521F" w:rsidR="00021B57" w:rsidRPr="00916B3A" w:rsidRDefault="00021B57" w:rsidP="000B7B11">
      <w:pPr>
        <w:pStyle w:val="MDPI31text"/>
        <w:spacing w:line="240" w:lineRule="auto"/>
        <w:ind w:left="0" w:firstLine="426"/>
        <w:rPr>
          <w:rFonts w:ascii="Times New Roman" w:hAnsi="Times New Roman"/>
          <w:i/>
          <w:sz w:val="28"/>
          <w:szCs w:val="28"/>
          <w:lang w:val="ru-RU"/>
        </w:rPr>
      </w:pPr>
      <w:r w:rsidRPr="00916B3A">
        <w:rPr>
          <w:rFonts w:ascii="Times New Roman" w:hAnsi="Times New Roman"/>
          <w:i/>
          <w:sz w:val="28"/>
          <w:szCs w:val="28"/>
          <w:lang w:val="ru-RU"/>
        </w:rPr>
        <w:t>Ассоциации с клиническими и лабораторными характеристиками</w:t>
      </w:r>
    </w:p>
    <w:p w14:paraId="035F9F49" w14:textId="79BFBE0D" w:rsidR="00021B57" w:rsidRPr="00916B3A" w:rsidRDefault="00021B57" w:rsidP="000B7B11">
      <w:pPr>
        <w:pStyle w:val="MDPI31text"/>
        <w:spacing w:line="240" w:lineRule="auto"/>
        <w:ind w:left="0" w:firstLine="426"/>
        <w:rPr>
          <w:rFonts w:ascii="Times New Roman" w:hAnsi="Times New Roman"/>
          <w:sz w:val="28"/>
          <w:szCs w:val="28"/>
          <w:lang w:val="ru-RU"/>
        </w:rPr>
      </w:pPr>
      <w:r w:rsidRPr="00916B3A">
        <w:rPr>
          <w:rFonts w:ascii="Times New Roman" w:hAnsi="Times New Roman"/>
          <w:sz w:val="28"/>
          <w:szCs w:val="28"/>
          <w:lang w:val="ru-RU"/>
        </w:rPr>
        <w:t xml:space="preserve">Далее мы проанализировали различия в экспрессии генов среди групп с различными клиническими характеристиками. Среди фертильных женщин экспрессия </w:t>
      </w:r>
      <w:r w:rsidRPr="00916B3A">
        <w:rPr>
          <w:rFonts w:ascii="Times New Roman" w:hAnsi="Times New Roman"/>
          <w:sz w:val="28"/>
          <w:szCs w:val="28"/>
        </w:rPr>
        <w:t>C</w:t>
      </w:r>
      <w:r w:rsidRPr="00916B3A">
        <w:rPr>
          <w:rFonts w:ascii="Times New Roman" w:hAnsi="Times New Roman"/>
          <w:sz w:val="28"/>
          <w:szCs w:val="28"/>
          <w:lang w:val="ru-RU"/>
        </w:rPr>
        <w:t>4</w:t>
      </w:r>
      <w:r w:rsidRPr="00916B3A">
        <w:rPr>
          <w:rFonts w:ascii="Times New Roman" w:hAnsi="Times New Roman"/>
          <w:sz w:val="28"/>
          <w:szCs w:val="28"/>
        </w:rPr>
        <w:t>BPA</w:t>
      </w:r>
      <w:r w:rsidRPr="00916B3A">
        <w:rPr>
          <w:rFonts w:ascii="Times New Roman" w:hAnsi="Times New Roman"/>
          <w:sz w:val="28"/>
          <w:szCs w:val="28"/>
          <w:lang w:val="ru-RU"/>
        </w:rPr>
        <w:t xml:space="preserve"> была значительно повышена</w:t>
      </w:r>
      <w:r w:rsidR="004279BA" w:rsidRPr="00916B3A">
        <w:rPr>
          <w:rFonts w:ascii="Times New Roman" w:hAnsi="Times New Roman"/>
          <w:sz w:val="28"/>
          <w:szCs w:val="28"/>
          <w:lang w:val="ru-RU"/>
        </w:rPr>
        <w:t xml:space="preserve"> </w:t>
      </w:r>
      <w:r w:rsidRPr="00916B3A">
        <w:rPr>
          <w:rFonts w:ascii="Times New Roman" w:hAnsi="Times New Roman"/>
          <w:sz w:val="28"/>
          <w:szCs w:val="28"/>
          <w:lang w:val="ru-RU"/>
        </w:rPr>
        <w:t>(</w:t>
      </w:r>
      <w:r w:rsidRPr="00916B3A">
        <w:rPr>
          <w:rFonts w:ascii="Times New Roman" w:hAnsi="Times New Roman"/>
          <w:sz w:val="28"/>
          <w:szCs w:val="28"/>
        </w:rPr>
        <w:t>p</w:t>
      </w:r>
      <w:r w:rsidRPr="00916B3A">
        <w:rPr>
          <w:rFonts w:ascii="Times New Roman" w:hAnsi="Times New Roman"/>
          <w:sz w:val="28"/>
          <w:szCs w:val="28"/>
          <w:lang w:val="ru-RU"/>
        </w:rPr>
        <w:t xml:space="preserve">=0,020). Среди женщин с </w:t>
      </w:r>
      <w:r w:rsidRPr="00916B3A">
        <w:rPr>
          <w:rFonts w:ascii="Times New Roman" w:hAnsi="Times New Roman"/>
          <w:sz w:val="28"/>
          <w:szCs w:val="28"/>
        </w:rPr>
        <w:t>RIF</w:t>
      </w:r>
      <w:r w:rsidRPr="00916B3A">
        <w:rPr>
          <w:rFonts w:ascii="Times New Roman" w:hAnsi="Times New Roman"/>
          <w:sz w:val="28"/>
          <w:szCs w:val="28"/>
          <w:lang w:val="ru-RU"/>
        </w:rPr>
        <w:t xml:space="preserve"> не было выявлено существенных различий в уровнях экспрессии генов между пациентками с эндометриозом и без него.</w:t>
      </w:r>
    </w:p>
    <w:p w14:paraId="7867E49A" w14:textId="1FB1D7F7" w:rsidR="000943E4" w:rsidRPr="00916B3A" w:rsidRDefault="00021B57" w:rsidP="000B7B11">
      <w:pPr>
        <w:pStyle w:val="MDPI31text"/>
        <w:spacing w:line="240" w:lineRule="auto"/>
        <w:ind w:left="0" w:firstLine="426"/>
        <w:rPr>
          <w:rFonts w:ascii="Times New Roman" w:hAnsi="Times New Roman"/>
          <w:color w:val="2E74B5" w:themeColor="accent5" w:themeShade="BF"/>
          <w:sz w:val="28"/>
          <w:szCs w:val="28"/>
          <w:lang w:val="ru-RU"/>
        </w:rPr>
      </w:pPr>
      <w:r w:rsidRPr="00916B3A">
        <w:rPr>
          <w:rFonts w:ascii="Times New Roman" w:hAnsi="Times New Roman"/>
          <w:sz w:val="28"/>
          <w:szCs w:val="28"/>
          <w:lang w:val="ru-RU"/>
        </w:rPr>
        <w:t xml:space="preserve">Метод ранговой корреляции Спирмена использовался для изучения взаимосвязи между экспрессией изучаемых генов и количественными лабораторными характеристиками в двух группах. Корреляции представлены в таблице </w:t>
      </w:r>
      <w:r w:rsidR="00534EEF" w:rsidRPr="00916B3A">
        <w:rPr>
          <w:rFonts w:ascii="Times New Roman" w:hAnsi="Times New Roman"/>
          <w:color w:val="auto"/>
          <w:sz w:val="28"/>
          <w:szCs w:val="28"/>
          <w:lang w:val="ru-RU"/>
        </w:rPr>
        <w:t>15</w:t>
      </w:r>
      <w:r w:rsidRPr="00916B3A">
        <w:rPr>
          <w:rFonts w:ascii="Times New Roman" w:hAnsi="Times New Roman"/>
          <w:color w:val="2E74B5" w:themeColor="accent5" w:themeShade="BF"/>
          <w:sz w:val="28"/>
          <w:szCs w:val="28"/>
          <w:lang w:val="ru-RU"/>
        </w:rPr>
        <w:t xml:space="preserve">. </w:t>
      </w:r>
    </w:p>
    <w:p w14:paraId="4A18EBEB" w14:textId="77777777" w:rsidR="00342832" w:rsidRPr="00916B3A" w:rsidRDefault="00342832" w:rsidP="000B7B11">
      <w:pPr>
        <w:pStyle w:val="MDPI51figurecaption"/>
        <w:spacing w:before="0" w:after="0" w:line="240" w:lineRule="auto"/>
        <w:ind w:left="0"/>
        <w:jc w:val="left"/>
        <w:rPr>
          <w:rFonts w:ascii="Times New Roman" w:hAnsi="Times New Roman"/>
          <w:bCs/>
          <w:sz w:val="28"/>
          <w:szCs w:val="28"/>
          <w:lang w:val="ru-RU"/>
        </w:rPr>
      </w:pPr>
    </w:p>
    <w:p w14:paraId="53D11D8D" w14:textId="1CC59493" w:rsidR="00021B57" w:rsidRPr="00916B3A" w:rsidRDefault="00DB05A1" w:rsidP="002635DA">
      <w:pPr>
        <w:pStyle w:val="MDPI51figurecaption"/>
        <w:spacing w:before="0" w:after="0" w:line="240" w:lineRule="auto"/>
        <w:ind w:left="0"/>
        <w:rPr>
          <w:rFonts w:ascii="Times New Roman" w:hAnsi="Times New Roman"/>
          <w:bCs/>
          <w:sz w:val="28"/>
          <w:szCs w:val="28"/>
          <w:lang w:val="ru-RU"/>
        </w:rPr>
      </w:pPr>
      <w:r w:rsidRPr="00916B3A">
        <w:rPr>
          <w:rFonts w:ascii="Times New Roman" w:hAnsi="Times New Roman"/>
          <w:bCs/>
          <w:sz w:val="28"/>
          <w:szCs w:val="28"/>
          <w:lang w:val="ru-RU"/>
        </w:rPr>
        <w:t>Таблица 15</w:t>
      </w:r>
      <w:r w:rsidR="00021B57" w:rsidRPr="00916B3A">
        <w:rPr>
          <w:rFonts w:ascii="Times New Roman" w:hAnsi="Times New Roman"/>
          <w:bCs/>
          <w:sz w:val="28"/>
          <w:szCs w:val="28"/>
          <w:lang w:val="ru-RU"/>
        </w:rPr>
        <w:t xml:space="preserve"> – Выявленные корреляции между уровнями экспрессии генов и клиническими и лабораторными параметрами</w:t>
      </w:r>
    </w:p>
    <w:p w14:paraId="3161E5CB" w14:textId="77777777" w:rsidR="00342832" w:rsidRPr="00916B3A" w:rsidRDefault="00342832" w:rsidP="000B7B11">
      <w:pPr>
        <w:pStyle w:val="MDPI51figurecaption"/>
        <w:spacing w:before="0" w:after="0" w:line="240" w:lineRule="auto"/>
        <w:ind w:left="0"/>
        <w:jc w:val="left"/>
        <w:rPr>
          <w:rFonts w:ascii="Times New Roman" w:hAnsi="Times New Roman"/>
          <w:bCs/>
          <w:sz w:val="28"/>
          <w:szCs w:val="28"/>
          <w:lang w:val="ru-RU"/>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4"/>
        <w:gridCol w:w="1701"/>
        <w:gridCol w:w="2268"/>
        <w:gridCol w:w="1701"/>
        <w:gridCol w:w="1559"/>
      </w:tblGrid>
      <w:tr w:rsidR="00021B57" w:rsidRPr="00916B3A" w14:paraId="5DD97DA1" w14:textId="77777777" w:rsidTr="003C597C">
        <w:trPr>
          <w:jc w:val="center"/>
        </w:trPr>
        <w:tc>
          <w:tcPr>
            <w:tcW w:w="2274" w:type="dxa"/>
            <w:shd w:val="clear" w:color="auto" w:fill="auto"/>
            <w:vAlign w:val="center"/>
          </w:tcPr>
          <w:p w14:paraId="52619C44" w14:textId="77777777" w:rsidR="00021B57" w:rsidRDefault="00021B57" w:rsidP="000B7B11">
            <w:pPr>
              <w:pStyle w:val="MDPI42tablebody"/>
              <w:spacing w:line="240" w:lineRule="auto"/>
              <w:rPr>
                <w:rFonts w:ascii="Times New Roman" w:hAnsi="Times New Roman"/>
                <w:bCs/>
                <w:snapToGrid/>
                <w:sz w:val="28"/>
                <w:szCs w:val="28"/>
              </w:rPr>
            </w:pPr>
            <w:r w:rsidRPr="00916B3A">
              <w:rPr>
                <w:rFonts w:ascii="Times New Roman" w:hAnsi="Times New Roman"/>
                <w:bCs/>
                <w:snapToGrid/>
                <w:sz w:val="28"/>
                <w:szCs w:val="28"/>
              </w:rPr>
              <w:t>Группа</w:t>
            </w:r>
          </w:p>
          <w:p w14:paraId="18678437" w14:textId="6ABF926F" w:rsidR="003C597C" w:rsidRPr="00916B3A" w:rsidRDefault="003C597C" w:rsidP="000B7B11">
            <w:pPr>
              <w:pStyle w:val="MDPI42tablebody"/>
              <w:spacing w:line="240" w:lineRule="auto"/>
              <w:rPr>
                <w:rFonts w:ascii="Times New Roman" w:hAnsi="Times New Roman"/>
                <w:bCs/>
                <w:sz w:val="28"/>
                <w:szCs w:val="28"/>
              </w:rPr>
            </w:pPr>
          </w:p>
        </w:tc>
        <w:tc>
          <w:tcPr>
            <w:tcW w:w="1701" w:type="dxa"/>
            <w:shd w:val="clear" w:color="auto" w:fill="auto"/>
            <w:vAlign w:val="center"/>
          </w:tcPr>
          <w:p w14:paraId="5647EB3A" w14:textId="77777777" w:rsidR="00021B57" w:rsidRPr="00916B3A" w:rsidRDefault="00021B57" w:rsidP="000B7B11">
            <w:pPr>
              <w:pStyle w:val="MDPI42tablebody"/>
              <w:spacing w:line="240" w:lineRule="auto"/>
              <w:rPr>
                <w:rFonts w:ascii="Times New Roman" w:hAnsi="Times New Roman"/>
                <w:bCs/>
                <w:sz w:val="28"/>
                <w:szCs w:val="28"/>
              </w:rPr>
            </w:pPr>
            <w:r w:rsidRPr="00916B3A">
              <w:rPr>
                <w:rFonts w:ascii="Times New Roman" w:hAnsi="Times New Roman"/>
                <w:bCs/>
                <w:snapToGrid/>
                <w:sz w:val="28"/>
                <w:szCs w:val="28"/>
              </w:rPr>
              <w:t>Параметр 1</w:t>
            </w:r>
          </w:p>
        </w:tc>
        <w:tc>
          <w:tcPr>
            <w:tcW w:w="2268" w:type="dxa"/>
            <w:shd w:val="clear" w:color="auto" w:fill="auto"/>
            <w:vAlign w:val="center"/>
            <w:hideMark/>
          </w:tcPr>
          <w:p w14:paraId="2017E138" w14:textId="77777777" w:rsidR="00021B57" w:rsidRPr="00916B3A" w:rsidRDefault="00021B57" w:rsidP="000B7B11">
            <w:pPr>
              <w:pStyle w:val="MDPI42tablebody"/>
              <w:spacing w:line="240" w:lineRule="auto"/>
              <w:rPr>
                <w:rFonts w:ascii="Times New Roman" w:hAnsi="Times New Roman"/>
                <w:bCs/>
                <w:sz w:val="28"/>
                <w:szCs w:val="28"/>
              </w:rPr>
            </w:pPr>
            <w:r w:rsidRPr="00916B3A">
              <w:rPr>
                <w:rFonts w:ascii="Times New Roman" w:hAnsi="Times New Roman"/>
                <w:bCs/>
                <w:snapToGrid/>
                <w:sz w:val="28"/>
                <w:szCs w:val="28"/>
              </w:rPr>
              <w:t>Параметр 2</w:t>
            </w:r>
          </w:p>
        </w:tc>
        <w:tc>
          <w:tcPr>
            <w:tcW w:w="1701" w:type="dxa"/>
            <w:shd w:val="clear" w:color="auto" w:fill="auto"/>
            <w:vAlign w:val="center"/>
          </w:tcPr>
          <w:p w14:paraId="4F27F051" w14:textId="77777777" w:rsidR="00021B57" w:rsidRPr="00916B3A" w:rsidRDefault="00021B57" w:rsidP="000B7B11">
            <w:pPr>
              <w:pStyle w:val="MDPI42tablebody"/>
              <w:spacing w:line="240" w:lineRule="auto"/>
              <w:rPr>
                <w:rFonts w:ascii="Times New Roman" w:hAnsi="Times New Roman"/>
                <w:bCs/>
                <w:sz w:val="28"/>
                <w:szCs w:val="28"/>
              </w:rPr>
            </w:pPr>
            <w:r w:rsidRPr="00916B3A">
              <w:rPr>
                <w:rFonts w:ascii="Times New Roman" w:hAnsi="Times New Roman"/>
                <w:bCs/>
                <w:snapToGrid/>
                <w:sz w:val="28"/>
                <w:szCs w:val="28"/>
                <w:lang w:val="ru-RU"/>
              </w:rPr>
              <w:t>Спирман</w:t>
            </w:r>
            <w:r w:rsidRPr="00916B3A">
              <w:rPr>
                <w:rFonts w:ascii="Times New Roman" w:hAnsi="Times New Roman"/>
                <w:bCs/>
                <w:snapToGrid/>
                <w:sz w:val="28"/>
                <w:szCs w:val="28"/>
              </w:rPr>
              <w:t xml:space="preserve"> </w:t>
            </w:r>
            <w:r w:rsidRPr="00916B3A">
              <w:rPr>
                <w:rFonts w:ascii="Times New Roman" w:hAnsi="Times New Roman"/>
                <w:bCs/>
                <w:snapToGrid/>
                <w:color w:val="auto"/>
                <w:sz w:val="28"/>
                <w:szCs w:val="28"/>
              </w:rPr>
              <w:t>Rho</w:t>
            </w:r>
          </w:p>
        </w:tc>
        <w:tc>
          <w:tcPr>
            <w:tcW w:w="1559" w:type="dxa"/>
            <w:vAlign w:val="center"/>
          </w:tcPr>
          <w:p w14:paraId="4A3B3E7F" w14:textId="77777777" w:rsidR="00021B57" w:rsidRPr="00916B3A" w:rsidRDefault="00021B57" w:rsidP="000B7B11">
            <w:pPr>
              <w:pStyle w:val="MDPI42tablebody"/>
              <w:spacing w:line="240" w:lineRule="auto"/>
              <w:rPr>
                <w:rFonts w:ascii="Times New Roman" w:hAnsi="Times New Roman"/>
                <w:bCs/>
                <w:sz w:val="28"/>
                <w:szCs w:val="28"/>
              </w:rPr>
            </w:pPr>
            <w:r w:rsidRPr="00916B3A">
              <w:rPr>
                <w:rFonts w:ascii="Times New Roman" w:hAnsi="Times New Roman"/>
                <w:bCs/>
                <w:snapToGrid/>
                <w:sz w:val="28"/>
                <w:szCs w:val="28"/>
              </w:rPr>
              <w:t>P-значение</w:t>
            </w:r>
          </w:p>
        </w:tc>
      </w:tr>
      <w:tr w:rsidR="00021B57" w:rsidRPr="00916B3A" w14:paraId="78AD4FDB" w14:textId="77777777" w:rsidTr="003C597C">
        <w:trPr>
          <w:jc w:val="center"/>
        </w:trPr>
        <w:tc>
          <w:tcPr>
            <w:tcW w:w="2274" w:type="dxa"/>
            <w:vMerge w:val="restart"/>
            <w:shd w:val="clear" w:color="auto" w:fill="auto"/>
            <w:vAlign w:val="center"/>
            <w:hideMark/>
          </w:tcPr>
          <w:p w14:paraId="757BFEF9"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Группа</w:t>
            </w:r>
            <w:r w:rsidRPr="00916B3A">
              <w:rPr>
                <w:rFonts w:ascii="Times New Roman" w:hAnsi="Times New Roman"/>
                <w:bCs/>
                <w:snapToGrid/>
                <w:sz w:val="28"/>
                <w:szCs w:val="28"/>
                <w:lang w:val="ru-RU"/>
              </w:rPr>
              <w:t xml:space="preserve"> РНИ</w:t>
            </w:r>
            <w:r w:rsidRPr="00916B3A">
              <w:rPr>
                <w:rFonts w:ascii="Times New Roman" w:hAnsi="Times New Roman"/>
                <w:sz w:val="28"/>
                <w:szCs w:val="28"/>
              </w:rPr>
              <w:t xml:space="preserve"> </w:t>
            </w:r>
          </w:p>
        </w:tc>
        <w:tc>
          <w:tcPr>
            <w:tcW w:w="1701" w:type="dxa"/>
            <w:shd w:val="clear" w:color="auto" w:fill="auto"/>
            <w:vAlign w:val="center"/>
            <w:hideMark/>
          </w:tcPr>
          <w:p w14:paraId="0C85EAD9" w14:textId="77777777" w:rsidR="00021B57" w:rsidRDefault="00021B57" w:rsidP="000B7B11">
            <w:pPr>
              <w:pStyle w:val="MDPI42tablebody"/>
              <w:spacing w:line="240" w:lineRule="auto"/>
              <w:rPr>
                <w:rFonts w:ascii="Times New Roman" w:hAnsi="Times New Roman"/>
                <w:bCs/>
                <w:snapToGrid/>
                <w:sz w:val="28"/>
                <w:szCs w:val="28"/>
              </w:rPr>
            </w:pPr>
            <w:r w:rsidRPr="00916B3A">
              <w:rPr>
                <w:rFonts w:ascii="Times New Roman" w:hAnsi="Times New Roman"/>
                <w:bCs/>
                <w:snapToGrid/>
                <w:sz w:val="28"/>
                <w:szCs w:val="28"/>
              </w:rPr>
              <w:t>VEGFB</w:t>
            </w:r>
          </w:p>
          <w:p w14:paraId="30F1873A" w14:textId="7C74163C" w:rsidR="003C597C" w:rsidRPr="00916B3A" w:rsidRDefault="003C597C" w:rsidP="000B7B11">
            <w:pPr>
              <w:pStyle w:val="MDPI42tablebody"/>
              <w:spacing w:line="240" w:lineRule="auto"/>
              <w:rPr>
                <w:rFonts w:ascii="Times New Roman" w:hAnsi="Times New Roman"/>
                <w:sz w:val="28"/>
                <w:szCs w:val="28"/>
              </w:rPr>
            </w:pPr>
          </w:p>
        </w:tc>
        <w:tc>
          <w:tcPr>
            <w:tcW w:w="2268" w:type="dxa"/>
            <w:shd w:val="clear" w:color="auto" w:fill="auto"/>
            <w:hideMark/>
          </w:tcPr>
          <w:p w14:paraId="4C0AE1B9" w14:textId="77777777" w:rsidR="00021B57" w:rsidRDefault="00021B57" w:rsidP="003C597C">
            <w:pPr>
              <w:pStyle w:val="MDPI42tablebody"/>
              <w:spacing w:line="240" w:lineRule="auto"/>
              <w:rPr>
                <w:rFonts w:ascii="Times New Roman" w:hAnsi="Times New Roman"/>
                <w:bCs/>
                <w:snapToGrid/>
                <w:sz w:val="28"/>
                <w:szCs w:val="28"/>
                <w:lang w:val="ru-RU"/>
              </w:rPr>
            </w:pPr>
            <w:r w:rsidRPr="00916B3A">
              <w:rPr>
                <w:rFonts w:ascii="Times New Roman" w:hAnsi="Times New Roman"/>
                <w:bCs/>
                <w:snapToGrid/>
                <w:sz w:val="28"/>
                <w:szCs w:val="28"/>
              </w:rPr>
              <w:t>Пролактин</w:t>
            </w:r>
          </w:p>
          <w:p w14:paraId="3CDD7DC8" w14:textId="2F1ECF7E" w:rsidR="003C597C" w:rsidRPr="003C597C" w:rsidRDefault="003C597C" w:rsidP="003C597C">
            <w:pPr>
              <w:pStyle w:val="MDPI42tablebody"/>
              <w:spacing w:line="240" w:lineRule="auto"/>
              <w:rPr>
                <w:rFonts w:ascii="Times New Roman" w:hAnsi="Times New Roman"/>
                <w:sz w:val="28"/>
                <w:szCs w:val="28"/>
                <w:lang w:val="ru-RU"/>
              </w:rPr>
            </w:pPr>
          </w:p>
        </w:tc>
        <w:tc>
          <w:tcPr>
            <w:tcW w:w="1701" w:type="dxa"/>
            <w:shd w:val="clear" w:color="auto" w:fill="auto"/>
            <w:vAlign w:val="bottom"/>
          </w:tcPr>
          <w:p w14:paraId="182F46F6" w14:textId="04B6E0F9"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-0</w:t>
            </w:r>
            <w:r w:rsidRPr="00916B3A">
              <w:rPr>
                <w:rFonts w:ascii="Times New Roman" w:hAnsi="Times New Roman"/>
                <w:bCs/>
                <w:snapToGrid/>
                <w:sz w:val="28"/>
                <w:szCs w:val="28"/>
                <w:lang w:val="ru-RU"/>
              </w:rPr>
              <w:t xml:space="preserve">. </w:t>
            </w:r>
            <w:r w:rsidRPr="00916B3A">
              <w:rPr>
                <w:rFonts w:ascii="Times New Roman" w:hAnsi="Times New Roman"/>
                <w:bCs/>
                <w:snapToGrid/>
                <w:sz w:val="28"/>
                <w:szCs w:val="28"/>
              </w:rPr>
              <w:t>446</w:t>
            </w:r>
          </w:p>
        </w:tc>
        <w:tc>
          <w:tcPr>
            <w:tcW w:w="1559" w:type="dxa"/>
            <w:vAlign w:val="center"/>
          </w:tcPr>
          <w:p w14:paraId="68C21505"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0,049</w:t>
            </w:r>
          </w:p>
        </w:tc>
      </w:tr>
      <w:tr w:rsidR="00021B57" w:rsidRPr="00916B3A" w14:paraId="243F85BC" w14:textId="77777777" w:rsidTr="003C597C">
        <w:trPr>
          <w:jc w:val="center"/>
        </w:trPr>
        <w:tc>
          <w:tcPr>
            <w:tcW w:w="2274" w:type="dxa"/>
            <w:vMerge/>
            <w:shd w:val="clear" w:color="auto" w:fill="auto"/>
            <w:vAlign w:val="center"/>
            <w:hideMark/>
          </w:tcPr>
          <w:p w14:paraId="2BDD8C1B" w14:textId="77777777" w:rsidR="00021B57" w:rsidRPr="00916B3A" w:rsidRDefault="00021B57" w:rsidP="000B7B11">
            <w:pPr>
              <w:pStyle w:val="MDPI42tablebody"/>
              <w:spacing w:line="240" w:lineRule="auto"/>
              <w:rPr>
                <w:rFonts w:ascii="Times New Roman" w:hAnsi="Times New Roman"/>
                <w:sz w:val="28"/>
                <w:szCs w:val="28"/>
              </w:rPr>
            </w:pPr>
          </w:p>
        </w:tc>
        <w:tc>
          <w:tcPr>
            <w:tcW w:w="1701" w:type="dxa"/>
            <w:shd w:val="clear" w:color="auto" w:fill="auto"/>
            <w:vAlign w:val="center"/>
            <w:hideMark/>
          </w:tcPr>
          <w:p w14:paraId="6D54B1E9"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VEGFB</w:t>
            </w:r>
          </w:p>
        </w:tc>
        <w:tc>
          <w:tcPr>
            <w:tcW w:w="2268" w:type="dxa"/>
            <w:shd w:val="clear" w:color="auto" w:fill="auto"/>
            <w:vAlign w:val="center"/>
            <w:hideMark/>
          </w:tcPr>
          <w:p w14:paraId="653A2A22"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Тиреотропный гормон</w:t>
            </w:r>
          </w:p>
        </w:tc>
        <w:tc>
          <w:tcPr>
            <w:tcW w:w="1701" w:type="dxa"/>
            <w:shd w:val="clear" w:color="auto" w:fill="auto"/>
            <w:vAlign w:val="center"/>
          </w:tcPr>
          <w:p w14:paraId="036F492D" w14:textId="76E15372"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-0</w:t>
            </w:r>
            <w:r w:rsidRPr="00916B3A">
              <w:rPr>
                <w:rFonts w:ascii="Times New Roman" w:hAnsi="Times New Roman"/>
                <w:bCs/>
                <w:snapToGrid/>
                <w:sz w:val="28"/>
                <w:szCs w:val="28"/>
                <w:lang w:val="ru-RU"/>
              </w:rPr>
              <w:t xml:space="preserve">. </w:t>
            </w:r>
            <w:r w:rsidRPr="00916B3A">
              <w:rPr>
                <w:rFonts w:ascii="Times New Roman" w:hAnsi="Times New Roman"/>
                <w:bCs/>
                <w:snapToGrid/>
                <w:sz w:val="28"/>
                <w:szCs w:val="28"/>
              </w:rPr>
              <w:t>526</w:t>
            </w:r>
          </w:p>
        </w:tc>
        <w:tc>
          <w:tcPr>
            <w:tcW w:w="1559" w:type="dxa"/>
            <w:vAlign w:val="center"/>
          </w:tcPr>
          <w:p w14:paraId="5F56E943"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0,017</w:t>
            </w:r>
          </w:p>
        </w:tc>
      </w:tr>
      <w:tr w:rsidR="00021B57" w:rsidRPr="00916B3A" w14:paraId="24A846A2" w14:textId="77777777" w:rsidTr="003C597C">
        <w:trPr>
          <w:jc w:val="center"/>
        </w:trPr>
        <w:tc>
          <w:tcPr>
            <w:tcW w:w="2274" w:type="dxa"/>
            <w:vMerge/>
            <w:shd w:val="clear" w:color="auto" w:fill="auto"/>
            <w:vAlign w:val="center"/>
            <w:hideMark/>
          </w:tcPr>
          <w:p w14:paraId="33FA4155" w14:textId="77777777" w:rsidR="00021B57" w:rsidRPr="00916B3A" w:rsidRDefault="00021B57" w:rsidP="000B7B11">
            <w:pPr>
              <w:pStyle w:val="MDPI42tablebody"/>
              <w:spacing w:line="240" w:lineRule="auto"/>
              <w:rPr>
                <w:rFonts w:ascii="Times New Roman" w:hAnsi="Times New Roman"/>
                <w:sz w:val="28"/>
                <w:szCs w:val="28"/>
              </w:rPr>
            </w:pPr>
          </w:p>
        </w:tc>
        <w:tc>
          <w:tcPr>
            <w:tcW w:w="1701" w:type="dxa"/>
            <w:shd w:val="clear" w:color="auto" w:fill="auto"/>
            <w:hideMark/>
          </w:tcPr>
          <w:p w14:paraId="22A93106"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HAND2</w:t>
            </w:r>
          </w:p>
        </w:tc>
        <w:tc>
          <w:tcPr>
            <w:tcW w:w="2268" w:type="dxa"/>
            <w:shd w:val="clear" w:color="auto" w:fill="auto"/>
            <w:vAlign w:val="center"/>
            <w:hideMark/>
          </w:tcPr>
          <w:p w14:paraId="4FCA702C"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Тиреотропный гормон</w:t>
            </w:r>
          </w:p>
        </w:tc>
        <w:tc>
          <w:tcPr>
            <w:tcW w:w="1701" w:type="dxa"/>
            <w:shd w:val="clear" w:color="auto" w:fill="auto"/>
            <w:vAlign w:val="center"/>
          </w:tcPr>
          <w:p w14:paraId="243E1C48" w14:textId="3D4B35F3"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-0</w:t>
            </w:r>
            <w:r w:rsidRPr="00916B3A">
              <w:rPr>
                <w:rFonts w:ascii="Times New Roman" w:hAnsi="Times New Roman"/>
                <w:bCs/>
                <w:snapToGrid/>
                <w:sz w:val="28"/>
                <w:szCs w:val="28"/>
                <w:lang w:val="ru-RU"/>
              </w:rPr>
              <w:t xml:space="preserve">. </w:t>
            </w:r>
            <w:r w:rsidRPr="00916B3A">
              <w:rPr>
                <w:rFonts w:ascii="Times New Roman" w:hAnsi="Times New Roman"/>
                <w:bCs/>
                <w:snapToGrid/>
                <w:sz w:val="28"/>
                <w:szCs w:val="28"/>
              </w:rPr>
              <w:t>671</w:t>
            </w:r>
          </w:p>
        </w:tc>
        <w:tc>
          <w:tcPr>
            <w:tcW w:w="1559" w:type="dxa"/>
            <w:vAlign w:val="center"/>
          </w:tcPr>
          <w:p w14:paraId="7DCFB6E4"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0,001</w:t>
            </w:r>
          </w:p>
        </w:tc>
      </w:tr>
      <w:tr w:rsidR="00021B57" w:rsidRPr="00916B3A" w14:paraId="328EE7FE" w14:textId="77777777" w:rsidTr="003C597C">
        <w:trPr>
          <w:jc w:val="center"/>
        </w:trPr>
        <w:tc>
          <w:tcPr>
            <w:tcW w:w="2274" w:type="dxa"/>
            <w:vMerge/>
            <w:shd w:val="clear" w:color="auto" w:fill="auto"/>
            <w:vAlign w:val="center"/>
            <w:hideMark/>
          </w:tcPr>
          <w:p w14:paraId="66AA8DCA" w14:textId="77777777" w:rsidR="00021B57" w:rsidRPr="00916B3A" w:rsidRDefault="00021B57" w:rsidP="000B7B11">
            <w:pPr>
              <w:pStyle w:val="MDPI42tablebody"/>
              <w:spacing w:line="240" w:lineRule="auto"/>
              <w:rPr>
                <w:rFonts w:ascii="Times New Roman" w:hAnsi="Times New Roman"/>
                <w:sz w:val="28"/>
                <w:szCs w:val="28"/>
              </w:rPr>
            </w:pPr>
          </w:p>
        </w:tc>
        <w:tc>
          <w:tcPr>
            <w:tcW w:w="1701" w:type="dxa"/>
            <w:shd w:val="clear" w:color="auto" w:fill="auto"/>
            <w:hideMark/>
          </w:tcPr>
          <w:p w14:paraId="380E6F86"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sz w:val="28"/>
                <w:szCs w:val="28"/>
              </w:rPr>
              <w:t>HAND2</w:t>
            </w:r>
          </w:p>
        </w:tc>
        <w:tc>
          <w:tcPr>
            <w:tcW w:w="2268" w:type="dxa"/>
            <w:shd w:val="clear" w:color="auto" w:fill="auto"/>
            <w:vAlign w:val="center"/>
            <w:hideMark/>
          </w:tcPr>
          <w:p w14:paraId="1CD94C29"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Фибриноген</w:t>
            </w:r>
          </w:p>
        </w:tc>
        <w:tc>
          <w:tcPr>
            <w:tcW w:w="1701" w:type="dxa"/>
            <w:shd w:val="clear" w:color="auto" w:fill="auto"/>
            <w:vAlign w:val="center"/>
          </w:tcPr>
          <w:p w14:paraId="574B8A9F" w14:textId="096176BC"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-0</w:t>
            </w:r>
            <w:r w:rsidRPr="00916B3A">
              <w:rPr>
                <w:rFonts w:ascii="Times New Roman" w:hAnsi="Times New Roman"/>
                <w:bCs/>
                <w:snapToGrid/>
                <w:sz w:val="28"/>
                <w:szCs w:val="28"/>
                <w:lang w:val="ru-RU"/>
              </w:rPr>
              <w:t xml:space="preserve">. </w:t>
            </w:r>
            <w:r w:rsidRPr="00916B3A">
              <w:rPr>
                <w:rFonts w:ascii="Times New Roman" w:hAnsi="Times New Roman"/>
                <w:bCs/>
                <w:snapToGrid/>
                <w:sz w:val="28"/>
                <w:szCs w:val="28"/>
              </w:rPr>
              <w:t>465</w:t>
            </w:r>
          </w:p>
        </w:tc>
        <w:tc>
          <w:tcPr>
            <w:tcW w:w="1559" w:type="dxa"/>
            <w:vAlign w:val="center"/>
          </w:tcPr>
          <w:p w14:paraId="0811EBC7" w14:textId="77777777" w:rsidR="00021B57" w:rsidRPr="00916B3A" w:rsidRDefault="00021B57" w:rsidP="000B7B11">
            <w:pPr>
              <w:pStyle w:val="MDPI42tablebody"/>
              <w:spacing w:line="240" w:lineRule="auto"/>
              <w:rPr>
                <w:rFonts w:ascii="Times New Roman" w:hAnsi="Times New Roman"/>
                <w:sz w:val="28"/>
                <w:szCs w:val="28"/>
              </w:rPr>
            </w:pPr>
            <w:r w:rsidRPr="00916B3A">
              <w:rPr>
                <w:rFonts w:ascii="Times New Roman" w:hAnsi="Times New Roman"/>
                <w:bCs/>
                <w:snapToGrid/>
                <w:sz w:val="28"/>
                <w:szCs w:val="28"/>
              </w:rPr>
              <w:t>0,038</w:t>
            </w:r>
          </w:p>
        </w:tc>
      </w:tr>
      <w:tr w:rsidR="00021B57" w:rsidRPr="00916B3A" w14:paraId="387CB634" w14:textId="77777777" w:rsidTr="003C597C">
        <w:trPr>
          <w:jc w:val="center"/>
        </w:trPr>
        <w:tc>
          <w:tcPr>
            <w:tcW w:w="2274" w:type="dxa"/>
            <w:shd w:val="clear" w:color="auto" w:fill="auto"/>
            <w:vAlign w:val="center"/>
          </w:tcPr>
          <w:p w14:paraId="020F20DB" w14:textId="77777777" w:rsidR="00807117" w:rsidRDefault="00807117" w:rsidP="000B7B11">
            <w:pPr>
              <w:pStyle w:val="MDPI42tablebody"/>
              <w:spacing w:line="240" w:lineRule="auto"/>
              <w:rPr>
                <w:rFonts w:ascii="Times New Roman" w:hAnsi="Times New Roman"/>
                <w:bCs/>
                <w:snapToGrid/>
                <w:sz w:val="28"/>
                <w:szCs w:val="28"/>
              </w:rPr>
            </w:pPr>
          </w:p>
          <w:p w14:paraId="02EDEB9A" w14:textId="2614ABCA" w:rsidR="00021B57" w:rsidRDefault="00021B57" w:rsidP="000B7B11">
            <w:pPr>
              <w:pStyle w:val="MDPI42tablebody"/>
              <w:spacing w:line="240" w:lineRule="auto"/>
              <w:rPr>
                <w:rFonts w:ascii="Times New Roman" w:hAnsi="Times New Roman"/>
                <w:bCs/>
                <w:snapToGrid/>
                <w:sz w:val="28"/>
                <w:szCs w:val="28"/>
                <w:lang w:val="ru-RU"/>
              </w:rPr>
            </w:pPr>
            <w:r w:rsidRPr="00916B3A">
              <w:rPr>
                <w:rFonts w:ascii="Times New Roman" w:hAnsi="Times New Roman"/>
                <w:bCs/>
                <w:snapToGrid/>
                <w:sz w:val="28"/>
                <w:szCs w:val="28"/>
              </w:rPr>
              <w:t>Группа фертильн</w:t>
            </w:r>
            <w:r w:rsidRPr="00916B3A">
              <w:rPr>
                <w:rFonts w:ascii="Times New Roman" w:hAnsi="Times New Roman"/>
                <w:bCs/>
                <w:snapToGrid/>
                <w:sz w:val="28"/>
                <w:szCs w:val="28"/>
                <w:lang w:val="ru-RU"/>
              </w:rPr>
              <w:t>ая</w:t>
            </w:r>
          </w:p>
          <w:p w14:paraId="2F66C5AE" w14:textId="05B4C4C8" w:rsidR="003C597C" w:rsidRPr="00916B3A" w:rsidRDefault="003C597C" w:rsidP="000B7B11">
            <w:pPr>
              <w:pStyle w:val="MDPI42tablebody"/>
              <w:spacing w:line="240" w:lineRule="auto"/>
              <w:rPr>
                <w:rFonts w:ascii="Times New Roman" w:hAnsi="Times New Roman"/>
                <w:sz w:val="28"/>
                <w:szCs w:val="28"/>
              </w:rPr>
            </w:pPr>
          </w:p>
        </w:tc>
        <w:tc>
          <w:tcPr>
            <w:tcW w:w="1701" w:type="dxa"/>
            <w:shd w:val="clear" w:color="auto" w:fill="auto"/>
          </w:tcPr>
          <w:p w14:paraId="6271577D" w14:textId="77777777" w:rsidR="00807117" w:rsidRDefault="00807117" w:rsidP="000B7B11">
            <w:pPr>
              <w:pStyle w:val="MDPI42tablebody"/>
              <w:spacing w:line="240" w:lineRule="auto"/>
              <w:rPr>
                <w:rFonts w:ascii="Times New Roman" w:hAnsi="Times New Roman"/>
                <w:sz w:val="28"/>
                <w:szCs w:val="28"/>
              </w:rPr>
            </w:pPr>
          </w:p>
          <w:p w14:paraId="14BA65DA" w14:textId="196C1514" w:rsidR="00021B57" w:rsidRPr="00916B3A" w:rsidRDefault="00021B57" w:rsidP="000B7B11">
            <w:pPr>
              <w:pStyle w:val="MDPI42tablebody"/>
              <w:spacing w:line="240" w:lineRule="auto"/>
              <w:rPr>
                <w:rFonts w:ascii="Times New Roman" w:hAnsi="Times New Roman"/>
                <w:bCs/>
                <w:snapToGrid/>
                <w:sz w:val="28"/>
                <w:szCs w:val="28"/>
              </w:rPr>
            </w:pPr>
            <w:r w:rsidRPr="00916B3A">
              <w:rPr>
                <w:rFonts w:ascii="Times New Roman" w:hAnsi="Times New Roman"/>
                <w:sz w:val="28"/>
                <w:szCs w:val="28"/>
              </w:rPr>
              <w:t>HAND2</w:t>
            </w:r>
          </w:p>
        </w:tc>
        <w:tc>
          <w:tcPr>
            <w:tcW w:w="2268" w:type="dxa"/>
            <w:shd w:val="clear" w:color="auto" w:fill="auto"/>
            <w:vAlign w:val="center"/>
          </w:tcPr>
          <w:p w14:paraId="4DE2142B" w14:textId="77777777" w:rsidR="00021B57" w:rsidRPr="00916B3A" w:rsidRDefault="00021B57" w:rsidP="000B7B11">
            <w:pPr>
              <w:pStyle w:val="MDPI42tablebody"/>
              <w:spacing w:line="240" w:lineRule="auto"/>
              <w:rPr>
                <w:rFonts w:ascii="Times New Roman" w:hAnsi="Times New Roman"/>
                <w:bCs/>
                <w:snapToGrid/>
                <w:sz w:val="28"/>
                <w:szCs w:val="28"/>
              </w:rPr>
            </w:pPr>
            <w:r w:rsidRPr="00916B3A">
              <w:rPr>
                <w:rFonts w:ascii="Times New Roman" w:hAnsi="Times New Roman"/>
                <w:bCs/>
                <w:snapToGrid/>
                <w:sz w:val="28"/>
                <w:szCs w:val="28"/>
              </w:rPr>
              <w:t>Индекс массы тела</w:t>
            </w:r>
          </w:p>
        </w:tc>
        <w:tc>
          <w:tcPr>
            <w:tcW w:w="1701" w:type="dxa"/>
            <w:shd w:val="clear" w:color="auto" w:fill="auto"/>
            <w:vAlign w:val="center"/>
          </w:tcPr>
          <w:p w14:paraId="752C8365" w14:textId="7B14BA66" w:rsidR="00021B57" w:rsidRPr="00916B3A" w:rsidRDefault="00021B57" w:rsidP="000B7B11">
            <w:pPr>
              <w:pStyle w:val="MDPI42tablebody"/>
              <w:spacing w:line="240" w:lineRule="auto"/>
              <w:rPr>
                <w:rFonts w:ascii="Times New Roman" w:hAnsi="Times New Roman"/>
                <w:bCs/>
                <w:snapToGrid/>
                <w:sz w:val="28"/>
                <w:szCs w:val="28"/>
              </w:rPr>
            </w:pPr>
            <w:r w:rsidRPr="00916B3A">
              <w:rPr>
                <w:rFonts w:ascii="Times New Roman" w:hAnsi="Times New Roman"/>
                <w:bCs/>
                <w:snapToGrid/>
                <w:sz w:val="28"/>
                <w:szCs w:val="28"/>
              </w:rPr>
              <w:t>-0</w:t>
            </w:r>
            <w:r w:rsidRPr="00916B3A">
              <w:rPr>
                <w:rFonts w:ascii="Times New Roman" w:hAnsi="Times New Roman"/>
                <w:bCs/>
                <w:snapToGrid/>
                <w:sz w:val="28"/>
                <w:szCs w:val="28"/>
                <w:lang w:val="ru-RU"/>
              </w:rPr>
              <w:t xml:space="preserve">. </w:t>
            </w:r>
            <w:r w:rsidRPr="00916B3A">
              <w:rPr>
                <w:rFonts w:ascii="Times New Roman" w:hAnsi="Times New Roman"/>
                <w:bCs/>
                <w:snapToGrid/>
                <w:sz w:val="28"/>
                <w:szCs w:val="28"/>
              </w:rPr>
              <w:t>688</w:t>
            </w:r>
          </w:p>
        </w:tc>
        <w:tc>
          <w:tcPr>
            <w:tcW w:w="1559" w:type="dxa"/>
            <w:vAlign w:val="center"/>
          </w:tcPr>
          <w:p w14:paraId="47B9A85C" w14:textId="77777777" w:rsidR="00021B57" w:rsidRPr="00916B3A" w:rsidRDefault="00021B57" w:rsidP="000B7B11">
            <w:pPr>
              <w:pStyle w:val="MDPI42tablebody"/>
              <w:spacing w:line="240" w:lineRule="auto"/>
              <w:rPr>
                <w:rFonts w:ascii="Times New Roman" w:hAnsi="Times New Roman"/>
                <w:bCs/>
                <w:snapToGrid/>
                <w:sz w:val="28"/>
                <w:szCs w:val="28"/>
              </w:rPr>
            </w:pPr>
            <w:r w:rsidRPr="00916B3A">
              <w:rPr>
                <w:rFonts w:ascii="Times New Roman" w:hAnsi="Times New Roman"/>
                <w:bCs/>
                <w:snapToGrid/>
                <w:sz w:val="28"/>
                <w:szCs w:val="28"/>
              </w:rPr>
              <w:t>0,008</w:t>
            </w:r>
          </w:p>
        </w:tc>
      </w:tr>
    </w:tbl>
    <w:p w14:paraId="2366A822" w14:textId="77777777" w:rsidR="00021B57" w:rsidRPr="00916B3A" w:rsidRDefault="00021B57" w:rsidP="000B7B11">
      <w:pPr>
        <w:pStyle w:val="MDPI51figurecaption"/>
        <w:spacing w:before="0" w:after="0" w:line="240" w:lineRule="auto"/>
        <w:ind w:left="0"/>
        <w:jc w:val="left"/>
        <w:rPr>
          <w:rFonts w:ascii="Times New Roman" w:hAnsi="Times New Roman"/>
          <w:b/>
          <w:bCs/>
          <w:sz w:val="28"/>
          <w:szCs w:val="28"/>
        </w:rPr>
      </w:pPr>
    </w:p>
    <w:p w14:paraId="0237CD5F" w14:textId="77777777" w:rsidR="000943E4" w:rsidRPr="00916B3A" w:rsidRDefault="000943E4" w:rsidP="000943E4">
      <w:pPr>
        <w:pStyle w:val="MDPI31text"/>
        <w:spacing w:line="240" w:lineRule="auto"/>
        <w:ind w:left="0" w:firstLine="426"/>
        <w:rPr>
          <w:rFonts w:ascii="Times New Roman" w:hAnsi="Times New Roman"/>
          <w:sz w:val="28"/>
          <w:szCs w:val="28"/>
          <w:lang w:val="ru-RU"/>
        </w:rPr>
      </w:pPr>
      <w:r w:rsidRPr="00916B3A">
        <w:rPr>
          <w:rFonts w:ascii="Times New Roman" w:hAnsi="Times New Roman"/>
          <w:sz w:val="28"/>
          <w:szCs w:val="28"/>
          <w:lang w:val="ru-RU"/>
        </w:rPr>
        <w:t xml:space="preserve">В группе пациенток с РИФ и тонким эндометрием были установлены значимые обратные умеренные корреляции: между уровнями </w:t>
      </w:r>
      <w:r w:rsidRPr="00916B3A">
        <w:rPr>
          <w:rFonts w:ascii="Times New Roman" w:hAnsi="Times New Roman"/>
          <w:sz w:val="28"/>
          <w:szCs w:val="28"/>
        </w:rPr>
        <w:t>VEGFB</w:t>
      </w:r>
      <w:r w:rsidRPr="00916B3A">
        <w:rPr>
          <w:rFonts w:ascii="Times New Roman" w:hAnsi="Times New Roman"/>
          <w:sz w:val="28"/>
          <w:szCs w:val="28"/>
          <w:lang w:val="ru-RU"/>
        </w:rPr>
        <w:t xml:space="preserve"> и пролактина (</w:t>
      </w:r>
      <w:r w:rsidRPr="00916B3A">
        <w:rPr>
          <w:rFonts w:ascii="Times New Roman" w:hAnsi="Times New Roman"/>
          <w:sz w:val="28"/>
          <w:szCs w:val="28"/>
        </w:rPr>
        <w:t>rho</w:t>
      </w:r>
      <w:r w:rsidRPr="00916B3A">
        <w:rPr>
          <w:rFonts w:ascii="Times New Roman" w:hAnsi="Times New Roman"/>
          <w:sz w:val="28"/>
          <w:szCs w:val="28"/>
          <w:lang w:val="ru-RU"/>
        </w:rPr>
        <w:t xml:space="preserve"> = -0,446, </w:t>
      </w:r>
      <w:r w:rsidRPr="00916B3A">
        <w:rPr>
          <w:rFonts w:ascii="Times New Roman" w:hAnsi="Times New Roman"/>
          <w:sz w:val="28"/>
          <w:szCs w:val="28"/>
        </w:rPr>
        <w:t>p</w:t>
      </w:r>
      <w:r w:rsidRPr="00916B3A">
        <w:rPr>
          <w:rFonts w:ascii="Times New Roman" w:hAnsi="Times New Roman"/>
          <w:sz w:val="28"/>
          <w:szCs w:val="28"/>
          <w:lang w:val="ru-RU"/>
        </w:rPr>
        <w:t xml:space="preserve"> = 0,049), </w:t>
      </w:r>
      <w:r w:rsidRPr="00916B3A">
        <w:rPr>
          <w:rFonts w:ascii="Times New Roman" w:hAnsi="Times New Roman"/>
          <w:sz w:val="28"/>
          <w:szCs w:val="28"/>
        </w:rPr>
        <w:t>VEGFB</w:t>
      </w:r>
      <w:r w:rsidRPr="00916B3A">
        <w:rPr>
          <w:rFonts w:ascii="Times New Roman" w:hAnsi="Times New Roman"/>
          <w:sz w:val="28"/>
          <w:szCs w:val="28"/>
          <w:lang w:val="ru-RU"/>
        </w:rPr>
        <w:t xml:space="preserve"> и ТТГ (</w:t>
      </w:r>
      <w:r w:rsidRPr="00916B3A">
        <w:rPr>
          <w:rFonts w:ascii="Times New Roman" w:hAnsi="Times New Roman"/>
          <w:sz w:val="28"/>
          <w:szCs w:val="28"/>
        </w:rPr>
        <w:t>rho</w:t>
      </w:r>
      <w:r w:rsidRPr="00916B3A">
        <w:rPr>
          <w:rFonts w:ascii="Times New Roman" w:hAnsi="Times New Roman"/>
          <w:sz w:val="28"/>
          <w:szCs w:val="28"/>
          <w:lang w:val="ru-RU"/>
        </w:rPr>
        <w:t xml:space="preserve"> = -0,526, </w:t>
      </w:r>
      <w:r w:rsidRPr="00916B3A">
        <w:rPr>
          <w:rFonts w:ascii="Times New Roman" w:hAnsi="Times New Roman"/>
          <w:sz w:val="28"/>
          <w:szCs w:val="28"/>
        </w:rPr>
        <w:t>p</w:t>
      </w:r>
      <w:r w:rsidRPr="00916B3A">
        <w:rPr>
          <w:rFonts w:ascii="Times New Roman" w:hAnsi="Times New Roman"/>
          <w:sz w:val="28"/>
          <w:szCs w:val="28"/>
          <w:lang w:val="ru-RU"/>
        </w:rPr>
        <w:t xml:space="preserve"> = 0,017). В фертильной группе обратная умеренная связь между </w:t>
      </w:r>
      <w:r w:rsidRPr="00916B3A">
        <w:rPr>
          <w:rFonts w:ascii="Times New Roman" w:hAnsi="Times New Roman"/>
          <w:sz w:val="28"/>
          <w:szCs w:val="28"/>
        </w:rPr>
        <w:t>HAND</w:t>
      </w:r>
      <w:r w:rsidRPr="00916B3A">
        <w:rPr>
          <w:rFonts w:ascii="Times New Roman" w:hAnsi="Times New Roman"/>
          <w:sz w:val="28"/>
          <w:szCs w:val="28"/>
          <w:lang w:val="ru-RU"/>
        </w:rPr>
        <w:t>2 и ИМТ (</w:t>
      </w:r>
      <w:r w:rsidRPr="00916B3A">
        <w:rPr>
          <w:rFonts w:ascii="Times New Roman" w:hAnsi="Times New Roman"/>
          <w:sz w:val="28"/>
          <w:szCs w:val="28"/>
        </w:rPr>
        <w:t>rho</w:t>
      </w:r>
      <w:r w:rsidRPr="00916B3A">
        <w:rPr>
          <w:rFonts w:ascii="Times New Roman" w:hAnsi="Times New Roman"/>
          <w:sz w:val="28"/>
          <w:szCs w:val="28"/>
          <w:lang w:val="ru-RU"/>
        </w:rPr>
        <w:t xml:space="preserve"> = -0,688, </w:t>
      </w:r>
      <w:r w:rsidRPr="00916B3A">
        <w:rPr>
          <w:rFonts w:ascii="Times New Roman" w:hAnsi="Times New Roman"/>
          <w:sz w:val="28"/>
          <w:szCs w:val="28"/>
        </w:rPr>
        <w:t>p</w:t>
      </w:r>
      <w:r w:rsidRPr="00916B3A">
        <w:rPr>
          <w:rFonts w:ascii="Times New Roman" w:hAnsi="Times New Roman"/>
          <w:sz w:val="28"/>
          <w:szCs w:val="28"/>
          <w:lang w:val="ru-RU"/>
        </w:rPr>
        <w:t xml:space="preserve"> = 0,008). Однако следует отметить, что после корректировки для множественных сравнений ни одна корреляция не осталась значимой.</w:t>
      </w:r>
    </w:p>
    <w:p w14:paraId="344CDF84" w14:textId="31CE5AAD" w:rsidR="00021B57" w:rsidRPr="003C597C" w:rsidRDefault="00021B57" w:rsidP="000B7B11">
      <w:pPr>
        <w:pStyle w:val="MDPI31text"/>
        <w:spacing w:line="240" w:lineRule="auto"/>
        <w:ind w:left="0" w:firstLine="567"/>
        <w:rPr>
          <w:rFonts w:ascii="Times New Roman" w:hAnsi="Times New Roman"/>
          <w:sz w:val="28"/>
          <w:szCs w:val="28"/>
          <w:lang w:val="ru-RU"/>
        </w:rPr>
      </w:pPr>
      <w:r w:rsidRPr="003C597C">
        <w:rPr>
          <w:rFonts w:ascii="Times New Roman" w:hAnsi="Times New Roman"/>
          <w:i/>
          <w:sz w:val="28"/>
          <w:szCs w:val="28"/>
        </w:rPr>
        <w:t>ROC</w:t>
      </w:r>
      <w:r w:rsidRPr="003C597C">
        <w:rPr>
          <w:rFonts w:ascii="Times New Roman" w:hAnsi="Times New Roman"/>
          <w:i/>
          <w:sz w:val="28"/>
          <w:szCs w:val="28"/>
          <w:lang w:val="ru-RU"/>
        </w:rPr>
        <w:t>-анализ</w:t>
      </w:r>
    </w:p>
    <w:p w14:paraId="0344921D" w14:textId="3E2F5E71" w:rsidR="000943E4" w:rsidRPr="00916B3A" w:rsidRDefault="00021B57" w:rsidP="000B7B11">
      <w:pPr>
        <w:pStyle w:val="MDPI31text"/>
        <w:spacing w:line="240" w:lineRule="auto"/>
        <w:ind w:left="0" w:firstLine="567"/>
        <w:rPr>
          <w:rFonts w:ascii="Times New Roman" w:hAnsi="Times New Roman"/>
          <w:color w:val="2E74B5" w:themeColor="accent5" w:themeShade="BF"/>
          <w:sz w:val="28"/>
          <w:szCs w:val="28"/>
          <w:lang w:val="ru-RU"/>
        </w:rPr>
      </w:pPr>
      <w:r w:rsidRPr="00916B3A">
        <w:rPr>
          <w:rFonts w:ascii="Times New Roman" w:hAnsi="Times New Roman"/>
          <w:sz w:val="28"/>
          <w:szCs w:val="28"/>
          <w:lang w:val="ru-RU"/>
        </w:rPr>
        <w:t xml:space="preserve">Мы провели </w:t>
      </w:r>
      <w:r w:rsidRPr="00916B3A">
        <w:rPr>
          <w:rFonts w:ascii="Times New Roman" w:hAnsi="Times New Roman"/>
          <w:sz w:val="28"/>
          <w:szCs w:val="28"/>
        </w:rPr>
        <w:t>ROC</w:t>
      </w:r>
      <w:r w:rsidRPr="00916B3A">
        <w:rPr>
          <w:rFonts w:ascii="Times New Roman" w:hAnsi="Times New Roman"/>
          <w:sz w:val="28"/>
          <w:szCs w:val="28"/>
          <w:lang w:val="ru-RU"/>
        </w:rPr>
        <w:t xml:space="preserve">-анализ для оценки потенциала использования мРНК генов, дифференциально экспрессируемых в эндометрии пациентов с </w:t>
      </w:r>
      <w:r w:rsidRPr="00916B3A">
        <w:rPr>
          <w:rFonts w:ascii="Times New Roman" w:hAnsi="Times New Roman"/>
          <w:sz w:val="28"/>
          <w:szCs w:val="28"/>
        </w:rPr>
        <w:t>RIF</w:t>
      </w:r>
      <w:r w:rsidRPr="00916B3A">
        <w:rPr>
          <w:rFonts w:ascii="Times New Roman" w:hAnsi="Times New Roman"/>
          <w:sz w:val="28"/>
          <w:szCs w:val="28"/>
          <w:lang w:val="ru-RU"/>
        </w:rPr>
        <w:t xml:space="preserve">, в качестве маркеров для прогнозирования </w:t>
      </w:r>
      <w:r w:rsidRPr="00916B3A">
        <w:rPr>
          <w:rFonts w:ascii="Times New Roman" w:hAnsi="Times New Roman"/>
          <w:sz w:val="28"/>
          <w:szCs w:val="28"/>
        </w:rPr>
        <w:t>RIF</w:t>
      </w:r>
      <w:r w:rsidRPr="00916B3A">
        <w:rPr>
          <w:rFonts w:ascii="Times New Roman" w:hAnsi="Times New Roman"/>
          <w:sz w:val="28"/>
          <w:szCs w:val="28"/>
          <w:lang w:val="ru-RU"/>
        </w:rPr>
        <w:t xml:space="preserve">. Результаты представлены в </w:t>
      </w:r>
      <w:r w:rsidR="003C597C">
        <w:rPr>
          <w:rFonts w:ascii="Times New Roman" w:hAnsi="Times New Roman"/>
          <w:sz w:val="28"/>
          <w:szCs w:val="28"/>
          <w:lang w:val="ru-RU"/>
        </w:rPr>
        <w:t>т</w:t>
      </w:r>
      <w:r w:rsidRPr="00916B3A">
        <w:rPr>
          <w:rFonts w:ascii="Times New Roman" w:hAnsi="Times New Roman"/>
          <w:sz w:val="28"/>
          <w:szCs w:val="28"/>
          <w:lang w:val="ru-RU"/>
        </w:rPr>
        <w:t>аблице 1</w:t>
      </w:r>
      <w:r w:rsidR="000943E4" w:rsidRPr="00916B3A">
        <w:rPr>
          <w:rFonts w:ascii="Times New Roman" w:hAnsi="Times New Roman"/>
          <w:sz w:val="28"/>
          <w:szCs w:val="28"/>
          <w:lang w:val="ru-RU"/>
        </w:rPr>
        <w:t>6</w:t>
      </w:r>
      <w:r w:rsidRPr="00916B3A">
        <w:rPr>
          <w:rFonts w:ascii="Times New Roman" w:hAnsi="Times New Roman"/>
          <w:color w:val="2E74B5" w:themeColor="accent5" w:themeShade="BF"/>
          <w:sz w:val="28"/>
          <w:szCs w:val="28"/>
          <w:lang w:val="ru-RU"/>
        </w:rPr>
        <w:t xml:space="preserve">. </w:t>
      </w:r>
    </w:p>
    <w:p w14:paraId="009EE946" w14:textId="588264F3" w:rsidR="00021B57" w:rsidRDefault="00021B57" w:rsidP="000B7B11">
      <w:pPr>
        <w:pStyle w:val="MDPI31text"/>
        <w:spacing w:line="240" w:lineRule="auto"/>
        <w:ind w:left="0" w:firstLine="567"/>
        <w:rPr>
          <w:rFonts w:ascii="Times New Roman" w:hAnsi="Times New Roman"/>
          <w:sz w:val="28"/>
          <w:szCs w:val="28"/>
          <w:lang w:val="ru-RU"/>
        </w:rPr>
      </w:pPr>
    </w:p>
    <w:p w14:paraId="1D67A9F4" w14:textId="2CEFA9CB" w:rsidR="003C597C" w:rsidRDefault="003C597C" w:rsidP="000B7B11">
      <w:pPr>
        <w:pStyle w:val="MDPI31text"/>
        <w:spacing w:line="240" w:lineRule="auto"/>
        <w:ind w:left="0" w:firstLine="567"/>
        <w:rPr>
          <w:rFonts w:ascii="Times New Roman" w:hAnsi="Times New Roman"/>
          <w:sz w:val="28"/>
          <w:szCs w:val="28"/>
          <w:lang w:val="ru-RU"/>
        </w:rPr>
      </w:pPr>
    </w:p>
    <w:p w14:paraId="01519469" w14:textId="77777777" w:rsidR="003C597C" w:rsidRPr="00916B3A" w:rsidRDefault="003C597C" w:rsidP="000B7B11">
      <w:pPr>
        <w:pStyle w:val="MDPI31text"/>
        <w:spacing w:line="240" w:lineRule="auto"/>
        <w:ind w:left="0" w:firstLine="567"/>
        <w:rPr>
          <w:rFonts w:ascii="Times New Roman" w:hAnsi="Times New Roman"/>
          <w:sz w:val="28"/>
          <w:szCs w:val="28"/>
          <w:lang w:val="ru-RU"/>
        </w:rPr>
      </w:pPr>
    </w:p>
    <w:p w14:paraId="6B67DE5F" w14:textId="1D609C6D" w:rsidR="00021B57" w:rsidRPr="00916B3A" w:rsidRDefault="00021B57" w:rsidP="000B7B11">
      <w:pPr>
        <w:pStyle w:val="MDPI51figurecaption"/>
        <w:spacing w:before="0" w:after="0" w:line="240" w:lineRule="auto"/>
        <w:ind w:left="0"/>
        <w:jc w:val="left"/>
        <w:rPr>
          <w:rFonts w:ascii="Times New Roman" w:hAnsi="Times New Roman"/>
          <w:sz w:val="28"/>
          <w:szCs w:val="28"/>
          <w:lang w:val="ru-RU"/>
        </w:rPr>
      </w:pPr>
      <w:r w:rsidRPr="00916B3A">
        <w:rPr>
          <w:rFonts w:ascii="Times New Roman" w:hAnsi="Times New Roman"/>
          <w:sz w:val="28"/>
          <w:szCs w:val="28"/>
        </w:rPr>
        <w:t xml:space="preserve">Таблица </w:t>
      </w:r>
      <w:r w:rsidR="00DB05A1" w:rsidRPr="00916B3A">
        <w:rPr>
          <w:rFonts w:ascii="Times New Roman" w:hAnsi="Times New Roman"/>
          <w:sz w:val="28"/>
          <w:szCs w:val="28"/>
          <w:lang w:val="ru-RU"/>
        </w:rPr>
        <w:t>16</w:t>
      </w:r>
      <w:r w:rsidRPr="00916B3A">
        <w:rPr>
          <w:rFonts w:ascii="Times New Roman" w:hAnsi="Times New Roman"/>
          <w:b/>
          <w:bCs/>
          <w:sz w:val="28"/>
          <w:szCs w:val="28"/>
        </w:rPr>
        <w:t xml:space="preserve"> – </w:t>
      </w:r>
      <w:r w:rsidRPr="00916B3A">
        <w:rPr>
          <w:rFonts w:ascii="Times New Roman" w:hAnsi="Times New Roman"/>
          <w:sz w:val="28"/>
          <w:szCs w:val="28"/>
        </w:rPr>
        <w:t>Результаты ROC-анализа</w:t>
      </w:r>
    </w:p>
    <w:p w14:paraId="2A84033E" w14:textId="77777777" w:rsidR="00342832" w:rsidRPr="00916B3A" w:rsidRDefault="00342832" w:rsidP="000B7B11">
      <w:pPr>
        <w:pStyle w:val="MDPI51figurecaption"/>
        <w:spacing w:before="0" w:after="0" w:line="240" w:lineRule="auto"/>
        <w:ind w:left="0"/>
        <w:jc w:val="left"/>
        <w:rPr>
          <w:rFonts w:ascii="Times New Roman" w:hAnsi="Times New Roman"/>
          <w:sz w:val="28"/>
          <w:szCs w:val="28"/>
          <w:lang w:val="ru-RU"/>
        </w:rPr>
      </w:pPr>
    </w:p>
    <w:tbl>
      <w:tblPr>
        <w:tblStyle w:val="ae"/>
        <w:tblW w:w="5000" w:type="pct"/>
        <w:jc w:val="center"/>
        <w:tblLook w:val="04A0" w:firstRow="1" w:lastRow="0" w:firstColumn="1" w:lastColumn="0" w:noHBand="0" w:noVBand="1"/>
      </w:tblPr>
      <w:tblGrid>
        <w:gridCol w:w="1686"/>
        <w:gridCol w:w="1638"/>
        <w:gridCol w:w="1813"/>
        <w:gridCol w:w="2378"/>
        <w:gridCol w:w="2113"/>
      </w:tblGrid>
      <w:tr w:rsidR="002A46D8" w:rsidRPr="00916B3A" w14:paraId="5FD6A38C" w14:textId="77777777" w:rsidTr="005536C0">
        <w:trPr>
          <w:jc w:val="center"/>
        </w:trPr>
        <w:tc>
          <w:tcPr>
            <w:tcW w:w="876" w:type="pct"/>
          </w:tcPr>
          <w:p w14:paraId="0ACAC858" w14:textId="77777777" w:rsidR="002A46D8" w:rsidRPr="00916B3A" w:rsidRDefault="002A46D8" w:rsidP="005536C0">
            <w:pPr>
              <w:pStyle w:val="MDPI51figurecaption"/>
              <w:spacing w:before="0" w:after="0" w:line="240" w:lineRule="auto"/>
              <w:ind w:left="0"/>
              <w:jc w:val="center"/>
              <w:rPr>
                <w:rFonts w:ascii="Times New Roman" w:hAnsi="Times New Roman"/>
                <w:sz w:val="28"/>
                <w:szCs w:val="28"/>
              </w:rPr>
            </w:pPr>
            <w:r w:rsidRPr="00916B3A">
              <w:rPr>
                <w:rFonts w:ascii="Times New Roman" w:hAnsi="Times New Roman"/>
                <w:sz w:val="28"/>
                <w:szCs w:val="28"/>
              </w:rPr>
              <w:t>Возможные маркеры и комбинации</w:t>
            </w:r>
          </w:p>
        </w:tc>
        <w:tc>
          <w:tcPr>
            <w:tcW w:w="851" w:type="pct"/>
          </w:tcPr>
          <w:p w14:paraId="2074914B" w14:textId="77777777" w:rsidR="002A46D8" w:rsidRPr="00916B3A" w:rsidRDefault="002A46D8" w:rsidP="005536C0">
            <w:pPr>
              <w:pStyle w:val="MDPI51figurecaption"/>
              <w:spacing w:before="0" w:after="0" w:line="240" w:lineRule="auto"/>
              <w:ind w:left="0"/>
              <w:jc w:val="center"/>
              <w:rPr>
                <w:rFonts w:ascii="Times New Roman" w:hAnsi="Times New Roman"/>
                <w:sz w:val="28"/>
                <w:szCs w:val="28"/>
              </w:rPr>
            </w:pPr>
            <w:r w:rsidRPr="00916B3A">
              <w:rPr>
                <w:rFonts w:ascii="Times New Roman" w:hAnsi="Times New Roman"/>
                <w:sz w:val="28"/>
                <w:szCs w:val="28"/>
              </w:rPr>
              <w:t>AUC (95% ДИ)</w:t>
            </w:r>
          </w:p>
        </w:tc>
        <w:tc>
          <w:tcPr>
            <w:tcW w:w="942" w:type="pct"/>
          </w:tcPr>
          <w:p w14:paraId="603DDA22" w14:textId="77777777" w:rsidR="002A46D8" w:rsidRDefault="002A46D8" w:rsidP="005536C0">
            <w:pPr>
              <w:pStyle w:val="MDPI51figurecaption"/>
              <w:spacing w:before="0" w:after="0" w:line="240" w:lineRule="auto"/>
              <w:ind w:left="0"/>
              <w:jc w:val="center"/>
              <w:rPr>
                <w:rFonts w:ascii="Times New Roman" w:hAnsi="Times New Roman"/>
                <w:sz w:val="28"/>
                <w:szCs w:val="28"/>
              </w:rPr>
            </w:pPr>
            <w:r w:rsidRPr="00916B3A">
              <w:rPr>
                <w:rFonts w:ascii="Times New Roman" w:hAnsi="Times New Roman"/>
                <w:sz w:val="28"/>
                <w:szCs w:val="28"/>
              </w:rPr>
              <w:t>Оптимальная точка отсечения</w:t>
            </w:r>
          </w:p>
          <w:p w14:paraId="32F69C00" w14:textId="6C0A3FC8" w:rsidR="005536C0" w:rsidRPr="00916B3A" w:rsidRDefault="005536C0" w:rsidP="005536C0">
            <w:pPr>
              <w:pStyle w:val="MDPI51figurecaption"/>
              <w:spacing w:before="0" w:after="0" w:line="240" w:lineRule="auto"/>
              <w:ind w:left="0"/>
              <w:jc w:val="center"/>
              <w:rPr>
                <w:rFonts w:ascii="Times New Roman" w:hAnsi="Times New Roman"/>
                <w:sz w:val="28"/>
                <w:szCs w:val="28"/>
              </w:rPr>
            </w:pPr>
          </w:p>
        </w:tc>
        <w:tc>
          <w:tcPr>
            <w:tcW w:w="1235" w:type="pct"/>
          </w:tcPr>
          <w:p w14:paraId="39CB76DB" w14:textId="7DC3E4C7" w:rsidR="002A46D8" w:rsidRPr="00916B3A" w:rsidRDefault="002A46D8" w:rsidP="005536C0">
            <w:pPr>
              <w:pStyle w:val="MDPI51figurecaption"/>
              <w:spacing w:before="0" w:after="0" w:line="240" w:lineRule="auto"/>
              <w:ind w:left="0"/>
              <w:jc w:val="center"/>
              <w:rPr>
                <w:rFonts w:ascii="Times New Roman" w:hAnsi="Times New Roman"/>
                <w:sz w:val="28"/>
                <w:szCs w:val="28"/>
              </w:rPr>
            </w:pPr>
            <w:r w:rsidRPr="00916B3A">
              <w:rPr>
                <w:rFonts w:ascii="Times New Roman" w:hAnsi="Times New Roman"/>
                <w:sz w:val="28"/>
                <w:szCs w:val="28"/>
              </w:rPr>
              <w:t xml:space="preserve">Чувствительность </w:t>
            </w:r>
            <w:r w:rsidRPr="00916B3A">
              <w:rPr>
                <w:rFonts w:ascii="Times New Roman" w:hAnsi="Times New Roman"/>
                <w:sz w:val="28"/>
                <w:szCs w:val="28"/>
              </w:rPr>
              <w:br/>
              <w:t>(95% ДИ)</w:t>
            </w:r>
          </w:p>
        </w:tc>
        <w:tc>
          <w:tcPr>
            <w:tcW w:w="1097" w:type="pct"/>
          </w:tcPr>
          <w:p w14:paraId="4D9B74A4" w14:textId="77777777" w:rsidR="002A46D8" w:rsidRPr="00916B3A" w:rsidRDefault="002A46D8" w:rsidP="005536C0">
            <w:pPr>
              <w:pStyle w:val="MDPI51figurecaption"/>
              <w:spacing w:before="0" w:after="0" w:line="240" w:lineRule="auto"/>
              <w:ind w:left="0"/>
              <w:jc w:val="center"/>
              <w:rPr>
                <w:rFonts w:ascii="Times New Roman" w:hAnsi="Times New Roman"/>
                <w:sz w:val="28"/>
                <w:szCs w:val="28"/>
              </w:rPr>
            </w:pPr>
            <w:r w:rsidRPr="00916B3A">
              <w:rPr>
                <w:rFonts w:ascii="Times New Roman" w:hAnsi="Times New Roman"/>
                <w:sz w:val="28"/>
                <w:szCs w:val="28"/>
              </w:rPr>
              <w:t xml:space="preserve">Специфичность </w:t>
            </w:r>
            <w:r w:rsidRPr="00916B3A">
              <w:rPr>
                <w:rFonts w:ascii="Times New Roman" w:hAnsi="Times New Roman"/>
                <w:sz w:val="28"/>
                <w:szCs w:val="28"/>
              </w:rPr>
              <w:br/>
              <w:t>(95% ДИ)</w:t>
            </w:r>
          </w:p>
        </w:tc>
      </w:tr>
      <w:tr w:rsidR="002A46D8" w:rsidRPr="00916B3A" w14:paraId="0822D114" w14:textId="77777777" w:rsidTr="005536C0">
        <w:trPr>
          <w:jc w:val="center"/>
        </w:trPr>
        <w:tc>
          <w:tcPr>
            <w:tcW w:w="876" w:type="pct"/>
            <w:vAlign w:val="center"/>
          </w:tcPr>
          <w:p w14:paraId="484D283F"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CXCL1</w:t>
            </w:r>
          </w:p>
        </w:tc>
        <w:tc>
          <w:tcPr>
            <w:tcW w:w="851" w:type="pct"/>
            <w:vAlign w:val="center"/>
          </w:tcPr>
          <w:p w14:paraId="530DD26D"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0,782 (0,613-0,951)</w:t>
            </w:r>
          </w:p>
        </w:tc>
        <w:tc>
          <w:tcPr>
            <w:tcW w:w="942" w:type="pct"/>
            <w:vAlign w:val="center"/>
          </w:tcPr>
          <w:p w14:paraId="544E7BC2"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-5.286</w:t>
            </w:r>
          </w:p>
        </w:tc>
        <w:tc>
          <w:tcPr>
            <w:tcW w:w="1235" w:type="pct"/>
            <w:vAlign w:val="center"/>
          </w:tcPr>
          <w:p w14:paraId="61EEAB59" w14:textId="4DF3B3C8"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0,900 (0,683-0,988)</w:t>
            </w:r>
          </w:p>
        </w:tc>
        <w:tc>
          <w:tcPr>
            <w:tcW w:w="1097" w:type="pct"/>
            <w:vAlign w:val="center"/>
          </w:tcPr>
          <w:p w14:paraId="1C30686D"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0,571 (0,289-0,823)</w:t>
            </w:r>
          </w:p>
        </w:tc>
      </w:tr>
      <w:tr w:rsidR="002A46D8" w:rsidRPr="00916B3A" w14:paraId="03F7E31B" w14:textId="77777777" w:rsidTr="005536C0">
        <w:trPr>
          <w:jc w:val="center"/>
        </w:trPr>
        <w:tc>
          <w:tcPr>
            <w:tcW w:w="876" w:type="pct"/>
            <w:vAlign w:val="center"/>
          </w:tcPr>
          <w:p w14:paraId="3ABB9793"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C4BPA</w:t>
            </w:r>
          </w:p>
        </w:tc>
        <w:tc>
          <w:tcPr>
            <w:tcW w:w="851" w:type="pct"/>
            <w:vAlign w:val="center"/>
          </w:tcPr>
          <w:p w14:paraId="49B2BBCB"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0,726 (0,535–0,918)</w:t>
            </w:r>
          </w:p>
        </w:tc>
        <w:tc>
          <w:tcPr>
            <w:tcW w:w="942" w:type="pct"/>
            <w:vAlign w:val="center"/>
          </w:tcPr>
          <w:p w14:paraId="68DB28F8"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-7.462</w:t>
            </w:r>
          </w:p>
        </w:tc>
        <w:tc>
          <w:tcPr>
            <w:tcW w:w="1235" w:type="pct"/>
            <w:vAlign w:val="center"/>
          </w:tcPr>
          <w:p w14:paraId="3ABFA436" w14:textId="01A64B52"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0,889 (0,653–0,986)</w:t>
            </w:r>
          </w:p>
        </w:tc>
        <w:tc>
          <w:tcPr>
            <w:tcW w:w="1097" w:type="pct"/>
            <w:vAlign w:val="center"/>
          </w:tcPr>
          <w:p w14:paraId="650B7798"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0,571 (0,289–0,823)</w:t>
            </w:r>
          </w:p>
        </w:tc>
      </w:tr>
      <w:tr w:rsidR="002A46D8" w:rsidRPr="00916B3A" w14:paraId="6B3D443A" w14:textId="77777777" w:rsidTr="005536C0">
        <w:trPr>
          <w:jc w:val="center"/>
        </w:trPr>
        <w:tc>
          <w:tcPr>
            <w:tcW w:w="876" w:type="pct"/>
            <w:vAlign w:val="center"/>
          </w:tcPr>
          <w:p w14:paraId="57D030F7"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C4BPA + CXCL1</w:t>
            </w:r>
          </w:p>
        </w:tc>
        <w:tc>
          <w:tcPr>
            <w:tcW w:w="851" w:type="pct"/>
            <w:vAlign w:val="center"/>
          </w:tcPr>
          <w:p w14:paraId="68F3495F"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0,806</w:t>
            </w:r>
          </w:p>
        </w:tc>
        <w:tc>
          <w:tcPr>
            <w:tcW w:w="942" w:type="pct"/>
            <w:vAlign w:val="center"/>
          </w:tcPr>
          <w:p w14:paraId="5852B2F4"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w:t>
            </w:r>
          </w:p>
        </w:tc>
        <w:tc>
          <w:tcPr>
            <w:tcW w:w="1235" w:type="pct"/>
            <w:vAlign w:val="center"/>
          </w:tcPr>
          <w:p w14:paraId="77A814A0" w14:textId="2F2A288F"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0,833</w:t>
            </w:r>
          </w:p>
        </w:tc>
        <w:tc>
          <w:tcPr>
            <w:tcW w:w="1097" w:type="pct"/>
            <w:vAlign w:val="center"/>
          </w:tcPr>
          <w:p w14:paraId="062C441A" w14:textId="77777777" w:rsidR="002A46D8" w:rsidRPr="00916B3A" w:rsidRDefault="002A46D8" w:rsidP="000B7B11">
            <w:pPr>
              <w:pStyle w:val="MDPI51figurecaption"/>
              <w:spacing w:before="0" w:after="0" w:line="240" w:lineRule="auto"/>
              <w:ind w:left="0"/>
              <w:jc w:val="left"/>
              <w:rPr>
                <w:rFonts w:ascii="Times New Roman" w:hAnsi="Times New Roman"/>
                <w:sz w:val="28"/>
                <w:szCs w:val="28"/>
              </w:rPr>
            </w:pPr>
            <w:r w:rsidRPr="00916B3A">
              <w:rPr>
                <w:rFonts w:ascii="Times New Roman" w:hAnsi="Times New Roman"/>
                <w:sz w:val="28"/>
                <w:szCs w:val="28"/>
              </w:rPr>
              <w:t>0,643</w:t>
            </w:r>
          </w:p>
        </w:tc>
      </w:tr>
    </w:tbl>
    <w:p w14:paraId="286F5A69" w14:textId="77777777" w:rsidR="00021B57" w:rsidRPr="00916B3A" w:rsidRDefault="00021B57" w:rsidP="000B7B11">
      <w:pPr>
        <w:spacing w:after="0" w:line="240" w:lineRule="auto"/>
        <w:rPr>
          <w:rFonts w:ascii="Times New Roman" w:hAnsi="Times New Roman" w:cs="Times New Roman"/>
          <w:sz w:val="28"/>
          <w:szCs w:val="28"/>
        </w:rPr>
      </w:pPr>
    </w:p>
    <w:p w14:paraId="30EE61CC" w14:textId="60972932" w:rsidR="000943E4" w:rsidRPr="00916B3A" w:rsidRDefault="000943E4" w:rsidP="000943E4">
      <w:pPr>
        <w:pStyle w:val="MDPI31text"/>
        <w:spacing w:line="240" w:lineRule="auto"/>
        <w:ind w:left="0" w:firstLine="567"/>
        <w:rPr>
          <w:rFonts w:ascii="Times New Roman" w:hAnsi="Times New Roman"/>
          <w:sz w:val="28"/>
          <w:szCs w:val="28"/>
          <w:lang w:val="ru-RU"/>
        </w:rPr>
      </w:pPr>
      <w:r w:rsidRPr="00916B3A">
        <w:rPr>
          <w:rFonts w:ascii="Times New Roman" w:hAnsi="Times New Roman"/>
          <w:sz w:val="28"/>
          <w:szCs w:val="28"/>
          <w:lang w:val="ru-RU"/>
        </w:rPr>
        <w:t xml:space="preserve">Площади под </w:t>
      </w:r>
      <w:r w:rsidRPr="00916B3A">
        <w:rPr>
          <w:rFonts w:ascii="Times New Roman" w:hAnsi="Times New Roman"/>
          <w:sz w:val="28"/>
          <w:szCs w:val="28"/>
        </w:rPr>
        <w:t>ROC</w:t>
      </w:r>
      <w:r w:rsidRPr="00916B3A">
        <w:rPr>
          <w:rFonts w:ascii="Times New Roman" w:hAnsi="Times New Roman"/>
          <w:sz w:val="28"/>
          <w:szCs w:val="28"/>
          <w:lang w:val="ru-RU"/>
        </w:rPr>
        <w:t>-кривой (</w:t>
      </w:r>
      <w:r w:rsidRPr="00916B3A">
        <w:rPr>
          <w:rFonts w:ascii="Times New Roman" w:hAnsi="Times New Roman"/>
          <w:sz w:val="28"/>
          <w:szCs w:val="28"/>
        </w:rPr>
        <w:t>AUC</w:t>
      </w:r>
      <w:r w:rsidRPr="00916B3A">
        <w:rPr>
          <w:rFonts w:ascii="Times New Roman" w:hAnsi="Times New Roman"/>
          <w:sz w:val="28"/>
          <w:szCs w:val="28"/>
          <w:lang w:val="ru-RU"/>
        </w:rPr>
        <w:t xml:space="preserve">) были получены для </w:t>
      </w:r>
      <w:r w:rsidRPr="00916B3A">
        <w:rPr>
          <w:rFonts w:ascii="Times New Roman" w:hAnsi="Times New Roman"/>
          <w:sz w:val="28"/>
          <w:szCs w:val="28"/>
        </w:rPr>
        <w:t>CXCL</w:t>
      </w:r>
      <w:r w:rsidRPr="00916B3A">
        <w:rPr>
          <w:rFonts w:ascii="Times New Roman" w:hAnsi="Times New Roman"/>
          <w:sz w:val="28"/>
          <w:szCs w:val="28"/>
          <w:lang w:val="ru-RU"/>
        </w:rPr>
        <w:t xml:space="preserve">1 (0,782) и </w:t>
      </w:r>
      <w:r w:rsidRPr="00916B3A">
        <w:rPr>
          <w:rFonts w:ascii="Times New Roman" w:hAnsi="Times New Roman"/>
          <w:sz w:val="28"/>
          <w:szCs w:val="28"/>
        </w:rPr>
        <w:t>C</w:t>
      </w:r>
      <w:r w:rsidRPr="00916B3A">
        <w:rPr>
          <w:rFonts w:ascii="Times New Roman" w:hAnsi="Times New Roman"/>
          <w:sz w:val="28"/>
          <w:szCs w:val="28"/>
          <w:lang w:val="ru-RU"/>
        </w:rPr>
        <w:t>4</w:t>
      </w:r>
      <w:r w:rsidRPr="00916B3A">
        <w:rPr>
          <w:rFonts w:ascii="Times New Roman" w:hAnsi="Times New Roman"/>
          <w:sz w:val="28"/>
          <w:szCs w:val="28"/>
        </w:rPr>
        <w:t>BPA</w:t>
      </w:r>
      <w:r w:rsidRPr="00916B3A">
        <w:rPr>
          <w:rFonts w:ascii="Times New Roman" w:hAnsi="Times New Roman"/>
          <w:sz w:val="28"/>
          <w:szCs w:val="28"/>
          <w:lang w:val="ru-RU"/>
        </w:rPr>
        <w:t xml:space="preserve"> (0,726) (Рисунок </w:t>
      </w:r>
      <w:r w:rsidR="00C47DC0" w:rsidRPr="00916B3A">
        <w:rPr>
          <w:rFonts w:ascii="Times New Roman" w:hAnsi="Times New Roman"/>
          <w:sz w:val="28"/>
          <w:szCs w:val="28"/>
          <w:lang w:val="ru-RU"/>
        </w:rPr>
        <w:t>8</w:t>
      </w:r>
      <w:r w:rsidRPr="00916B3A">
        <w:rPr>
          <w:rFonts w:ascii="Times New Roman" w:hAnsi="Times New Roman"/>
          <w:sz w:val="28"/>
          <w:szCs w:val="28"/>
          <w:lang w:val="ru-RU"/>
        </w:rPr>
        <w:t xml:space="preserve">). Использование комбинации </w:t>
      </w:r>
      <w:r w:rsidRPr="00916B3A">
        <w:rPr>
          <w:rFonts w:ascii="Times New Roman" w:hAnsi="Times New Roman"/>
          <w:sz w:val="28"/>
          <w:szCs w:val="28"/>
        </w:rPr>
        <w:t>C</w:t>
      </w:r>
      <w:r w:rsidRPr="00916B3A">
        <w:rPr>
          <w:rFonts w:ascii="Times New Roman" w:hAnsi="Times New Roman"/>
          <w:sz w:val="28"/>
          <w:szCs w:val="28"/>
          <w:lang w:val="ru-RU"/>
        </w:rPr>
        <w:t>4</w:t>
      </w:r>
      <w:r w:rsidRPr="00916B3A">
        <w:rPr>
          <w:rFonts w:ascii="Times New Roman" w:hAnsi="Times New Roman"/>
          <w:sz w:val="28"/>
          <w:szCs w:val="28"/>
        </w:rPr>
        <w:t>BPA</w:t>
      </w:r>
      <w:r w:rsidRPr="00916B3A">
        <w:rPr>
          <w:rFonts w:ascii="Times New Roman" w:hAnsi="Times New Roman"/>
          <w:sz w:val="28"/>
          <w:szCs w:val="28"/>
          <w:lang w:val="ru-RU"/>
        </w:rPr>
        <w:t xml:space="preserve"> и </w:t>
      </w:r>
      <w:r w:rsidRPr="00916B3A">
        <w:rPr>
          <w:rFonts w:ascii="Times New Roman" w:hAnsi="Times New Roman"/>
          <w:sz w:val="28"/>
          <w:szCs w:val="28"/>
        </w:rPr>
        <w:t>CXCL</w:t>
      </w:r>
      <w:r w:rsidRPr="00916B3A">
        <w:rPr>
          <w:rFonts w:ascii="Times New Roman" w:hAnsi="Times New Roman"/>
          <w:sz w:val="28"/>
          <w:szCs w:val="28"/>
          <w:lang w:val="ru-RU"/>
        </w:rPr>
        <w:t xml:space="preserve">1 привело к увеличению </w:t>
      </w:r>
      <w:r w:rsidRPr="00916B3A">
        <w:rPr>
          <w:rFonts w:ascii="Times New Roman" w:hAnsi="Times New Roman"/>
          <w:sz w:val="28"/>
          <w:szCs w:val="28"/>
        </w:rPr>
        <w:t>AUC</w:t>
      </w:r>
      <w:r w:rsidRPr="00916B3A">
        <w:rPr>
          <w:rFonts w:ascii="Times New Roman" w:hAnsi="Times New Roman"/>
          <w:sz w:val="28"/>
          <w:szCs w:val="28"/>
          <w:lang w:val="ru-RU"/>
        </w:rPr>
        <w:t xml:space="preserve"> до 0,806 (со специфичностью </w:t>
      </w:r>
      <w:r w:rsidRPr="00916B3A">
        <w:rPr>
          <w:rFonts w:ascii="Times New Roman" w:hAnsi="Times New Roman"/>
          <w:sz w:val="28"/>
          <w:szCs w:val="28"/>
        </w:rPr>
        <w:t>64,3% и чувствительностью 83,3%).</w:t>
      </w:r>
    </w:p>
    <w:p w14:paraId="52EC3301" w14:textId="77777777" w:rsidR="00021B57" w:rsidRPr="00916B3A" w:rsidRDefault="00021B57" w:rsidP="000B7B11">
      <w:pPr>
        <w:spacing w:after="0" w:line="240" w:lineRule="auto"/>
        <w:rPr>
          <w:rFonts w:ascii="Times New Roman" w:hAnsi="Times New Roman" w:cs="Times New Roman"/>
          <w:sz w:val="28"/>
          <w:szCs w:val="28"/>
        </w:rPr>
      </w:pPr>
    </w:p>
    <w:tbl>
      <w:tblPr>
        <w:tblW w:w="0" w:type="auto"/>
        <w:jc w:val="right"/>
        <w:tblLook w:val="0000" w:firstRow="0" w:lastRow="0" w:firstColumn="0" w:lastColumn="0" w:noHBand="0" w:noVBand="0"/>
      </w:tblPr>
      <w:tblGrid>
        <w:gridCol w:w="3441"/>
        <w:gridCol w:w="3146"/>
        <w:gridCol w:w="3051"/>
      </w:tblGrid>
      <w:tr w:rsidR="00021B57" w:rsidRPr="00916B3A" w14:paraId="41C5E81D" w14:textId="77777777" w:rsidTr="000439D0">
        <w:trPr>
          <w:jc w:val="right"/>
        </w:trPr>
        <w:tc>
          <w:tcPr>
            <w:tcW w:w="3193" w:type="dxa"/>
            <w:shd w:val="clear" w:color="auto" w:fill="auto"/>
            <w:vAlign w:val="center"/>
          </w:tcPr>
          <w:p w14:paraId="4A6D846E" w14:textId="77777777" w:rsidR="00021B57" w:rsidRPr="00916B3A" w:rsidRDefault="00021B57" w:rsidP="000B7B11">
            <w:pPr>
              <w:pStyle w:val="MDPI52figure"/>
              <w:spacing w:before="0" w:after="0"/>
              <w:rPr>
                <w:rFonts w:ascii="Times New Roman" w:hAnsi="Times New Roman"/>
                <w:sz w:val="28"/>
                <w:szCs w:val="28"/>
              </w:rPr>
            </w:pPr>
            <w:r w:rsidRPr="00916B3A">
              <w:rPr>
                <w:rFonts w:ascii="Times New Roman" w:hAnsi="Times New Roman"/>
                <w:noProof/>
                <w:snapToGrid/>
                <w:sz w:val="28"/>
                <w:szCs w:val="28"/>
                <w:lang w:val="ru-RU" w:eastAsia="ru-RU" w:bidi="ar-SA"/>
                <w14:ligatures w14:val="standardContextual"/>
              </w:rPr>
              <w:drawing>
                <wp:inline distT="0" distB="0" distL="0" distR="0" wp14:anchorId="38A2D4CD" wp14:editId="32C45EE9">
                  <wp:extent cx="2080817" cy="1924335"/>
                  <wp:effectExtent l="0" t="0" r="0" b="0"/>
                  <wp:docPr id="1313770771" name="Рисунок 1313770771" descr="C:\Users\User\Documents\0 Работа\0 Проекты\0 Проекты текущие\09 Проект Невынашивание\Статья1new\хлам\figure2\Fig2a-CXC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0 Работа\0 Проекты\0 Проекты текущие\09 Проект Невынашивание\Статья1new\хлам\figure2\Fig2a-CXCL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498" cy="1931438"/>
                          </a:xfrm>
                          <a:prstGeom prst="rect">
                            <a:avLst/>
                          </a:prstGeom>
                          <a:noFill/>
                          <a:ln>
                            <a:noFill/>
                          </a:ln>
                        </pic:spPr>
                      </pic:pic>
                    </a:graphicData>
                  </a:graphic>
                </wp:inline>
              </w:drawing>
            </w:r>
          </w:p>
        </w:tc>
        <w:tc>
          <w:tcPr>
            <w:tcW w:w="3193" w:type="dxa"/>
          </w:tcPr>
          <w:p w14:paraId="667E4C58" w14:textId="77777777" w:rsidR="00021B57" w:rsidRPr="00916B3A" w:rsidRDefault="00021B57" w:rsidP="000B7B11">
            <w:pPr>
              <w:pStyle w:val="MDPI52figure"/>
              <w:spacing w:before="0" w:after="0"/>
              <w:rPr>
                <w:rFonts w:ascii="Times New Roman" w:hAnsi="Times New Roman"/>
                <w:sz w:val="28"/>
                <w:szCs w:val="28"/>
              </w:rPr>
            </w:pPr>
            <w:r w:rsidRPr="00916B3A">
              <w:rPr>
                <w:rFonts w:ascii="Times New Roman" w:hAnsi="Times New Roman"/>
                <w:noProof/>
                <w:snapToGrid/>
                <w:sz w:val="28"/>
                <w:szCs w:val="28"/>
                <w:lang w:val="ru-RU" w:eastAsia="ru-RU" w:bidi="ar-SA"/>
                <w14:ligatures w14:val="standardContextual"/>
              </w:rPr>
              <w:drawing>
                <wp:inline distT="0" distB="0" distL="0" distR="0" wp14:anchorId="4A6B7E74" wp14:editId="234D6AE3">
                  <wp:extent cx="1889760" cy="1883391"/>
                  <wp:effectExtent l="0" t="0" r="0" b="3175"/>
                  <wp:docPr id="1872405761" name="Рисунок 1872405761" descr="C:\Users\User\Documents\0 Работа\0 Проекты\0 Проекты текущие\09 Проект Невынашивание\Статья1new\хлам\figure2\Fig2b-C4B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0 Работа\0 Проекты\0 Проекты текущие\09 Проект Невынашивание\Статья1new\хлам\figure2\Fig2b-C4BP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4198" cy="1887814"/>
                          </a:xfrm>
                          <a:prstGeom prst="rect">
                            <a:avLst/>
                          </a:prstGeom>
                          <a:noFill/>
                          <a:ln>
                            <a:noFill/>
                          </a:ln>
                        </pic:spPr>
                      </pic:pic>
                    </a:graphicData>
                  </a:graphic>
                </wp:inline>
              </w:drawing>
            </w:r>
          </w:p>
        </w:tc>
        <w:tc>
          <w:tcPr>
            <w:tcW w:w="3185" w:type="dxa"/>
          </w:tcPr>
          <w:p w14:paraId="1643CAC0" w14:textId="77777777" w:rsidR="00021B57" w:rsidRPr="00916B3A" w:rsidRDefault="00021B57" w:rsidP="000B7B11">
            <w:pPr>
              <w:pStyle w:val="MDPI52figure"/>
              <w:spacing w:before="0" w:after="0"/>
              <w:rPr>
                <w:rFonts w:ascii="Times New Roman" w:hAnsi="Times New Roman"/>
                <w:noProof/>
                <w:snapToGrid/>
                <w:sz w:val="28"/>
                <w:szCs w:val="28"/>
                <w:lang w:val="ru-RU" w:eastAsia="ru-RU" w:bidi="ar-SA"/>
              </w:rPr>
            </w:pPr>
            <w:r w:rsidRPr="00916B3A">
              <w:rPr>
                <w:rFonts w:ascii="Times New Roman" w:hAnsi="Times New Roman"/>
                <w:noProof/>
                <w:snapToGrid/>
                <w:sz w:val="28"/>
                <w:szCs w:val="28"/>
                <w:lang w:val="ru-RU" w:eastAsia="ru-RU" w:bidi="ar-SA"/>
                <w14:ligatures w14:val="standardContextual"/>
              </w:rPr>
              <w:drawing>
                <wp:inline distT="0" distB="0" distL="0" distR="0" wp14:anchorId="3CA9BF62" wp14:editId="68EB1F3D">
                  <wp:extent cx="1822450" cy="1856096"/>
                  <wp:effectExtent l="0" t="0" r="6350" b="0"/>
                  <wp:docPr id="8" name="Рисунок 8" descr="C:\Users\User\Documents\0 Работа\0 Проекты\0 Проекты текущие\09 Проект Невынашивание\Статья1new\хлам\figure2\Fig2c-Comb_C4BPA+CXC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0 Работа\0 Проекты\0 Проекты текущие\09 Проект Невынашивание\Статья1new\хлам\figure2\Fig2c-Comb_C4BPA+CXCL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3581" cy="1857247"/>
                          </a:xfrm>
                          <a:prstGeom prst="rect">
                            <a:avLst/>
                          </a:prstGeom>
                          <a:noFill/>
                          <a:ln>
                            <a:noFill/>
                          </a:ln>
                        </pic:spPr>
                      </pic:pic>
                    </a:graphicData>
                  </a:graphic>
                </wp:inline>
              </w:drawing>
            </w:r>
          </w:p>
        </w:tc>
      </w:tr>
      <w:tr w:rsidR="00021B57" w:rsidRPr="00916B3A" w14:paraId="56615284" w14:textId="77777777" w:rsidTr="000439D0">
        <w:trPr>
          <w:jc w:val="right"/>
        </w:trPr>
        <w:tc>
          <w:tcPr>
            <w:tcW w:w="3193" w:type="dxa"/>
            <w:shd w:val="clear" w:color="auto" w:fill="auto"/>
            <w:vAlign w:val="center"/>
          </w:tcPr>
          <w:p w14:paraId="60667B7F" w14:textId="0FD13878" w:rsidR="00021B57" w:rsidRPr="005536C0" w:rsidRDefault="00021B57" w:rsidP="000B7B11">
            <w:pPr>
              <w:pStyle w:val="MDPI42tablebody"/>
              <w:spacing w:line="240" w:lineRule="auto"/>
              <w:rPr>
                <w:rFonts w:ascii="Times New Roman" w:hAnsi="Times New Roman"/>
                <w:sz w:val="28"/>
                <w:szCs w:val="28"/>
              </w:rPr>
            </w:pPr>
            <w:r w:rsidRPr="005536C0">
              <w:rPr>
                <w:rFonts w:ascii="Times New Roman" w:hAnsi="Times New Roman"/>
                <w:sz w:val="28"/>
                <w:szCs w:val="28"/>
              </w:rPr>
              <w:t xml:space="preserve"> а )</w:t>
            </w:r>
          </w:p>
        </w:tc>
        <w:tc>
          <w:tcPr>
            <w:tcW w:w="3193" w:type="dxa"/>
          </w:tcPr>
          <w:p w14:paraId="569CA49B" w14:textId="2299FBEF" w:rsidR="00021B57" w:rsidRPr="005536C0" w:rsidRDefault="00021B57" w:rsidP="005536C0">
            <w:pPr>
              <w:pStyle w:val="MDPI42tablebody"/>
              <w:spacing w:line="240" w:lineRule="auto"/>
              <w:rPr>
                <w:rFonts w:ascii="Times New Roman" w:hAnsi="Times New Roman"/>
                <w:sz w:val="28"/>
                <w:szCs w:val="28"/>
              </w:rPr>
            </w:pPr>
            <w:r w:rsidRPr="005536C0">
              <w:rPr>
                <w:rFonts w:ascii="Times New Roman" w:hAnsi="Times New Roman"/>
                <w:sz w:val="28"/>
                <w:szCs w:val="28"/>
              </w:rPr>
              <w:t>б)</w:t>
            </w:r>
          </w:p>
        </w:tc>
        <w:tc>
          <w:tcPr>
            <w:tcW w:w="3185" w:type="dxa"/>
          </w:tcPr>
          <w:p w14:paraId="5263B69C" w14:textId="6819CC21" w:rsidR="00021B57" w:rsidRPr="005536C0" w:rsidRDefault="00021B57" w:rsidP="000B7B11">
            <w:pPr>
              <w:pStyle w:val="MDPI42tablebody"/>
              <w:spacing w:line="240" w:lineRule="auto"/>
              <w:rPr>
                <w:rFonts w:ascii="Times New Roman" w:hAnsi="Times New Roman"/>
                <w:sz w:val="28"/>
                <w:szCs w:val="28"/>
              </w:rPr>
            </w:pPr>
            <w:r w:rsidRPr="005536C0">
              <w:rPr>
                <w:rFonts w:ascii="Times New Roman" w:hAnsi="Times New Roman"/>
                <w:sz w:val="28"/>
                <w:szCs w:val="28"/>
              </w:rPr>
              <w:t>с )</w:t>
            </w:r>
          </w:p>
        </w:tc>
      </w:tr>
    </w:tbl>
    <w:p w14:paraId="06847677" w14:textId="77777777" w:rsidR="005536C0" w:rsidRDefault="005536C0" w:rsidP="000B7B11">
      <w:pPr>
        <w:pStyle w:val="MDPI51figurecaption"/>
        <w:spacing w:before="0" w:after="0" w:line="240" w:lineRule="auto"/>
        <w:ind w:left="0"/>
        <w:jc w:val="center"/>
        <w:rPr>
          <w:rFonts w:ascii="Times New Roman" w:hAnsi="Times New Roman"/>
          <w:sz w:val="28"/>
          <w:szCs w:val="28"/>
          <w:lang w:val="ru-RU"/>
        </w:rPr>
      </w:pPr>
    </w:p>
    <w:p w14:paraId="350F759F" w14:textId="185C4D6F" w:rsidR="005536C0" w:rsidRDefault="005536C0" w:rsidP="005536C0">
      <w:pPr>
        <w:pStyle w:val="MDPI51figurecaption"/>
        <w:spacing w:before="0" w:after="0" w:line="240" w:lineRule="auto"/>
        <w:ind w:left="0" w:firstLine="567"/>
        <w:rPr>
          <w:rFonts w:ascii="Times New Roman" w:hAnsi="Times New Roman"/>
          <w:sz w:val="28"/>
          <w:szCs w:val="28"/>
          <w:lang w:val="ru-RU"/>
        </w:rPr>
      </w:pPr>
      <w:r w:rsidRPr="00916B3A">
        <w:rPr>
          <w:rFonts w:ascii="Times New Roman" w:hAnsi="Times New Roman"/>
          <w:sz w:val="28"/>
          <w:szCs w:val="28"/>
        </w:rPr>
        <w:t>a</w:t>
      </w:r>
      <w:r w:rsidRPr="00916B3A">
        <w:rPr>
          <w:rFonts w:ascii="Times New Roman" w:hAnsi="Times New Roman"/>
          <w:sz w:val="28"/>
          <w:szCs w:val="28"/>
          <w:lang w:val="ru-RU"/>
        </w:rPr>
        <w:t xml:space="preserve">) </w:t>
      </w:r>
      <w:r w:rsidRPr="00916B3A">
        <w:rPr>
          <w:rFonts w:ascii="Times New Roman" w:hAnsi="Times New Roman"/>
          <w:sz w:val="28"/>
          <w:szCs w:val="28"/>
        </w:rPr>
        <w:t>CXCL</w:t>
      </w:r>
      <w:r w:rsidRPr="00916B3A">
        <w:rPr>
          <w:rFonts w:ascii="Times New Roman" w:hAnsi="Times New Roman"/>
          <w:sz w:val="28"/>
          <w:szCs w:val="28"/>
          <w:lang w:val="ru-RU"/>
        </w:rPr>
        <w:t xml:space="preserve">1; </w:t>
      </w:r>
      <w:r w:rsidRPr="00916B3A">
        <w:rPr>
          <w:rFonts w:ascii="Times New Roman" w:hAnsi="Times New Roman"/>
          <w:sz w:val="28"/>
          <w:szCs w:val="28"/>
        </w:rPr>
        <w:t>b</w:t>
      </w:r>
      <w:r w:rsidRPr="00916B3A">
        <w:rPr>
          <w:rFonts w:ascii="Times New Roman" w:hAnsi="Times New Roman"/>
          <w:sz w:val="28"/>
          <w:szCs w:val="28"/>
          <w:lang w:val="ru-RU"/>
        </w:rPr>
        <w:t xml:space="preserve">) </w:t>
      </w:r>
      <w:r w:rsidRPr="00916B3A">
        <w:rPr>
          <w:rFonts w:ascii="Times New Roman" w:hAnsi="Times New Roman"/>
          <w:sz w:val="28"/>
          <w:szCs w:val="28"/>
        </w:rPr>
        <w:t>C</w:t>
      </w:r>
      <w:r w:rsidRPr="00916B3A">
        <w:rPr>
          <w:rFonts w:ascii="Times New Roman" w:hAnsi="Times New Roman"/>
          <w:sz w:val="28"/>
          <w:szCs w:val="28"/>
          <w:lang w:val="ru-RU"/>
        </w:rPr>
        <w:t>4</w:t>
      </w:r>
      <w:r w:rsidRPr="00916B3A">
        <w:rPr>
          <w:rFonts w:ascii="Times New Roman" w:hAnsi="Times New Roman"/>
          <w:sz w:val="28"/>
          <w:szCs w:val="28"/>
        </w:rPr>
        <w:t>BPA</w:t>
      </w:r>
      <w:r w:rsidRPr="00916B3A">
        <w:rPr>
          <w:rFonts w:ascii="Times New Roman" w:hAnsi="Times New Roman"/>
          <w:sz w:val="28"/>
          <w:szCs w:val="28"/>
          <w:lang w:val="ru-RU"/>
        </w:rPr>
        <w:t>;</w:t>
      </w:r>
      <w:r>
        <w:rPr>
          <w:rFonts w:ascii="Times New Roman" w:hAnsi="Times New Roman"/>
          <w:sz w:val="28"/>
          <w:szCs w:val="28"/>
          <w:lang w:val="ru-RU"/>
        </w:rPr>
        <w:t xml:space="preserve"> </w:t>
      </w:r>
      <w:r w:rsidRPr="00916B3A">
        <w:rPr>
          <w:rFonts w:ascii="Times New Roman" w:hAnsi="Times New Roman"/>
          <w:sz w:val="28"/>
          <w:szCs w:val="28"/>
        </w:rPr>
        <w:t>c</w:t>
      </w:r>
      <w:r w:rsidRPr="00916B3A">
        <w:rPr>
          <w:rFonts w:ascii="Times New Roman" w:hAnsi="Times New Roman"/>
          <w:sz w:val="28"/>
          <w:szCs w:val="28"/>
          <w:lang w:val="ru-RU"/>
        </w:rPr>
        <w:t xml:space="preserve">) комбинация </w:t>
      </w:r>
      <w:r w:rsidRPr="00916B3A">
        <w:rPr>
          <w:rFonts w:ascii="Times New Roman" w:hAnsi="Times New Roman"/>
          <w:sz w:val="28"/>
          <w:szCs w:val="28"/>
        </w:rPr>
        <w:t>CXCL</w:t>
      </w:r>
      <w:r w:rsidRPr="00916B3A">
        <w:rPr>
          <w:rFonts w:ascii="Times New Roman" w:hAnsi="Times New Roman"/>
          <w:sz w:val="28"/>
          <w:szCs w:val="28"/>
          <w:lang w:val="ru-RU"/>
        </w:rPr>
        <w:t xml:space="preserve">1 и </w:t>
      </w:r>
      <w:r w:rsidRPr="00916B3A">
        <w:rPr>
          <w:rFonts w:ascii="Times New Roman" w:hAnsi="Times New Roman"/>
          <w:sz w:val="28"/>
          <w:szCs w:val="28"/>
        </w:rPr>
        <w:t>C</w:t>
      </w:r>
      <w:r w:rsidRPr="00916B3A">
        <w:rPr>
          <w:rFonts w:ascii="Times New Roman" w:hAnsi="Times New Roman"/>
          <w:sz w:val="28"/>
          <w:szCs w:val="28"/>
          <w:lang w:val="ru-RU"/>
        </w:rPr>
        <w:t>4</w:t>
      </w:r>
      <w:r w:rsidRPr="00916B3A">
        <w:rPr>
          <w:rFonts w:ascii="Times New Roman" w:hAnsi="Times New Roman"/>
          <w:sz w:val="28"/>
          <w:szCs w:val="28"/>
        </w:rPr>
        <w:t>BPA</w:t>
      </w:r>
      <w:r w:rsidRPr="00916B3A">
        <w:rPr>
          <w:rFonts w:ascii="Times New Roman" w:hAnsi="Times New Roman"/>
          <w:sz w:val="28"/>
          <w:szCs w:val="28"/>
          <w:lang w:val="ru-RU"/>
        </w:rPr>
        <w:t>.</w:t>
      </w:r>
    </w:p>
    <w:p w14:paraId="43A63E47" w14:textId="77777777" w:rsidR="005536C0" w:rsidRDefault="005536C0" w:rsidP="000B7B11">
      <w:pPr>
        <w:pStyle w:val="MDPI51figurecaption"/>
        <w:spacing w:before="0" w:after="0" w:line="240" w:lineRule="auto"/>
        <w:ind w:left="0"/>
        <w:jc w:val="center"/>
        <w:rPr>
          <w:rFonts w:ascii="Times New Roman" w:hAnsi="Times New Roman"/>
          <w:sz w:val="28"/>
          <w:szCs w:val="28"/>
          <w:lang w:val="ru-RU"/>
        </w:rPr>
      </w:pPr>
    </w:p>
    <w:p w14:paraId="6EA7759B" w14:textId="0A38D98A" w:rsidR="00021B57" w:rsidRPr="00916B3A" w:rsidRDefault="00DB05A1" w:rsidP="000B7B11">
      <w:pPr>
        <w:pStyle w:val="MDPI51figurecaption"/>
        <w:spacing w:before="0" w:after="0" w:line="240" w:lineRule="auto"/>
        <w:ind w:left="0"/>
        <w:jc w:val="center"/>
        <w:rPr>
          <w:rFonts w:ascii="Times New Roman" w:hAnsi="Times New Roman"/>
          <w:sz w:val="28"/>
          <w:szCs w:val="28"/>
          <w:lang w:val="ru-RU"/>
        </w:rPr>
      </w:pPr>
      <w:r w:rsidRPr="00916B3A">
        <w:rPr>
          <w:rFonts w:ascii="Times New Roman" w:hAnsi="Times New Roman"/>
          <w:bCs/>
          <w:sz w:val="28"/>
          <w:szCs w:val="28"/>
          <w:lang w:val="ru-RU"/>
        </w:rPr>
        <w:t xml:space="preserve">Рисунок </w:t>
      </w:r>
      <w:r w:rsidR="00C47DC0" w:rsidRPr="00916B3A">
        <w:rPr>
          <w:rFonts w:ascii="Times New Roman" w:hAnsi="Times New Roman"/>
          <w:bCs/>
          <w:sz w:val="28"/>
          <w:szCs w:val="28"/>
          <w:lang w:val="ru-RU"/>
        </w:rPr>
        <w:t>8</w:t>
      </w:r>
      <w:r w:rsidR="005536C0">
        <w:rPr>
          <w:rFonts w:ascii="Times New Roman" w:hAnsi="Times New Roman"/>
          <w:bCs/>
          <w:sz w:val="28"/>
          <w:szCs w:val="28"/>
          <w:lang w:val="ru-RU"/>
        </w:rPr>
        <w:t xml:space="preserve"> -</w:t>
      </w:r>
      <w:r w:rsidR="00021B57" w:rsidRPr="00916B3A">
        <w:rPr>
          <w:rFonts w:ascii="Times New Roman" w:hAnsi="Times New Roman"/>
          <w:b/>
          <w:sz w:val="28"/>
          <w:szCs w:val="28"/>
          <w:lang w:val="ru-RU"/>
        </w:rPr>
        <w:t xml:space="preserve"> </w:t>
      </w:r>
      <w:r w:rsidR="00021B57" w:rsidRPr="00916B3A">
        <w:rPr>
          <w:rFonts w:ascii="Times New Roman" w:hAnsi="Times New Roman"/>
          <w:sz w:val="28"/>
          <w:szCs w:val="28"/>
        </w:rPr>
        <w:t>ROC</w:t>
      </w:r>
      <w:r w:rsidR="00021B57" w:rsidRPr="00916B3A">
        <w:rPr>
          <w:rFonts w:ascii="Times New Roman" w:hAnsi="Times New Roman"/>
          <w:sz w:val="28"/>
          <w:szCs w:val="28"/>
          <w:lang w:val="ru-RU"/>
        </w:rPr>
        <w:t>-кривые для потенциальных маркеров и комбинаций маркеров при различении пациентов с РИФ и фертильных женщин</w:t>
      </w:r>
    </w:p>
    <w:p w14:paraId="2957AB7A" w14:textId="77777777" w:rsidR="00021B57" w:rsidRPr="00916B3A" w:rsidRDefault="00021B57" w:rsidP="000B7B11">
      <w:pPr>
        <w:pStyle w:val="MDPI21heading1"/>
        <w:spacing w:before="0" w:after="0" w:line="240" w:lineRule="auto"/>
        <w:ind w:left="0"/>
        <w:rPr>
          <w:rFonts w:ascii="Times New Roman" w:hAnsi="Times New Roman"/>
          <w:color w:val="auto"/>
          <w:sz w:val="28"/>
          <w:szCs w:val="28"/>
          <w:lang w:val="ru-RU"/>
        </w:rPr>
      </w:pPr>
    </w:p>
    <w:p w14:paraId="235A3E04" w14:textId="55F45683" w:rsidR="00021B57" w:rsidRPr="005536C0" w:rsidRDefault="00021B57" w:rsidP="000B7B11">
      <w:pPr>
        <w:pStyle w:val="MDPI21heading1"/>
        <w:spacing w:before="0" w:after="0" w:line="240" w:lineRule="auto"/>
        <w:ind w:left="0" w:firstLine="567"/>
        <w:rPr>
          <w:rFonts w:ascii="Times New Roman" w:hAnsi="Times New Roman"/>
          <w:b w:val="0"/>
          <w:bCs/>
          <w:color w:val="auto"/>
          <w:sz w:val="28"/>
          <w:szCs w:val="28"/>
          <w:lang w:val="ru-RU"/>
        </w:rPr>
      </w:pPr>
      <w:r w:rsidRPr="005536C0">
        <w:rPr>
          <w:rFonts w:ascii="Times New Roman" w:hAnsi="Times New Roman"/>
          <w:b w:val="0"/>
          <w:bCs/>
          <w:color w:val="auto"/>
          <w:sz w:val="28"/>
          <w:szCs w:val="28"/>
          <w:lang w:val="ru-RU"/>
        </w:rPr>
        <w:t>Уровни мРНК в образцах эндометрия пациентов с РИФ по сравнению с пациентами с РПЛ</w:t>
      </w:r>
    </w:p>
    <w:p w14:paraId="5809D8FF" w14:textId="33EB0096" w:rsidR="00021B57" w:rsidRPr="00916B3A" w:rsidRDefault="00021B57" w:rsidP="000B7B11">
      <w:pPr>
        <w:pStyle w:val="MDPI31text"/>
        <w:spacing w:line="240" w:lineRule="auto"/>
        <w:ind w:left="0" w:firstLine="567"/>
        <w:rPr>
          <w:rFonts w:ascii="Times New Roman" w:hAnsi="Times New Roman"/>
          <w:color w:val="auto"/>
          <w:sz w:val="28"/>
          <w:szCs w:val="28"/>
          <w:lang w:val="ru-RU"/>
        </w:rPr>
      </w:pPr>
      <w:r w:rsidRPr="00916B3A">
        <w:rPr>
          <w:rFonts w:ascii="Times New Roman" w:hAnsi="Times New Roman"/>
          <w:color w:val="auto"/>
          <w:sz w:val="28"/>
          <w:szCs w:val="28"/>
          <w:lang w:val="ru-RU"/>
        </w:rPr>
        <w:t>Сравнительная статистика экспрессии генов у пациентов с РПБ</w:t>
      </w:r>
      <w:r w:rsidR="00DB05A1" w:rsidRPr="00916B3A">
        <w:rPr>
          <w:rFonts w:ascii="Times New Roman" w:hAnsi="Times New Roman"/>
          <w:color w:val="auto"/>
          <w:sz w:val="28"/>
          <w:szCs w:val="28"/>
          <w:lang w:val="ru-RU"/>
        </w:rPr>
        <w:t xml:space="preserve"> и РНИ представлена в таблице 1</w:t>
      </w:r>
      <w:r w:rsidR="000943E4" w:rsidRPr="00916B3A">
        <w:rPr>
          <w:rFonts w:ascii="Times New Roman" w:hAnsi="Times New Roman"/>
          <w:color w:val="auto"/>
          <w:sz w:val="28"/>
          <w:szCs w:val="28"/>
          <w:lang w:val="ru-RU"/>
        </w:rPr>
        <w:t>7</w:t>
      </w:r>
      <w:r w:rsidRPr="00916B3A">
        <w:rPr>
          <w:rFonts w:ascii="Times New Roman" w:hAnsi="Times New Roman"/>
          <w:color w:val="auto"/>
          <w:sz w:val="28"/>
          <w:szCs w:val="28"/>
          <w:lang w:val="ru-RU"/>
        </w:rPr>
        <w:t>.</w:t>
      </w:r>
    </w:p>
    <w:p w14:paraId="4C7B7D13" w14:textId="498FA712" w:rsidR="00342832" w:rsidRDefault="00342832" w:rsidP="000B7B11">
      <w:pPr>
        <w:pStyle w:val="MDPI31text"/>
        <w:spacing w:line="240" w:lineRule="auto"/>
        <w:ind w:left="0" w:firstLine="567"/>
        <w:rPr>
          <w:rFonts w:ascii="Times New Roman" w:hAnsi="Times New Roman"/>
          <w:color w:val="auto"/>
          <w:sz w:val="28"/>
          <w:szCs w:val="28"/>
          <w:lang w:val="ru-RU"/>
        </w:rPr>
      </w:pPr>
    </w:p>
    <w:p w14:paraId="2709350F" w14:textId="274539EC" w:rsidR="005536C0" w:rsidRDefault="005536C0" w:rsidP="000B7B11">
      <w:pPr>
        <w:pStyle w:val="MDPI31text"/>
        <w:spacing w:line="240" w:lineRule="auto"/>
        <w:ind w:left="0" w:firstLine="567"/>
        <w:rPr>
          <w:rFonts w:ascii="Times New Roman" w:hAnsi="Times New Roman"/>
          <w:color w:val="auto"/>
          <w:sz w:val="28"/>
          <w:szCs w:val="28"/>
          <w:lang w:val="ru-RU"/>
        </w:rPr>
      </w:pPr>
    </w:p>
    <w:p w14:paraId="25CBD26D" w14:textId="77777777" w:rsidR="005536C0" w:rsidRPr="00916B3A" w:rsidRDefault="005536C0" w:rsidP="000B7B11">
      <w:pPr>
        <w:pStyle w:val="MDPI31text"/>
        <w:spacing w:line="240" w:lineRule="auto"/>
        <w:ind w:left="0" w:firstLine="567"/>
        <w:rPr>
          <w:rFonts w:ascii="Times New Roman" w:hAnsi="Times New Roman"/>
          <w:color w:val="auto"/>
          <w:sz w:val="28"/>
          <w:szCs w:val="28"/>
          <w:lang w:val="ru-RU"/>
        </w:rPr>
      </w:pPr>
    </w:p>
    <w:p w14:paraId="201E60E3" w14:textId="459F323C" w:rsidR="00021B57" w:rsidRPr="00916B3A" w:rsidRDefault="00021B57" w:rsidP="005536C0">
      <w:pPr>
        <w:pStyle w:val="MDPI41tablecaption"/>
        <w:spacing w:before="0" w:after="0" w:line="240" w:lineRule="auto"/>
        <w:ind w:left="0"/>
        <w:jc w:val="both"/>
        <w:rPr>
          <w:rFonts w:ascii="Times New Roman" w:hAnsi="Times New Roman" w:cs="Times New Roman"/>
          <w:color w:val="auto"/>
          <w:sz w:val="28"/>
          <w:szCs w:val="28"/>
          <w:lang w:val="ru-RU"/>
        </w:rPr>
      </w:pPr>
      <w:r w:rsidRPr="00916B3A">
        <w:rPr>
          <w:rFonts w:ascii="Times New Roman" w:hAnsi="Times New Roman" w:cs="Times New Roman"/>
          <w:color w:val="auto"/>
          <w:sz w:val="28"/>
          <w:szCs w:val="28"/>
        </w:rPr>
        <w:t xml:space="preserve">Таблица </w:t>
      </w:r>
      <w:r w:rsidR="00DB05A1" w:rsidRPr="00916B3A">
        <w:rPr>
          <w:rFonts w:ascii="Times New Roman" w:hAnsi="Times New Roman" w:cs="Times New Roman"/>
          <w:color w:val="auto"/>
          <w:sz w:val="28"/>
          <w:szCs w:val="28"/>
          <w:lang w:val="ru-RU"/>
        </w:rPr>
        <w:t>17</w:t>
      </w:r>
      <w:r w:rsidR="005536C0">
        <w:rPr>
          <w:rFonts w:ascii="Times New Roman" w:hAnsi="Times New Roman" w:cs="Times New Roman"/>
          <w:color w:val="auto"/>
          <w:sz w:val="28"/>
          <w:szCs w:val="28"/>
          <w:lang w:val="ru-RU"/>
        </w:rPr>
        <w:t xml:space="preserve"> -</w:t>
      </w:r>
      <w:r w:rsidRPr="00916B3A">
        <w:rPr>
          <w:rFonts w:ascii="Times New Roman" w:hAnsi="Times New Roman" w:cs="Times New Roman"/>
          <w:color w:val="auto"/>
          <w:sz w:val="28"/>
          <w:szCs w:val="28"/>
        </w:rPr>
        <w:t xml:space="preserve"> Сравнительная статистика экспрессии генов между RIF и RPL у женщин</w:t>
      </w:r>
    </w:p>
    <w:p w14:paraId="01D1F253" w14:textId="77777777" w:rsidR="00342832" w:rsidRPr="00916B3A" w:rsidRDefault="00342832" w:rsidP="000B7B11">
      <w:pPr>
        <w:pStyle w:val="MDPI41tablecaption"/>
        <w:spacing w:before="0" w:after="0" w:line="240" w:lineRule="auto"/>
        <w:ind w:left="0"/>
        <w:rPr>
          <w:rFonts w:ascii="Times New Roman" w:hAnsi="Times New Roman" w:cs="Times New Roman"/>
          <w:color w:val="auto"/>
          <w:sz w:val="28"/>
          <w:szCs w:val="28"/>
          <w:lang w:val="ru-RU"/>
        </w:rPr>
      </w:pPr>
    </w:p>
    <w:tbl>
      <w:tblPr>
        <w:tblStyle w:val="ae"/>
        <w:tblW w:w="9634" w:type="dxa"/>
        <w:jc w:val="center"/>
        <w:tblLayout w:type="fixed"/>
        <w:tblCellMar>
          <w:left w:w="0" w:type="dxa"/>
          <w:right w:w="0" w:type="dxa"/>
        </w:tblCellMar>
        <w:tblLook w:val="04A0" w:firstRow="1" w:lastRow="0" w:firstColumn="1" w:lastColumn="0" w:noHBand="0" w:noVBand="1"/>
      </w:tblPr>
      <w:tblGrid>
        <w:gridCol w:w="988"/>
        <w:gridCol w:w="1478"/>
        <w:gridCol w:w="1405"/>
        <w:gridCol w:w="1364"/>
        <w:gridCol w:w="1368"/>
        <w:gridCol w:w="1971"/>
        <w:gridCol w:w="1060"/>
      </w:tblGrid>
      <w:tr w:rsidR="00021B57" w:rsidRPr="005536C0" w14:paraId="19703558" w14:textId="77777777" w:rsidTr="000439D0">
        <w:trPr>
          <w:jc w:val="center"/>
        </w:trPr>
        <w:tc>
          <w:tcPr>
            <w:tcW w:w="513" w:type="pct"/>
            <w:vMerge w:val="restart"/>
            <w:shd w:val="clear" w:color="auto" w:fill="auto"/>
            <w:vAlign w:val="center"/>
          </w:tcPr>
          <w:p w14:paraId="4877AAAC"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Ген</w:t>
            </w:r>
          </w:p>
        </w:tc>
        <w:tc>
          <w:tcPr>
            <w:tcW w:w="1496" w:type="pct"/>
            <w:gridSpan w:val="2"/>
            <w:shd w:val="clear" w:color="auto" w:fill="auto"/>
            <w:vAlign w:val="center"/>
          </w:tcPr>
          <w:p w14:paraId="31DB69E4"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Ct (среднее значение ± SD)</w:t>
            </w:r>
          </w:p>
        </w:tc>
        <w:tc>
          <w:tcPr>
            <w:tcW w:w="1418" w:type="pct"/>
            <w:gridSpan w:val="2"/>
            <w:shd w:val="clear" w:color="auto" w:fill="auto"/>
            <w:vAlign w:val="center"/>
          </w:tcPr>
          <w:p w14:paraId="497A2EC3"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ΔCt (среднее значение ± SE)</w:t>
            </w:r>
          </w:p>
        </w:tc>
        <w:tc>
          <w:tcPr>
            <w:tcW w:w="1023" w:type="pct"/>
            <w:vMerge w:val="restart"/>
            <w:shd w:val="clear" w:color="auto" w:fill="auto"/>
            <w:vAlign w:val="center"/>
          </w:tcPr>
          <w:p w14:paraId="6F60CDFF"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ΔΔCt (95% ДИ)</w:t>
            </w:r>
          </w:p>
          <w:p w14:paraId="6FCBA3B3"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Изменение кратности логарифма в 2 раза</w:t>
            </w:r>
          </w:p>
        </w:tc>
        <w:tc>
          <w:tcPr>
            <w:tcW w:w="550" w:type="pct"/>
            <w:vMerge w:val="restart"/>
            <w:shd w:val="clear" w:color="auto" w:fill="auto"/>
            <w:vAlign w:val="center"/>
          </w:tcPr>
          <w:p w14:paraId="7253F1CD"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i/>
                <w:sz w:val="24"/>
                <w:szCs w:val="24"/>
                <w:lang w:eastAsia="de-DE" w:bidi="en-US"/>
              </w:rPr>
              <w:t>p</w:t>
            </w:r>
          </w:p>
        </w:tc>
      </w:tr>
      <w:tr w:rsidR="00021B57" w:rsidRPr="005536C0" w14:paraId="59FAAE5C" w14:textId="77777777" w:rsidTr="000439D0">
        <w:trPr>
          <w:jc w:val="center"/>
        </w:trPr>
        <w:tc>
          <w:tcPr>
            <w:tcW w:w="513" w:type="pct"/>
            <w:vMerge/>
            <w:shd w:val="clear" w:color="auto" w:fill="auto"/>
            <w:vAlign w:val="center"/>
          </w:tcPr>
          <w:p w14:paraId="00BB2BCB"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p>
        </w:tc>
        <w:tc>
          <w:tcPr>
            <w:tcW w:w="767" w:type="pct"/>
            <w:shd w:val="clear" w:color="auto" w:fill="auto"/>
            <w:vAlign w:val="center"/>
          </w:tcPr>
          <w:p w14:paraId="278BAE6A"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РИФ</w:t>
            </w:r>
          </w:p>
        </w:tc>
        <w:tc>
          <w:tcPr>
            <w:tcW w:w="729" w:type="pct"/>
            <w:shd w:val="clear" w:color="auto" w:fill="auto"/>
            <w:vAlign w:val="center"/>
          </w:tcPr>
          <w:p w14:paraId="34AEDDAB"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РЛП</w:t>
            </w:r>
          </w:p>
        </w:tc>
        <w:tc>
          <w:tcPr>
            <w:tcW w:w="708" w:type="pct"/>
            <w:shd w:val="clear" w:color="auto" w:fill="auto"/>
            <w:vAlign w:val="center"/>
          </w:tcPr>
          <w:p w14:paraId="337AC133"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РИФ</w:t>
            </w:r>
          </w:p>
        </w:tc>
        <w:tc>
          <w:tcPr>
            <w:tcW w:w="710" w:type="pct"/>
            <w:shd w:val="clear" w:color="auto" w:fill="auto"/>
            <w:vAlign w:val="center"/>
          </w:tcPr>
          <w:p w14:paraId="07529C15"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РЛП</w:t>
            </w:r>
          </w:p>
        </w:tc>
        <w:tc>
          <w:tcPr>
            <w:tcW w:w="1023" w:type="pct"/>
            <w:vMerge/>
            <w:shd w:val="clear" w:color="auto" w:fill="auto"/>
            <w:vAlign w:val="center"/>
          </w:tcPr>
          <w:p w14:paraId="073A8598"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p>
        </w:tc>
        <w:tc>
          <w:tcPr>
            <w:tcW w:w="550" w:type="pct"/>
            <w:vMerge/>
            <w:shd w:val="clear" w:color="auto" w:fill="auto"/>
            <w:vAlign w:val="center"/>
          </w:tcPr>
          <w:p w14:paraId="6B23DDA3"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p>
        </w:tc>
      </w:tr>
      <w:tr w:rsidR="00021B57" w:rsidRPr="005536C0" w14:paraId="1CBC8342" w14:textId="77777777" w:rsidTr="000439D0">
        <w:trPr>
          <w:jc w:val="center"/>
        </w:trPr>
        <w:tc>
          <w:tcPr>
            <w:tcW w:w="513" w:type="pct"/>
            <w:shd w:val="clear" w:color="auto" w:fill="auto"/>
            <w:vAlign w:val="center"/>
          </w:tcPr>
          <w:p w14:paraId="00FFF67D" w14:textId="77777777" w:rsidR="00021B57" w:rsidRPr="005536C0" w:rsidRDefault="00021B57" w:rsidP="000B7B11">
            <w:pPr>
              <w:autoSpaceDE w:val="0"/>
              <w:autoSpaceDN w:val="0"/>
              <w:adjustRightInd w:val="0"/>
              <w:snapToGrid w:val="0"/>
              <w:rPr>
                <w:rFonts w:ascii="Times New Roman" w:hAnsi="Times New Roman" w:cs="Times New Roman"/>
                <w:i/>
                <w:iCs/>
                <w:sz w:val="24"/>
                <w:szCs w:val="24"/>
                <w:lang w:eastAsia="de-DE" w:bidi="en-US"/>
              </w:rPr>
            </w:pPr>
            <w:r w:rsidRPr="005536C0">
              <w:rPr>
                <w:rFonts w:ascii="Times New Roman" w:hAnsi="Times New Roman" w:cs="Times New Roman"/>
                <w:i/>
                <w:iCs/>
                <w:sz w:val="24"/>
                <w:szCs w:val="24"/>
                <w:lang w:eastAsia="de-DE" w:bidi="en-US"/>
              </w:rPr>
              <w:t>C4BPA</w:t>
            </w:r>
          </w:p>
        </w:tc>
        <w:tc>
          <w:tcPr>
            <w:tcW w:w="767" w:type="pct"/>
            <w:shd w:val="clear" w:color="auto" w:fill="auto"/>
            <w:vAlign w:val="center"/>
          </w:tcPr>
          <w:p w14:paraId="769FBE92"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30,51 ± 3,75</w:t>
            </w:r>
          </w:p>
        </w:tc>
        <w:tc>
          <w:tcPr>
            <w:tcW w:w="729" w:type="pct"/>
            <w:shd w:val="clear" w:color="auto" w:fill="auto"/>
            <w:vAlign w:val="center"/>
          </w:tcPr>
          <w:p w14:paraId="695EEAD6"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29,69 ± 3,29</w:t>
            </w:r>
          </w:p>
        </w:tc>
        <w:tc>
          <w:tcPr>
            <w:tcW w:w="708" w:type="pct"/>
            <w:shd w:val="clear" w:color="auto" w:fill="auto"/>
            <w:vAlign w:val="center"/>
          </w:tcPr>
          <w:p w14:paraId="79640C99"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−8,20 ± 0,61</w:t>
            </w:r>
          </w:p>
        </w:tc>
        <w:tc>
          <w:tcPr>
            <w:tcW w:w="710" w:type="pct"/>
            <w:shd w:val="clear" w:color="auto" w:fill="auto"/>
            <w:vAlign w:val="center"/>
          </w:tcPr>
          <w:p w14:paraId="0E444943"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−9,65 ± 0,38</w:t>
            </w:r>
          </w:p>
        </w:tc>
        <w:tc>
          <w:tcPr>
            <w:tcW w:w="1023" w:type="pct"/>
            <w:shd w:val="clear" w:color="auto" w:fill="auto"/>
            <w:vAlign w:val="center"/>
          </w:tcPr>
          <w:p w14:paraId="6CBB5698"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0,99 (−0,06; 2,13)</w:t>
            </w:r>
          </w:p>
        </w:tc>
        <w:tc>
          <w:tcPr>
            <w:tcW w:w="550" w:type="pct"/>
            <w:shd w:val="clear" w:color="auto" w:fill="auto"/>
            <w:vAlign w:val="center"/>
          </w:tcPr>
          <w:p w14:paraId="69F5FB74"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0,059</w:t>
            </w:r>
          </w:p>
        </w:tc>
      </w:tr>
      <w:tr w:rsidR="00021B57" w:rsidRPr="005536C0" w14:paraId="66A3AAC6" w14:textId="77777777" w:rsidTr="000439D0">
        <w:trPr>
          <w:jc w:val="center"/>
        </w:trPr>
        <w:tc>
          <w:tcPr>
            <w:tcW w:w="513" w:type="pct"/>
            <w:shd w:val="clear" w:color="auto" w:fill="auto"/>
            <w:vAlign w:val="center"/>
          </w:tcPr>
          <w:p w14:paraId="070446F5" w14:textId="77777777" w:rsidR="00021B57" w:rsidRPr="005536C0" w:rsidRDefault="00021B57" w:rsidP="000B7B11">
            <w:pPr>
              <w:autoSpaceDE w:val="0"/>
              <w:autoSpaceDN w:val="0"/>
              <w:adjustRightInd w:val="0"/>
              <w:snapToGrid w:val="0"/>
              <w:rPr>
                <w:rFonts w:ascii="Times New Roman" w:hAnsi="Times New Roman" w:cs="Times New Roman"/>
                <w:i/>
                <w:iCs/>
                <w:sz w:val="24"/>
                <w:szCs w:val="24"/>
                <w:lang w:eastAsia="de-DE" w:bidi="en-US"/>
              </w:rPr>
            </w:pPr>
            <w:r w:rsidRPr="005536C0">
              <w:rPr>
                <w:rFonts w:ascii="Times New Roman" w:hAnsi="Times New Roman" w:cs="Times New Roman"/>
                <w:i/>
                <w:iCs/>
                <w:sz w:val="24"/>
                <w:szCs w:val="24"/>
                <w:lang w:eastAsia="de-DE" w:bidi="en-US"/>
              </w:rPr>
              <w:t>CXCL1</w:t>
            </w:r>
          </w:p>
        </w:tc>
        <w:tc>
          <w:tcPr>
            <w:tcW w:w="767" w:type="pct"/>
            <w:shd w:val="clear" w:color="auto" w:fill="auto"/>
            <w:vAlign w:val="center"/>
          </w:tcPr>
          <w:p w14:paraId="4A22DF86"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28,19 ± 4,85</w:t>
            </w:r>
          </w:p>
        </w:tc>
        <w:tc>
          <w:tcPr>
            <w:tcW w:w="729" w:type="pct"/>
            <w:shd w:val="clear" w:color="auto" w:fill="auto"/>
            <w:vAlign w:val="center"/>
          </w:tcPr>
          <w:p w14:paraId="36E5EC33"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27,84 ± 4,27</w:t>
            </w:r>
          </w:p>
        </w:tc>
        <w:tc>
          <w:tcPr>
            <w:tcW w:w="708" w:type="pct"/>
            <w:shd w:val="clear" w:color="auto" w:fill="auto"/>
            <w:vAlign w:val="center"/>
          </w:tcPr>
          <w:p w14:paraId="2DA3362C"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−5,53 ± 0,65</w:t>
            </w:r>
          </w:p>
        </w:tc>
        <w:tc>
          <w:tcPr>
            <w:tcW w:w="710" w:type="pct"/>
            <w:shd w:val="clear" w:color="auto" w:fill="auto"/>
            <w:vAlign w:val="center"/>
          </w:tcPr>
          <w:p w14:paraId="6962010F"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−6,82 ± 0,29</w:t>
            </w:r>
          </w:p>
        </w:tc>
        <w:tc>
          <w:tcPr>
            <w:tcW w:w="1023" w:type="pct"/>
            <w:shd w:val="clear" w:color="auto" w:fill="auto"/>
            <w:vAlign w:val="center"/>
          </w:tcPr>
          <w:p w14:paraId="6FCF9CCC"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0,83 (−0,33; 1,97)</w:t>
            </w:r>
          </w:p>
        </w:tc>
        <w:tc>
          <w:tcPr>
            <w:tcW w:w="550" w:type="pct"/>
            <w:shd w:val="clear" w:color="auto" w:fill="auto"/>
            <w:vAlign w:val="center"/>
          </w:tcPr>
          <w:p w14:paraId="0ABF4416"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0,175</w:t>
            </w:r>
          </w:p>
        </w:tc>
      </w:tr>
      <w:tr w:rsidR="00021B57" w:rsidRPr="005536C0" w14:paraId="7D0BC257" w14:textId="77777777" w:rsidTr="000439D0">
        <w:trPr>
          <w:jc w:val="center"/>
        </w:trPr>
        <w:tc>
          <w:tcPr>
            <w:tcW w:w="513" w:type="pct"/>
            <w:shd w:val="clear" w:color="auto" w:fill="auto"/>
            <w:vAlign w:val="center"/>
          </w:tcPr>
          <w:p w14:paraId="2FDB6345" w14:textId="222A4935" w:rsidR="00021B57" w:rsidRPr="005536C0" w:rsidRDefault="00015C2E" w:rsidP="000B7B11">
            <w:pPr>
              <w:autoSpaceDE w:val="0"/>
              <w:autoSpaceDN w:val="0"/>
              <w:adjustRightInd w:val="0"/>
              <w:snapToGrid w:val="0"/>
              <w:rPr>
                <w:rFonts w:ascii="Times New Roman" w:hAnsi="Times New Roman" w:cs="Times New Roman"/>
                <w:i/>
                <w:iCs/>
                <w:sz w:val="24"/>
                <w:szCs w:val="24"/>
                <w:lang w:eastAsia="de-DE" w:bidi="en-US"/>
              </w:rPr>
            </w:pPr>
            <w:r w:rsidRPr="005536C0">
              <w:rPr>
                <w:rFonts w:ascii="Times New Roman" w:hAnsi="Times New Roman" w:cs="Times New Roman"/>
                <w:color w:val="000000"/>
                <w:sz w:val="24"/>
                <w:szCs w:val="24"/>
              </w:rPr>
              <w:t>HAND2</w:t>
            </w:r>
          </w:p>
        </w:tc>
        <w:tc>
          <w:tcPr>
            <w:tcW w:w="767" w:type="pct"/>
            <w:shd w:val="clear" w:color="auto" w:fill="auto"/>
            <w:vAlign w:val="center"/>
          </w:tcPr>
          <w:p w14:paraId="0E7C12C7"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24,36 ± 4,29</w:t>
            </w:r>
          </w:p>
        </w:tc>
        <w:tc>
          <w:tcPr>
            <w:tcW w:w="729" w:type="pct"/>
            <w:shd w:val="clear" w:color="auto" w:fill="auto"/>
            <w:vAlign w:val="center"/>
          </w:tcPr>
          <w:p w14:paraId="48E9256C"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22,90 ± 3,52</w:t>
            </w:r>
          </w:p>
        </w:tc>
        <w:tc>
          <w:tcPr>
            <w:tcW w:w="708" w:type="pct"/>
            <w:shd w:val="clear" w:color="auto" w:fill="auto"/>
            <w:vAlign w:val="center"/>
          </w:tcPr>
          <w:p w14:paraId="334D84DD"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−1,69 ± 0,44</w:t>
            </w:r>
          </w:p>
        </w:tc>
        <w:tc>
          <w:tcPr>
            <w:tcW w:w="710" w:type="pct"/>
            <w:shd w:val="clear" w:color="auto" w:fill="auto"/>
            <w:vAlign w:val="center"/>
          </w:tcPr>
          <w:p w14:paraId="3FEEE9F4"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−1,88 ± 0,17</w:t>
            </w:r>
          </w:p>
        </w:tc>
        <w:tc>
          <w:tcPr>
            <w:tcW w:w="1023" w:type="pct"/>
            <w:shd w:val="clear" w:color="auto" w:fill="auto"/>
            <w:vAlign w:val="center"/>
          </w:tcPr>
          <w:p w14:paraId="4B91FD0C"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0,35 (−0,24; 1,00)</w:t>
            </w:r>
          </w:p>
        </w:tc>
        <w:tc>
          <w:tcPr>
            <w:tcW w:w="550" w:type="pct"/>
            <w:shd w:val="clear" w:color="auto" w:fill="auto"/>
            <w:vAlign w:val="center"/>
          </w:tcPr>
          <w:p w14:paraId="3AA5932C"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0,235</w:t>
            </w:r>
          </w:p>
        </w:tc>
      </w:tr>
      <w:tr w:rsidR="00021B57" w:rsidRPr="005536C0" w14:paraId="70DF3102" w14:textId="77777777" w:rsidTr="000439D0">
        <w:trPr>
          <w:jc w:val="center"/>
        </w:trPr>
        <w:tc>
          <w:tcPr>
            <w:tcW w:w="513" w:type="pct"/>
            <w:shd w:val="clear" w:color="auto" w:fill="auto"/>
            <w:vAlign w:val="center"/>
          </w:tcPr>
          <w:p w14:paraId="5172013A" w14:textId="77777777" w:rsidR="00021B57" w:rsidRPr="005536C0" w:rsidRDefault="00021B57" w:rsidP="000B7B11">
            <w:pPr>
              <w:autoSpaceDE w:val="0"/>
              <w:autoSpaceDN w:val="0"/>
              <w:adjustRightInd w:val="0"/>
              <w:snapToGrid w:val="0"/>
              <w:rPr>
                <w:rFonts w:ascii="Times New Roman" w:hAnsi="Times New Roman" w:cs="Times New Roman"/>
                <w:i/>
                <w:iCs/>
                <w:sz w:val="24"/>
                <w:szCs w:val="24"/>
                <w:lang w:eastAsia="de-DE" w:bidi="en-US"/>
              </w:rPr>
            </w:pPr>
            <w:r w:rsidRPr="005536C0">
              <w:rPr>
                <w:rFonts w:ascii="Times New Roman" w:hAnsi="Times New Roman" w:cs="Times New Roman"/>
                <w:i/>
                <w:iCs/>
                <w:sz w:val="24"/>
                <w:szCs w:val="24"/>
                <w:lang w:eastAsia="de-DE" w:bidi="en-US"/>
              </w:rPr>
              <w:t>ИЛ15</w:t>
            </w:r>
          </w:p>
        </w:tc>
        <w:tc>
          <w:tcPr>
            <w:tcW w:w="767" w:type="pct"/>
            <w:shd w:val="clear" w:color="auto" w:fill="auto"/>
            <w:vAlign w:val="center"/>
          </w:tcPr>
          <w:p w14:paraId="1DA5F2ED"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26,54 ± 3,63</w:t>
            </w:r>
          </w:p>
        </w:tc>
        <w:tc>
          <w:tcPr>
            <w:tcW w:w="729" w:type="pct"/>
            <w:shd w:val="clear" w:color="auto" w:fill="auto"/>
            <w:vAlign w:val="center"/>
          </w:tcPr>
          <w:p w14:paraId="0265344F"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25,89 ± 3,89</w:t>
            </w:r>
          </w:p>
        </w:tc>
        <w:tc>
          <w:tcPr>
            <w:tcW w:w="708" w:type="pct"/>
            <w:shd w:val="clear" w:color="auto" w:fill="auto"/>
            <w:vAlign w:val="center"/>
          </w:tcPr>
          <w:p w14:paraId="7F9475BD"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−3,88 ± 0,28</w:t>
            </w:r>
          </w:p>
        </w:tc>
        <w:tc>
          <w:tcPr>
            <w:tcW w:w="710" w:type="pct"/>
            <w:shd w:val="clear" w:color="auto" w:fill="auto"/>
            <w:vAlign w:val="center"/>
          </w:tcPr>
          <w:p w14:paraId="7D75D8F5"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−4,87 ± 0,22</w:t>
            </w:r>
          </w:p>
        </w:tc>
        <w:tc>
          <w:tcPr>
            <w:tcW w:w="1023" w:type="pct"/>
            <w:shd w:val="clear" w:color="auto" w:fill="auto"/>
            <w:vAlign w:val="center"/>
          </w:tcPr>
          <w:p w14:paraId="2D11252B"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0,92 (0,10; 1,65)</w:t>
            </w:r>
          </w:p>
        </w:tc>
        <w:tc>
          <w:tcPr>
            <w:tcW w:w="550" w:type="pct"/>
            <w:shd w:val="clear" w:color="auto" w:fill="auto"/>
            <w:vAlign w:val="center"/>
          </w:tcPr>
          <w:p w14:paraId="05CBA756"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0,023</w:t>
            </w:r>
          </w:p>
        </w:tc>
      </w:tr>
      <w:tr w:rsidR="00021B57" w:rsidRPr="005536C0" w14:paraId="0333EC4F" w14:textId="77777777" w:rsidTr="000439D0">
        <w:trPr>
          <w:jc w:val="center"/>
        </w:trPr>
        <w:tc>
          <w:tcPr>
            <w:tcW w:w="513" w:type="pct"/>
            <w:shd w:val="clear" w:color="auto" w:fill="auto"/>
            <w:vAlign w:val="center"/>
          </w:tcPr>
          <w:p w14:paraId="2415B5FF" w14:textId="77777777" w:rsidR="00021B57" w:rsidRPr="005536C0" w:rsidRDefault="00021B57" w:rsidP="000B7B11">
            <w:pPr>
              <w:autoSpaceDE w:val="0"/>
              <w:autoSpaceDN w:val="0"/>
              <w:adjustRightInd w:val="0"/>
              <w:snapToGrid w:val="0"/>
              <w:rPr>
                <w:rFonts w:ascii="Times New Roman" w:hAnsi="Times New Roman" w:cs="Times New Roman"/>
                <w:i/>
                <w:iCs/>
                <w:sz w:val="24"/>
                <w:szCs w:val="24"/>
                <w:lang w:eastAsia="de-DE" w:bidi="en-US"/>
              </w:rPr>
            </w:pPr>
            <w:r w:rsidRPr="005536C0">
              <w:rPr>
                <w:rFonts w:ascii="Times New Roman" w:hAnsi="Times New Roman" w:cs="Times New Roman"/>
                <w:i/>
                <w:iCs/>
                <w:sz w:val="24"/>
                <w:szCs w:val="24"/>
                <w:lang w:eastAsia="de-DE" w:bidi="en-US"/>
              </w:rPr>
              <w:t>VEGFB</w:t>
            </w:r>
          </w:p>
        </w:tc>
        <w:tc>
          <w:tcPr>
            <w:tcW w:w="767" w:type="pct"/>
            <w:shd w:val="clear" w:color="auto" w:fill="auto"/>
            <w:vAlign w:val="center"/>
          </w:tcPr>
          <w:p w14:paraId="6FF3D059"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25,64 ± 3,46</w:t>
            </w:r>
          </w:p>
        </w:tc>
        <w:tc>
          <w:tcPr>
            <w:tcW w:w="729" w:type="pct"/>
            <w:shd w:val="clear" w:color="auto" w:fill="auto"/>
            <w:vAlign w:val="center"/>
          </w:tcPr>
          <w:p w14:paraId="778CE8EE"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24,20 ± 3,41</w:t>
            </w:r>
          </w:p>
        </w:tc>
        <w:tc>
          <w:tcPr>
            <w:tcW w:w="708" w:type="pct"/>
            <w:shd w:val="clear" w:color="auto" w:fill="auto"/>
            <w:vAlign w:val="center"/>
          </w:tcPr>
          <w:p w14:paraId="73D0E360"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−2,97 ± 0,19</w:t>
            </w:r>
          </w:p>
        </w:tc>
        <w:tc>
          <w:tcPr>
            <w:tcW w:w="710" w:type="pct"/>
            <w:shd w:val="clear" w:color="auto" w:fill="auto"/>
            <w:vAlign w:val="center"/>
          </w:tcPr>
          <w:p w14:paraId="2FAFCFE3"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−3,18 ± 0,21</w:t>
            </w:r>
          </w:p>
        </w:tc>
        <w:tc>
          <w:tcPr>
            <w:tcW w:w="1023" w:type="pct"/>
            <w:shd w:val="clear" w:color="auto" w:fill="auto"/>
            <w:vAlign w:val="center"/>
          </w:tcPr>
          <w:p w14:paraId="06C7149B"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0,34 (−0,23; 0,77)</w:t>
            </w:r>
          </w:p>
        </w:tc>
        <w:tc>
          <w:tcPr>
            <w:tcW w:w="550" w:type="pct"/>
            <w:shd w:val="clear" w:color="auto" w:fill="auto"/>
            <w:vAlign w:val="center"/>
          </w:tcPr>
          <w:p w14:paraId="1E6E2952" w14:textId="77777777" w:rsidR="00021B57" w:rsidRPr="005536C0" w:rsidRDefault="00021B57" w:rsidP="000B7B11">
            <w:pPr>
              <w:autoSpaceDE w:val="0"/>
              <w:autoSpaceDN w:val="0"/>
              <w:adjustRightInd w:val="0"/>
              <w:snapToGrid w:val="0"/>
              <w:jc w:val="center"/>
              <w:rPr>
                <w:rFonts w:ascii="Times New Roman" w:hAnsi="Times New Roman" w:cs="Times New Roman"/>
                <w:sz w:val="24"/>
                <w:szCs w:val="24"/>
                <w:lang w:eastAsia="de-DE" w:bidi="en-US"/>
              </w:rPr>
            </w:pPr>
            <w:r w:rsidRPr="005536C0">
              <w:rPr>
                <w:rFonts w:ascii="Times New Roman" w:hAnsi="Times New Roman" w:cs="Times New Roman"/>
                <w:sz w:val="24"/>
                <w:szCs w:val="24"/>
                <w:lang w:eastAsia="de-DE" w:bidi="en-US"/>
              </w:rPr>
              <w:t>0,214</w:t>
            </w:r>
          </w:p>
        </w:tc>
      </w:tr>
      <w:tr w:rsidR="005536C0" w:rsidRPr="005536C0" w14:paraId="0CFA70F4" w14:textId="77777777" w:rsidTr="005536C0">
        <w:trPr>
          <w:jc w:val="center"/>
        </w:trPr>
        <w:tc>
          <w:tcPr>
            <w:tcW w:w="5000" w:type="pct"/>
            <w:gridSpan w:val="7"/>
            <w:shd w:val="clear" w:color="auto" w:fill="auto"/>
            <w:vAlign w:val="center"/>
          </w:tcPr>
          <w:p w14:paraId="2824F9E4" w14:textId="77777777" w:rsidR="005536C0" w:rsidRPr="005536C0" w:rsidRDefault="005536C0" w:rsidP="005536C0">
            <w:pPr>
              <w:pStyle w:val="MDPI43tablefooter"/>
              <w:spacing w:line="240" w:lineRule="auto"/>
              <w:ind w:left="0" w:firstLine="709"/>
              <w:rPr>
                <w:rFonts w:ascii="Times New Roman" w:hAnsi="Times New Roman" w:cs="Times New Roman"/>
                <w:sz w:val="28"/>
                <w:szCs w:val="28"/>
                <w:lang w:val="ru-RU"/>
              </w:rPr>
            </w:pPr>
            <w:r w:rsidRPr="005536C0">
              <w:rPr>
                <w:rFonts w:ascii="Times New Roman" w:hAnsi="Times New Roman" w:cs="Times New Roman"/>
                <w:sz w:val="28"/>
                <w:szCs w:val="28"/>
              </w:rPr>
              <w:t>Примечание: значимые различия (</w:t>
            </w:r>
            <w:r w:rsidRPr="005536C0">
              <w:rPr>
                <w:rFonts w:ascii="Times New Roman" w:hAnsi="Times New Roman" w:cs="Times New Roman"/>
                <w:i/>
                <w:iCs/>
                <w:sz w:val="28"/>
                <w:szCs w:val="28"/>
              </w:rPr>
              <w:t xml:space="preserve">p </w:t>
            </w:r>
            <w:proofErr w:type="gramStart"/>
            <w:r w:rsidRPr="005536C0">
              <w:rPr>
                <w:rFonts w:ascii="Times New Roman" w:hAnsi="Times New Roman" w:cs="Times New Roman"/>
                <w:sz w:val="28"/>
                <w:szCs w:val="28"/>
              </w:rPr>
              <w:t>&lt; 0</w:t>
            </w:r>
            <w:proofErr w:type="gramEnd"/>
            <w:r w:rsidRPr="005536C0">
              <w:rPr>
                <w:rFonts w:ascii="Times New Roman" w:hAnsi="Times New Roman" w:cs="Times New Roman"/>
                <w:sz w:val="28"/>
                <w:szCs w:val="28"/>
              </w:rPr>
              <w:t>,05) выделены жирным шрифтом.</w:t>
            </w:r>
          </w:p>
          <w:p w14:paraId="2203F5D3" w14:textId="77777777" w:rsidR="005536C0" w:rsidRPr="005536C0" w:rsidRDefault="005536C0" w:rsidP="000B7B11">
            <w:pPr>
              <w:autoSpaceDE w:val="0"/>
              <w:autoSpaceDN w:val="0"/>
              <w:adjustRightInd w:val="0"/>
              <w:snapToGrid w:val="0"/>
              <w:jc w:val="center"/>
              <w:rPr>
                <w:rFonts w:ascii="Times New Roman" w:hAnsi="Times New Roman" w:cs="Times New Roman"/>
                <w:sz w:val="24"/>
                <w:szCs w:val="24"/>
                <w:lang w:eastAsia="de-DE" w:bidi="en-US"/>
              </w:rPr>
            </w:pPr>
          </w:p>
        </w:tc>
      </w:tr>
    </w:tbl>
    <w:p w14:paraId="2EE3E315" w14:textId="77777777" w:rsidR="000943E4" w:rsidRPr="00916B3A" w:rsidRDefault="000943E4" w:rsidP="000943E4">
      <w:pPr>
        <w:pStyle w:val="MDPI31text"/>
        <w:spacing w:line="240" w:lineRule="auto"/>
        <w:ind w:left="0" w:firstLine="567"/>
        <w:rPr>
          <w:rFonts w:ascii="Times New Roman" w:hAnsi="Times New Roman"/>
          <w:color w:val="auto"/>
          <w:sz w:val="28"/>
          <w:szCs w:val="28"/>
          <w:lang w:val="ru-RU"/>
        </w:rPr>
      </w:pPr>
    </w:p>
    <w:p w14:paraId="6A87E45B" w14:textId="2AFC5F61" w:rsidR="000943E4" w:rsidRPr="00916B3A" w:rsidRDefault="000943E4" w:rsidP="000943E4">
      <w:pPr>
        <w:pStyle w:val="MDPI31text"/>
        <w:spacing w:line="240" w:lineRule="auto"/>
        <w:ind w:left="0" w:firstLine="567"/>
        <w:rPr>
          <w:rFonts w:ascii="Times New Roman" w:hAnsi="Times New Roman"/>
          <w:color w:val="auto"/>
          <w:sz w:val="28"/>
          <w:szCs w:val="28"/>
          <w:lang w:val="ru-RU"/>
        </w:rPr>
      </w:pPr>
      <w:r w:rsidRPr="00916B3A">
        <w:rPr>
          <w:rFonts w:ascii="Times New Roman" w:hAnsi="Times New Roman"/>
          <w:color w:val="auto"/>
          <w:sz w:val="28"/>
          <w:szCs w:val="28"/>
          <w:lang w:val="ru-RU"/>
        </w:rPr>
        <w:t xml:space="preserve">Это исследование показало, что экспрессия 1 из 5 генов значительно различалась между исследуемыми группами. Было обнаружено, что экспрессия генов </w:t>
      </w:r>
      <w:r w:rsidRPr="00916B3A">
        <w:rPr>
          <w:rFonts w:ascii="Times New Roman" w:hAnsi="Times New Roman"/>
          <w:i/>
          <w:iCs/>
          <w:color w:val="auto"/>
          <w:sz w:val="28"/>
          <w:szCs w:val="28"/>
        </w:rPr>
        <w:t>IL</w:t>
      </w:r>
      <w:r w:rsidRPr="00916B3A">
        <w:rPr>
          <w:rFonts w:ascii="Times New Roman" w:hAnsi="Times New Roman"/>
          <w:i/>
          <w:iCs/>
          <w:color w:val="auto"/>
          <w:sz w:val="28"/>
          <w:szCs w:val="28"/>
          <w:lang w:val="ru-RU"/>
        </w:rPr>
        <w:t xml:space="preserve">-15 </w:t>
      </w:r>
      <w:r w:rsidRPr="00916B3A">
        <w:rPr>
          <w:rFonts w:ascii="Times New Roman" w:hAnsi="Times New Roman"/>
          <w:color w:val="auto"/>
          <w:sz w:val="28"/>
          <w:szCs w:val="28"/>
          <w:lang w:val="ru-RU"/>
        </w:rPr>
        <w:t xml:space="preserve">была значительно снижена в группе </w:t>
      </w:r>
      <w:r w:rsidRPr="00916B3A">
        <w:rPr>
          <w:rFonts w:ascii="Times New Roman" w:hAnsi="Times New Roman"/>
          <w:color w:val="auto"/>
          <w:sz w:val="28"/>
          <w:szCs w:val="28"/>
        </w:rPr>
        <w:t>RIF</w:t>
      </w:r>
      <w:r w:rsidRPr="00916B3A">
        <w:rPr>
          <w:rFonts w:ascii="Times New Roman" w:hAnsi="Times New Roman"/>
          <w:color w:val="auto"/>
          <w:sz w:val="28"/>
          <w:szCs w:val="28"/>
          <w:lang w:val="ru-RU"/>
        </w:rPr>
        <w:t xml:space="preserve"> у пациенток с тонким эндометрием по сравнению с пациентками с </w:t>
      </w:r>
      <w:r w:rsidRPr="00916B3A">
        <w:rPr>
          <w:rFonts w:ascii="Times New Roman" w:hAnsi="Times New Roman"/>
          <w:color w:val="auto"/>
          <w:sz w:val="28"/>
          <w:szCs w:val="28"/>
        </w:rPr>
        <w:t>RPL</w:t>
      </w:r>
      <w:r w:rsidRPr="00916B3A">
        <w:rPr>
          <w:rFonts w:ascii="Times New Roman" w:hAnsi="Times New Roman"/>
          <w:color w:val="auto"/>
          <w:sz w:val="28"/>
          <w:szCs w:val="28"/>
          <w:lang w:val="ru-RU"/>
        </w:rPr>
        <w:t xml:space="preserve"> (логарифмическое изменение </w:t>
      </w:r>
      <w:r w:rsidRPr="00916B3A">
        <w:rPr>
          <w:rFonts w:ascii="Times New Roman" w:hAnsi="Times New Roman"/>
          <w:color w:val="auto"/>
          <w:sz w:val="28"/>
          <w:szCs w:val="28"/>
          <w:vertAlign w:val="subscript"/>
          <w:lang w:val="ru-RU"/>
        </w:rPr>
        <w:t xml:space="preserve">в 2 </w:t>
      </w:r>
      <w:r w:rsidRPr="00916B3A">
        <w:rPr>
          <w:rFonts w:ascii="Times New Roman" w:hAnsi="Times New Roman"/>
          <w:color w:val="auto"/>
          <w:sz w:val="28"/>
          <w:szCs w:val="28"/>
          <w:lang w:val="ru-RU"/>
        </w:rPr>
        <w:t xml:space="preserve">раза = 0,92,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xml:space="preserve">0,023 для </w:t>
      </w:r>
      <w:r w:rsidRPr="00916B3A">
        <w:rPr>
          <w:rFonts w:ascii="Times New Roman" w:hAnsi="Times New Roman"/>
          <w:i/>
          <w:iCs/>
          <w:color w:val="auto"/>
          <w:sz w:val="28"/>
          <w:szCs w:val="28"/>
          <w:lang w:val="ru-RU"/>
        </w:rPr>
        <w:t>ИЛ-15</w:t>
      </w:r>
      <w:r w:rsidRPr="00916B3A">
        <w:rPr>
          <w:rFonts w:ascii="Times New Roman" w:hAnsi="Times New Roman"/>
          <w:color w:val="auto"/>
          <w:sz w:val="28"/>
          <w:szCs w:val="28"/>
          <w:lang w:val="ru-RU"/>
        </w:rPr>
        <w:t xml:space="preserve">) (Рисунок 9). </w:t>
      </w:r>
    </w:p>
    <w:p w14:paraId="79F0EE8C" w14:textId="77777777" w:rsidR="000943E4" w:rsidRPr="00916B3A" w:rsidRDefault="000943E4" w:rsidP="000943E4">
      <w:pPr>
        <w:pStyle w:val="MDPI31text"/>
        <w:spacing w:line="240" w:lineRule="auto"/>
        <w:ind w:left="0" w:firstLine="567"/>
        <w:rPr>
          <w:rFonts w:ascii="Times New Roman" w:hAnsi="Times New Roman"/>
          <w:color w:val="auto"/>
          <w:sz w:val="28"/>
          <w:szCs w:val="28"/>
          <w:lang w:val="ru-RU"/>
        </w:rPr>
      </w:pPr>
      <w:r w:rsidRPr="00916B3A">
        <w:rPr>
          <w:rFonts w:ascii="Times New Roman" w:hAnsi="Times New Roman"/>
          <w:color w:val="auto"/>
          <w:sz w:val="28"/>
          <w:szCs w:val="28"/>
          <w:lang w:val="ru-RU"/>
        </w:rPr>
        <w:t xml:space="preserve">Не было выявлено существенных различий в экспрессии генов </w:t>
      </w:r>
      <w:r w:rsidRPr="00916B3A">
        <w:rPr>
          <w:rFonts w:ascii="Times New Roman" w:hAnsi="Times New Roman"/>
          <w:i/>
          <w:iCs/>
          <w:color w:val="auto"/>
          <w:sz w:val="28"/>
          <w:szCs w:val="28"/>
        </w:rPr>
        <w:t>CXCL</w:t>
      </w:r>
      <w:r w:rsidRPr="00916B3A">
        <w:rPr>
          <w:rFonts w:ascii="Times New Roman" w:hAnsi="Times New Roman"/>
          <w:i/>
          <w:iCs/>
          <w:color w:val="auto"/>
          <w:sz w:val="28"/>
          <w:szCs w:val="28"/>
          <w:lang w:val="ru-RU"/>
        </w:rPr>
        <w:t xml:space="preserve">8, </w:t>
      </w:r>
      <w:r w:rsidRPr="00916B3A">
        <w:rPr>
          <w:rFonts w:ascii="Times New Roman" w:hAnsi="Times New Roman"/>
          <w:i/>
          <w:iCs/>
          <w:color w:val="auto"/>
          <w:sz w:val="28"/>
          <w:szCs w:val="28"/>
        </w:rPr>
        <w:t>CXCL</w:t>
      </w:r>
      <w:r w:rsidRPr="00916B3A">
        <w:rPr>
          <w:rFonts w:ascii="Times New Roman" w:hAnsi="Times New Roman"/>
          <w:i/>
          <w:iCs/>
          <w:color w:val="auto"/>
          <w:sz w:val="28"/>
          <w:szCs w:val="28"/>
          <w:lang w:val="ru-RU"/>
        </w:rPr>
        <w:t xml:space="preserve">1, </w:t>
      </w:r>
      <w:r w:rsidRPr="00916B3A">
        <w:rPr>
          <w:rFonts w:ascii="Times New Roman" w:hAnsi="Times New Roman"/>
          <w:i/>
          <w:iCs/>
          <w:color w:val="auto"/>
          <w:sz w:val="28"/>
          <w:szCs w:val="28"/>
        </w:rPr>
        <w:t>MMP</w:t>
      </w:r>
      <w:r w:rsidRPr="00916B3A">
        <w:rPr>
          <w:rFonts w:ascii="Times New Roman" w:hAnsi="Times New Roman"/>
          <w:i/>
          <w:iCs/>
          <w:color w:val="auto"/>
          <w:sz w:val="28"/>
          <w:szCs w:val="28"/>
          <w:lang w:val="ru-RU"/>
        </w:rPr>
        <w:t xml:space="preserve">10, </w:t>
      </w:r>
      <w:r w:rsidRPr="00916B3A">
        <w:rPr>
          <w:rFonts w:ascii="Times New Roman" w:hAnsi="Times New Roman"/>
          <w:i/>
          <w:iCs/>
          <w:color w:val="auto"/>
          <w:sz w:val="28"/>
          <w:szCs w:val="28"/>
        </w:rPr>
        <w:t>C</w:t>
      </w:r>
      <w:r w:rsidRPr="00916B3A">
        <w:rPr>
          <w:rFonts w:ascii="Times New Roman" w:hAnsi="Times New Roman"/>
          <w:i/>
          <w:iCs/>
          <w:color w:val="auto"/>
          <w:sz w:val="28"/>
          <w:szCs w:val="28"/>
          <w:lang w:val="ru-RU"/>
        </w:rPr>
        <w:t>4</w:t>
      </w:r>
      <w:r w:rsidRPr="00916B3A">
        <w:rPr>
          <w:rFonts w:ascii="Times New Roman" w:hAnsi="Times New Roman"/>
          <w:i/>
          <w:iCs/>
          <w:color w:val="auto"/>
          <w:sz w:val="28"/>
          <w:szCs w:val="28"/>
        </w:rPr>
        <w:t>BPA</w:t>
      </w:r>
      <w:r w:rsidRPr="00916B3A">
        <w:rPr>
          <w:rFonts w:ascii="Times New Roman" w:hAnsi="Times New Roman"/>
          <w:i/>
          <w:iCs/>
          <w:color w:val="auto"/>
          <w:sz w:val="28"/>
          <w:szCs w:val="28"/>
          <w:lang w:val="ru-RU"/>
        </w:rPr>
        <w:t xml:space="preserve">, </w:t>
      </w:r>
      <w:r w:rsidRPr="00916B3A">
        <w:rPr>
          <w:rFonts w:ascii="Times New Roman" w:hAnsi="Times New Roman"/>
          <w:i/>
          <w:iCs/>
          <w:color w:val="auto"/>
          <w:sz w:val="28"/>
          <w:szCs w:val="28"/>
        </w:rPr>
        <w:t>TNC</w:t>
      </w:r>
      <w:r w:rsidRPr="00916B3A">
        <w:rPr>
          <w:rFonts w:ascii="Times New Roman" w:hAnsi="Times New Roman"/>
          <w:i/>
          <w:iCs/>
          <w:color w:val="auto"/>
          <w:sz w:val="28"/>
          <w:szCs w:val="28"/>
          <w:lang w:val="ru-RU"/>
        </w:rPr>
        <w:t xml:space="preserve">, </w:t>
      </w:r>
      <w:r w:rsidRPr="00916B3A">
        <w:rPr>
          <w:rFonts w:ascii="Times New Roman" w:hAnsi="Times New Roman"/>
          <w:i/>
          <w:iCs/>
          <w:color w:val="auto"/>
          <w:sz w:val="28"/>
          <w:szCs w:val="28"/>
        </w:rPr>
        <w:t>VEGFB</w:t>
      </w:r>
      <w:r w:rsidRPr="00916B3A">
        <w:rPr>
          <w:rFonts w:ascii="Times New Roman" w:hAnsi="Times New Roman"/>
          <w:i/>
          <w:iCs/>
          <w:color w:val="auto"/>
          <w:sz w:val="28"/>
          <w:szCs w:val="28"/>
          <w:lang w:val="ru-RU"/>
        </w:rPr>
        <w:t xml:space="preserve"> </w:t>
      </w:r>
      <w:r w:rsidRPr="00916B3A">
        <w:rPr>
          <w:rFonts w:ascii="Times New Roman" w:hAnsi="Times New Roman"/>
          <w:color w:val="auto"/>
          <w:sz w:val="28"/>
          <w:szCs w:val="28"/>
          <w:lang w:val="ru-RU"/>
        </w:rPr>
        <w:t xml:space="preserve">и </w:t>
      </w:r>
      <w:r w:rsidRPr="00916B3A">
        <w:rPr>
          <w:rFonts w:ascii="Times New Roman" w:hAnsi="Times New Roman"/>
          <w:i/>
          <w:iCs/>
          <w:color w:val="auto"/>
          <w:sz w:val="28"/>
          <w:szCs w:val="28"/>
        </w:rPr>
        <w:t>HAND</w:t>
      </w:r>
      <w:r w:rsidRPr="00916B3A">
        <w:rPr>
          <w:rFonts w:ascii="Times New Roman" w:hAnsi="Times New Roman"/>
          <w:i/>
          <w:iCs/>
          <w:color w:val="auto"/>
          <w:sz w:val="28"/>
          <w:szCs w:val="28"/>
          <w:lang w:val="ru-RU"/>
        </w:rPr>
        <w:t xml:space="preserve">2 </w:t>
      </w:r>
      <w:r w:rsidRPr="00916B3A">
        <w:rPr>
          <w:rFonts w:ascii="Times New Roman" w:hAnsi="Times New Roman"/>
          <w:color w:val="auto"/>
          <w:sz w:val="28"/>
          <w:szCs w:val="28"/>
          <w:lang w:val="ru-RU"/>
        </w:rPr>
        <w:t>между группами.</w:t>
      </w:r>
    </w:p>
    <w:p w14:paraId="3E6ADFBC" w14:textId="77777777" w:rsidR="00015C2E" w:rsidRPr="00916B3A" w:rsidRDefault="00015C2E" w:rsidP="00015C2E">
      <w:pPr>
        <w:pStyle w:val="MDPI31text"/>
        <w:rPr>
          <w:rFonts w:ascii="Times New Roman" w:hAnsi="Times New Roman"/>
          <w:lang w:val="ru-RU"/>
        </w:rPr>
      </w:pPr>
    </w:p>
    <w:p w14:paraId="565898B1" w14:textId="30171783" w:rsidR="00015C2E" w:rsidRPr="00916B3A" w:rsidRDefault="00015C2E" w:rsidP="005536C0">
      <w:pPr>
        <w:pStyle w:val="MDPI31text"/>
        <w:ind w:left="0" w:firstLine="0"/>
        <w:jc w:val="center"/>
        <w:rPr>
          <w:rFonts w:ascii="Times New Roman" w:hAnsi="Times New Roman"/>
          <w:lang w:val="ru-RU"/>
        </w:rPr>
      </w:pPr>
      <w:r w:rsidRPr="00916B3A">
        <w:rPr>
          <w:rFonts w:ascii="Times New Roman" w:hAnsi="Times New Roman"/>
          <w:noProof/>
          <w:snapToGrid/>
          <w:color w:val="auto"/>
          <w:sz w:val="28"/>
          <w:szCs w:val="28"/>
          <w:lang w:val="ru-RU" w:eastAsia="ru-RU" w:bidi="ar-SA"/>
        </w:rPr>
        <w:drawing>
          <wp:inline distT="0" distB="0" distL="0" distR="0" wp14:anchorId="00EDB850" wp14:editId="228DE68F">
            <wp:extent cx="3352800" cy="2308225"/>
            <wp:effectExtent l="0" t="0" r="0" b="0"/>
            <wp:docPr id="11" name="Рисунок 11" descr="C:\Users\User\Documents\0 Работа\0 Проекты\0 Проекты текущие\09 Проект Невынашивание\Статья2new\figure1\IL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0 Работа\0 Проекты\0 Проекты текущие\09 Проект Невынашивание\Статья2new\figure1\IL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3583" cy="2308764"/>
                    </a:xfrm>
                    <a:prstGeom prst="rect">
                      <a:avLst/>
                    </a:prstGeom>
                    <a:noFill/>
                    <a:ln>
                      <a:noFill/>
                    </a:ln>
                  </pic:spPr>
                </pic:pic>
              </a:graphicData>
            </a:graphic>
          </wp:inline>
        </w:drawing>
      </w:r>
    </w:p>
    <w:p w14:paraId="6E3639ED" w14:textId="77777777" w:rsidR="00015C2E" w:rsidRPr="00916B3A" w:rsidRDefault="00015C2E" w:rsidP="00015C2E">
      <w:pPr>
        <w:pStyle w:val="MDPI31text"/>
        <w:rPr>
          <w:rFonts w:ascii="Times New Roman" w:hAnsi="Times New Roman"/>
          <w:lang w:val="ru-RU"/>
        </w:rPr>
      </w:pPr>
    </w:p>
    <w:p w14:paraId="67105A2B" w14:textId="73B052C3" w:rsidR="00021B57" w:rsidRPr="00916B3A" w:rsidRDefault="00DB05A1" w:rsidP="00015C2E">
      <w:pPr>
        <w:pStyle w:val="MDPI51figurecaption"/>
        <w:spacing w:before="0" w:after="0" w:line="240" w:lineRule="auto"/>
        <w:ind w:left="0"/>
        <w:jc w:val="center"/>
        <w:rPr>
          <w:rFonts w:ascii="Times New Roman" w:hAnsi="Times New Roman"/>
          <w:i/>
          <w:iCs/>
          <w:color w:val="auto"/>
          <w:sz w:val="28"/>
          <w:szCs w:val="28"/>
          <w:lang w:val="ru-RU"/>
        </w:rPr>
      </w:pPr>
      <w:r w:rsidRPr="00916B3A">
        <w:rPr>
          <w:rFonts w:ascii="Times New Roman" w:hAnsi="Times New Roman"/>
          <w:color w:val="auto"/>
          <w:sz w:val="28"/>
          <w:szCs w:val="28"/>
          <w:lang w:val="ru-RU"/>
        </w:rPr>
        <w:t>Рисунок 9</w:t>
      </w:r>
      <w:r w:rsidR="00FF33F2">
        <w:rPr>
          <w:rFonts w:ascii="Times New Roman" w:hAnsi="Times New Roman"/>
          <w:color w:val="auto"/>
          <w:sz w:val="28"/>
          <w:szCs w:val="28"/>
          <w:lang w:val="ru-RU"/>
        </w:rPr>
        <w:t>-</w:t>
      </w:r>
      <w:r w:rsidR="00021B57" w:rsidRPr="00916B3A">
        <w:rPr>
          <w:rFonts w:ascii="Times New Roman" w:hAnsi="Times New Roman"/>
          <w:b/>
          <w:bCs/>
          <w:color w:val="auto"/>
          <w:sz w:val="28"/>
          <w:szCs w:val="28"/>
          <w:lang w:val="ru-RU"/>
        </w:rPr>
        <w:t xml:space="preserve"> </w:t>
      </w:r>
      <w:r w:rsidR="00021B57" w:rsidRPr="00916B3A">
        <w:rPr>
          <w:rFonts w:ascii="Times New Roman" w:hAnsi="Times New Roman"/>
          <w:color w:val="auto"/>
          <w:sz w:val="28"/>
          <w:szCs w:val="28"/>
          <w:lang w:val="ru-RU"/>
        </w:rPr>
        <w:t xml:space="preserve">Различия в уровнях экспрессии </w:t>
      </w:r>
      <w:r w:rsidR="00015C2E" w:rsidRPr="00916B3A">
        <w:rPr>
          <w:rFonts w:ascii="Times New Roman" w:hAnsi="Times New Roman"/>
          <w:color w:val="auto"/>
          <w:sz w:val="28"/>
          <w:szCs w:val="28"/>
          <w:lang w:val="ru-RU"/>
        </w:rPr>
        <w:t>гена</w:t>
      </w:r>
      <w:r w:rsidR="00015C2E" w:rsidRPr="00916B3A">
        <w:rPr>
          <w:rFonts w:ascii="Times New Roman" w:hAnsi="Times New Roman"/>
          <w:b/>
          <w:bCs/>
          <w:color w:val="auto"/>
          <w:sz w:val="28"/>
          <w:szCs w:val="28"/>
          <w:lang w:val="ru-RU"/>
        </w:rPr>
        <w:t xml:space="preserve"> </w:t>
      </w:r>
      <w:r w:rsidR="00015C2E" w:rsidRPr="00916B3A">
        <w:rPr>
          <w:rFonts w:ascii="Times New Roman" w:hAnsi="Times New Roman"/>
          <w:i/>
          <w:iCs/>
          <w:color w:val="auto"/>
          <w:sz w:val="28"/>
          <w:szCs w:val="28"/>
        </w:rPr>
        <w:t>IL</w:t>
      </w:r>
      <w:r w:rsidR="00015C2E" w:rsidRPr="00916B3A">
        <w:rPr>
          <w:rFonts w:ascii="Times New Roman" w:hAnsi="Times New Roman"/>
          <w:i/>
          <w:iCs/>
          <w:color w:val="auto"/>
          <w:sz w:val="28"/>
          <w:szCs w:val="28"/>
          <w:lang w:val="ru-RU"/>
        </w:rPr>
        <w:t>15</w:t>
      </w:r>
      <w:r w:rsidR="00021B57" w:rsidRPr="00916B3A">
        <w:rPr>
          <w:rFonts w:ascii="Times New Roman" w:hAnsi="Times New Roman"/>
          <w:color w:val="auto"/>
          <w:sz w:val="28"/>
          <w:szCs w:val="28"/>
          <w:lang w:val="ru-RU"/>
        </w:rPr>
        <w:t xml:space="preserve"> (значения </w:t>
      </w:r>
      <w:r w:rsidR="00021B57" w:rsidRPr="00916B3A">
        <w:rPr>
          <w:rFonts w:ascii="Times New Roman" w:hAnsi="Times New Roman"/>
          <w:color w:val="auto"/>
          <w:sz w:val="28"/>
          <w:szCs w:val="28"/>
        </w:rPr>
        <w:t>ΔCt</w:t>
      </w:r>
      <w:r w:rsidR="00021B57" w:rsidRPr="00916B3A">
        <w:rPr>
          <w:rFonts w:ascii="Times New Roman" w:hAnsi="Times New Roman"/>
          <w:color w:val="auto"/>
          <w:sz w:val="28"/>
          <w:szCs w:val="28"/>
          <w:lang w:val="ru-RU"/>
        </w:rPr>
        <w:t xml:space="preserve">) в тканях эндометрия между пациентками с </w:t>
      </w:r>
      <w:r w:rsidR="00FB2C13" w:rsidRPr="00916B3A">
        <w:rPr>
          <w:rFonts w:ascii="Times New Roman" w:hAnsi="Times New Roman"/>
          <w:color w:val="auto"/>
          <w:sz w:val="28"/>
          <w:szCs w:val="28"/>
          <w:lang w:val="ru-RU"/>
        </w:rPr>
        <w:t>РПБ и РНИ</w:t>
      </w:r>
    </w:p>
    <w:p w14:paraId="6D8D4525" w14:textId="77777777" w:rsidR="00015C2E" w:rsidRPr="005536C0" w:rsidRDefault="00015C2E" w:rsidP="00015C2E">
      <w:pPr>
        <w:pStyle w:val="MDPI51figurecaption"/>
        <w:spacing w:before="0" w:after="0" w:line="240" w:lineRule="auto"/>
        <w:ind w:left="0"/>
        <w:rPr>
          <w:rFonts w:ascii="Times New Roman" w:hAnsi="Times New Roman"/>
          <w:iCs/>
          <w:color w:val="auto"/>
          <w:sz w:val="28"/>
          <w:szCs w:val="28"/>
          <w:lang w:val="ru-RU"/>
        </w:rPr>
      </w:pPr>
    </w:p>
    <w:p w14:paraId="79600B65" w14:textId="77777777" w:rsidR="00021B57" w:rsidRPr="005536C0" w:rsidRDefault="00021B57" w:rsidP="000B7B11">
      <w:pPr>
        <w:pStyle w:val="MDPI22heading2"/>
        <w:spacing w:before="0" w:after="0" w:line="240" w:lineRule="auto"/>
        <w:ind w:left="0" w:firstLine="567"/>
        <w:rPr>
          <w:rFonts w:ascii="Times New Roman" w:hAnsi="Times New Roman"/>
          <w:i w:val="0"/>
          <w:iCs/>
          <w:noProof w:val="0"/>
          <w:color w:val="auto"/>
          <w:sz w:val="28"/>
          <w:szCs w:val="28"/>
        </w:rPr>
      </w:pPr>
      <w:r w:rsidRPr="005536C0">
        <w:rPr>
          <w:rFonts w:ascii="Times New Roman" w:hAnsi="Times New Roman"/>
          <w:i w:val="0"/>
          <w:iCs/>
          <w:noProof w:val="0"/>
          <w:color w:val="auto"/>
          <w:sz w:val="28"/>
          <w:szCs w:val="28"/>
        </w:rPr>
        <w:t>Ассоциации с клиническими и лабораторными характеристиками</w:t>
      </w:r>
    </w:p>
    <w:p w14:paraId="74A2117B" w14:textId="089954C5" w:rsidR="00021B57" w:rsidRPr="00916B3A" w:rsidRDefault="00021B57" w:rsidP="000B7B11">
      <w:pPr>
        <w:pStyle w:val="MDPI31text"/>
        <w:spacing w:line="240" w:lineRule="auto"/>
        <w:ind w:left="0" w:firstLine="567"/>
        <w:rPr>
          <w:rFonts w:ascii="Times New Roman" w:hAnsi="Times New Roman"/>
          <w:color w:val="auto"/>
          <w:sz w:val="28"/>
          <w:szCs w:val="28"/>
          <w:lang w:val="ru-RU"/>
        </w:rPr>
      </w:pPr>
      <w:r w:rsidRPr="00916B3A">
        <w:rPr>
          <w:rFonts w:ascii="Times New Roman" w:hAnsi="Times New Roman"/>
          <w:color w:val="auto"/>
          <w:sz w:val="28"/>
          <w:szCs w:val="28"/>
          <w:lang w:val="ru-RU"/>
        </w:rPr>
        <w:t>Метод ранговой корреляции Спирмена использовался для изучения взаимосвязей между экспрессией изучаемых генов и количественными лабораторными характеристиками в двух группах. Корр</w:t>
      </w:r>
      <w:r w:rsidR="00DB05A1" w:rsidRPr="00916B3A">
        <w:rPr>
          <w:rFonts w:ascii="Times New Roman" w:hAnsi="Times New Roman"/>
          <w:color w:val="auto"/>
          <w:sz w:val="28"/>
          <w:szCs w:val="28"/>
          <w:lang w:val="ru-RU"/>
        </w:rPr>
        <w:t>еляции представлены в таблице 18</w:t>
      </w:r>
      <w:r w:rsidRPr="00916B3A">
        <w:rPr>
          <w:rFonts w:ascii="Times New Roman" w:hAnsi="Times New Roman"/>
          <w:color w:val="auto"/>
          <w:sz w:val="28"/>
          <w:szCs w:val="28"/>
          <w:lang w:val="ru-RU"/>
        </w:rPr>
        <w:t xml:space="preserve">. </w:t>
      </w:r>
    </w:p>
    <w:p w14:paraId="08859C30" w14:textId="77777777" w:rsidR="00021B57" w:rsidRPr="00916B3A" w:rsidRDefault="00021B57" w:rsidP="000B7B11">
      <w:pPr>
        <w:pStyle w:val="MDPI31text"/>
        <w:spacing w:line="240" w:lineRule="auto"/>
        <w:ind w:left="0" w:firstLine="567"/>
        <w:rPr>
          <w:rFonts w:ascii="Times New Roman" w:hAnsi="Times New Roman"/>
          <w:color w:val="auto"/>
          <w:sz w:val="28"/>
          <w:szCs w:val="28"/>
          <w:lang w:val="ru-RU"/>
        </w:rPr>
      </w:pPr>
    </w:p>
    <w:p w14:paraId="08C5A4B3" w14:textId="4E640271" w:rsidR="00021B57" w:rsidRPr="00916B3A" w:rsidRDefault="00021B57" w:rsidP="000B7B11">
      <w:pPr>
        <w:pStyle w:val="MDPI41tablecaption"/>
        <w:spacing w:before="0" w:after="0" w:line="240" w:lineRule="auto"/>
        <w:ind w:left="0"/>
        <w:jc w:val="both"/>
        <w:rPr>
          <w:rFonts w:ascii="Times New Roman" w:hAnsi="Times New Roman" w:cs="Times New Roman"/>
          <w:color w:val="auto"/>
          <w:sz w:val="28"/>
          <w:szCs w:val="28"/>
          <w:lang w:val="ru-RU"/>
        </w:rPr>
      </w:pPr>
      <w:r w:rsidRPr="00916B3A">
        <w:rPr>
          <w:rFonts w:ascii="Times New Roman" w:hAnsi="Times New Roman" w:cs="Times New Roman"/>
          <w:bCs/>
          <w:color w:val="auto"/>
          <w:sz w:val="28"/>
          <w:szCs w:val="28"/>
        </w:rPr>
        <w:t xml:space="preserve">Таблица </w:t>
      </w:r>
      <w:r w:rsidRPr="00916B3A">
        <w:rPr>
          <w:rFonts w:ascii="Times New Roman" w:hAnsi="Times New Roman" w:cs="Times New Roman"/>
          <w:bCs/>
          <w:color w:val="auto"/>
          <w:sz w:val="28"/>
          <w:szCs w:val="28"/>
          <w:lang w:val="ru-RU"/>
        </w:rPr>
        <w:t>1</w:t>
      </w:r>
      <w:r w:rsidR="00DB05A1" w:rsidRPr="00916B3A">
        <w:rPr>
          <w:rFonts w:ascii="Times New Roman" w:hAnsi="Times New Roman" w:cs="Times New Roman"/>
          <w:bCs/>
          <w:color w:val="auto"/>
          <w:sz w:val="28"/>
          <w:szCs w:val="28"/>
          <w:lang w:val="ru-RU"/>
        </w:rPr>
        <w:t>8</w:t>
      </w:r>
      <w:r w:rsidR="00FF33F2">
        <w:rPr>
          <w:rFonts w:ascii="Times New Roman" w:hAnsi="Times New Roman" w:cs="Times New Roman"/>
          <w:bCs/>
          <w:color w:val="auto"/>
          <w:sz w:val="28"/>
          <w:szCs w:val="28"/>
          <w:lang w:val="ru-RU"/>
        </w:rPr>
        <w:t xml:space="preserve"> -</w:t>
      </w:r>
      <w:r w:rsidRPr="00916B3A">
        <w:rPr>
          <w:rFonts w:ascii="Times New Roman" w:hAnsi="Times New Roman" w:cs="Times New Roman"/>
          <w:b/>
          <w:color w:val="auto"/>
          <w:sz w:val="28"/>
          <w:szCs w:val="28"/>
        </w:rPr>
        <w:t xml:space="preserve"> </w:t>
      </w:r>
      <w:r w:rsidRPr="00916B3A">
        <w:rPr>
          <w:rFonts w:ascii="Times New Roman" w:hAnsi="Times New Roman" w:cs="Times New Roman"/>
          <w:color w:val="auto"/>
          <w:sz w:val="28"/>
          <w:szCs w:val="28"/>
        </w:rPr>
        <w:t>Обнаруженные корреляции между уровнями экспрессии генов и клиническими и лабораторными параметрами</w:t>
      </w:r>
    </w:p>
    <w:p w14:paraId="7DE7CBA3" w14:textId="77777777" w:rsidR="00342832" w:rsidRPr="00916B3A" w:rsidRDefault="00342832" w:rsidP="000B7B11">
      <w:pPr>
        <w:pStyle w:val="MDPI41tablecaption"/>
        <w:spacing w:before="0" w:after="0" w:line="240" w:lineRule="auto"/>
        <w:ind w:left="0"/>
        <w:jc w:val="both"/>
        <w:rPr>
          <w:rFonts w:ascii="Times New Roman" w:hAnsi="Times New Roman" w:cs="Times New Roman"/>
          <w:color w:val="auto"/>
          <w:sz w:val="28"/>
          <w:szCs w:val="28"/>
          <w:lang w:val="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1"/>
        <w:gridCol w:w="1744"/>
        <w:gridCol w:w="2880"/>
        <w:gridCol w:w="1599"/>
        <w:gridCol w:w="1279"/>
      </w:tblGrid>
      <w:tr w:rsidR="00021B57" w:rsidRPr="00916B3A" w14:paraId="3BD477E0" w14:textId="77777777" w:rsidTr="005536C0">
        <w:trPr>
          <w:jc w:val="center"/>
        </w:trPr>
        <w:tc>
          <w:tcPr>
            <w:tcW w:w="1991" w:type="dxa"/>
            <w:shd w:val="clear" w:color="auto" w:fill="auto"/>
            <w:vAlign w:val="center"/>
          </w:tcPr>
          <w:p w14:paraId="214C108A" w14:textId="77777777" w:rsidR="00021B57" w:rsidRPr="00916B3A" w:rsidRDefault="00021B57" w:rsidP="000B7B11">
            <w:pPr>
              <w:pStyle w:val="MDPI42tablebody"/>
              <w:autoSpaceDE w:val="0"/>
              <w:autoSpaceDN w:val="0"/>
              <w:spacing w:line="240" w:lineRule="auto"/>
              <w:rPr>
                <w:rFonts w:ascii="Times New Roman" w:hAnsi="Times New Roman"/>
                <w:bCs/>
                <w:color w:val="auto"/>
                <w:sz w:val="28"/>
                <w:szCs w:val="28"/>
              </w:rPr>
            </w:pPr>
            <w:r w:rsidRPr="00916B3A">
              <w:rPr>
                <w:rFonts w:ascii="Times New Roman" w:hAnsi="Times New Roman"/>
                <w:bCs/>
                <w:snapToGrid/>
                <w:color w:val="auto"/>
                <w:sz w:val="28"/>
                <w:szCs w:val="28"/>
              </w:rPr>
              <w:t>Группа</w:t>
            </w:r>
          </w:p>
        </w:tc>
        <w:tc>
          <w:tcPr>
            <w:tcW w:w="1744" w:type="dxa"/>
            <w:shd w:val="clear" w:color="auto" w:fill="auto"/>
            <w:vAlign w:val="center"/>
          </w:tcPr>
          <w:p w14:paraId="7E2349BB" w14:textId="77777777" w:rsidR="00021B57" w:rsidRPr="00916B3A" w:rsidRDefault="00021B57" w:rsidP="000B7B11">
            <w:pPr>
              <w:pStyle w:val="MDPI42tablebody"/>
              <w:autoSpaceDE w:val="0"/>
              <w:autoSpaceDN w:val="0"/>
              <w:spacing w:line="240" w:lineRule="auto"/>
              <w:rPr>
                <w:rFonts w:ascii="Times New Roman" w:hAnsi="Times New Roman"/>
                <w:bCs/>
                <w:color w:val="auto"/>
                <w:sz w:val="28"/>
                <w:szCs w:val="28"/>
              </w:rPr>
            </w:pPr>
            <w:r w:rsidRPr="00916B3A">
              <w:rPr>
                <w:rFonts w:ascii="Times New Roman" w:hAnsi="Times New Roman"/>
                <w:bCs/>
                <w:snapToGrid/>
                <w:color w:val="auto"/>
                <w:sz w:val="28"/>
                <w:szCs w:val="28"/>
              </w:rPr>
              <w:t>Параметр 1</w:t>
            </w:r>
          </w:p>
        </w:tc>
        <w:tc>
          <w:tcPr>
            <w:tcW w:w="2880" w:type="dxa"/>
            <w:shd w:val="clear" w:color="auto" w:fill="auto"/>
            <w:vAlign w:val="center"/>
            <w:hideMark/>
          </w:tcPr>
          <w:p w14:paraId="2AD095B4" w14:textId="77777777" w:rsidR="00021B57" w:rsidRPr="00916B3A" w:rsidRDefault="00021B57" w:rsidP="000B7B11">
            <w:pPr>
              <w:pStyle w:val="MDPI42tablebody"/>
              <w:autoSpaceDE w:val="0"/>
              <w:autoSpaceDN w:val="0"/>
              <w:spacing w:line="240" w:lineRule="auto"/>
              <w:rPr>
                <w:rFonts w:ascii="Times New Roman" w:hAnsi="Times New Roman"/>
                <w:bCs/>
                <w:color w:val="auto"/>
                <w:sz w:val="28"/>
                <w:szCs w:val="28"/>
              </w:rPr>
            </w:pPr>
            <w:r w:rsidRPr="00916B3A">
              <w:rPr>
                <w:rFonts w:ascii="Times New Roman" w:hAnsi="Times New Roman"/>
                <w:bCs/>
                <w:snapToGrid/>
                <w:color w:val="auto"/>
                <w:sz w:val="28"/>
                <w:szCs w:val="28"/>
              </w:rPr>
              <w:t>Параметр 2</w:t>
            </w:r>
          </w:p>
        </w:tc>
        <w:tc>
          <w:tcPr>
            <w:tcW w:w="1599" w:type="dxa"/>
            <w:shd w:val="clear" w:color="auto" w:fill="auto"/>
            <w:vAlign w:val="center"/>
          </w:tcPr>
          <w:p w14:paraId="1F0BDD27" w14:textId="77777777" w:rsidR="00021B57" w:rsidRPr="00916B3A" w:rsidRDefault="00021B57" w:rsidP="000B7B11">
            <w:pPr>
              <w:pStyle w:val="MDPI42tablebody"/>
              <w:autoSpaceDE w:val="0"/>
              <w:autoSpaceDN w:val="0"/>
              <w:spacing w:line="240" w:lineRule="auto"/>
              <w:rPr>
                <w:rFonts w:ascii="Times New Roman" w:hAnsi="Times New Roman"/>
                <w:bCs/>
                <w:color w:val="auto"/>
                <w:sz w:val="28"/>
                <w:szCs w:val="28"/>
              </w:rPr>
            </w:pPr>
            <w:r w:rsidRPr="00916B3A">
              <w:rPr>
                <w:rFonts w:ascii="Times New Roman" w:hAnsi="Times New Roman"/>
                <w:bCs/>
                <w:snapToGrid/>
                <w:color w:val="auto"/>
                <w:sz w:val="28"/>
                <w:szCs w:val="28"/>
              </w:rPr>
              <w:t>Значение Rho Спирмена</w:t>
            </w:r>
          </w:p>
        </w:tc>
        <w:tc>
          <w:tcPr>
            <w:tcW w:w="1279" w:type="dxa"/>
            <w:shd w:val="clear" w:color="auto" w:fill="auto"/>
            <w:vAlign w:val="center"/>
          </w:tcPr>
          <w:p w14:paraId="252FF4F1" w14:textId="22467D86" w:rsidR="00021B57" w:rsidRPr="00916B3A" w:rsidRDefault="00021B57" w:rsidP="000B7B11">
            <w:pPr>
              <w:pStyle w:val="MDPI42tablebody"/>
              <w:autoSpaceDE w:val="0"/>
              <w:autoSpaceDN w:val="0"/>
              <w:spacing w:line="240" w:lineRule="auto"/>
              <w:rPr>
                <w:rFonts w:ascii="Times New Roman" w:hAnsi="Times New Roman"/>
                <w:bCs/>
                <w:color w:val="auto"/>
                <w:sz w:val="28"/>
                <w:szCs w:val="28"/>
              </w:rPr>
            </w:pPr>
            <w:r w:rsidRPr="00916B3A">
              <w:rPr>
                <w:rFonts w:ascii="Times New Roman" w:hAnsi="Times New Roman"/>
                <w:bCs/>
                <w:i/>
                <w:snapToGrid/>
                <w:color w:val="auto"/>
                <w:sz w:val="28"/>
                <w:szCs w:val="28"/>
              </w:rPr>
              <w:t>p</w:t>
            </w:r>
          </w:p>
        </w:tc>
      </w:tr>
      <w:tr w:rsidR="00021B57" w:rsidRPr="00916B3A" w14:paraId="24EC7F95" w14:textId="77777777" w:rsidTr="005536C0">
        <w:trPr>
          <w:jc w:val="center"/>
        </w:trPr>
        <w:tc>
          <w:tcPr>
            <w:tcW w:w="1991" w:type="dxa"/>
            <w:vMerge w:val="restart"/>
            <w:shd w:val="clear" w:color="auto" w:fill="auto"/>
            <w:vAlign w:val="center"/>
            <w:hideMark/>
          </w:tcPr>
          <w:p w14:paraId="61079A4C" w14:textId="12B24407" w:rsidR="00021B57" w:rsidRPr="00916B3A" w:rsidRDefault="007C1525" w:rsidP="000B7B11">
            <w:pPr>
              <w:pStyle w:val="MDPI42tablebody"/>
              <w:autoSpaceDE w:val="0"/>
              <w:autoSpaceDN w:val="0"/>
              <w:spacing w:line="240" w:lineRule="auto"/>
              <w:rPr>
                <w:rFonts w:ascii="Times New Roman" w:hAnsi="Times New Roman"/>
                <w:bCs/>
                <w:snapToGrid/>
                <w:color w:val="auto"/>
                <w:sz w:val="28"/>
                <w:szCs w:val="28"/>
                <w:lang w:val="ru-RU"/>
              </w:rPr>
            </w:pPr>
            <w:r w:rsidRPr="00916B3A">
              <w:rPr>
                <w:rFonts w:ascii="Times New Roman" w:hAnsi="Times New Roman"/>
                <w:bCs/>
                <w:snapToGrid/>
                <w:color w:val="auto"/>
                <w:sz w:val="28"/>
                <w:szCs w:val="28"/>
              </w:rPr>
              <w:t>РП</w:t>
            </w:r>
            <w:r w:rsidRPr="00916B3A">
              <w:rPr>
                <w:rFonts w:ascii="Times New Roman" w:hAnsi="Times New Roman"/>
                <w:bCs/>
                <w:snapToGrid/>
                <w:color w:val="auto"/>
                <w:sz w:val="28"/>
                <w:szCs w:val="28"/>
                <w:lang w:val="ru-RU"/>
              </w:rPr>
              <w:t>Б</w:t>
            </w:r>
          </w:p>
        </w:tc>
        <w:tc>
          <w:tcPr>
            <w:tcW w:w="1744" w:type="dxa"/>
            <w:shd w:val="clear" w:color="auto" w:fill="auto"/>
            <w:vAlign w:val="center"/>
            <w:hideMark/>
          </w:tcPr>
          <w:p w14:paraId="7BB75236" w14:textId="77777777" w:rsidR="00021B57" w:rsidRPr="00916B3A" w:rsidRDefault="00021B57" w:rsidP="000B7B11">
            <w:pPr>
              <w:pStyle w:val="MDPI42tablebody"/>
              <w:autoSpaceDE w:val="0"/>
              <w:autoSpaceDN w:val="0"/>
              <w:spacing w:line="240" w:lineRule="auto"/>
              <w:rPr>
                <w:rFonts w:ascii="Times New Roman" w:hAnsi="Times New Roman"/>
                <w:bCs/>
                <w:i/>
                <w:iCs/>
                <w:snapToGrid/>
                <w:color w:val="auto"/>
                <w:sz w:val="28"/>
                <w:szCs w:val="28"/>
              </w:rPr>
            </w:pPr>
            <w:r w:rsidRPr="00916B3A">
              <w:rPr>
                <w:rFonts w:ascii="Times New Roman" w:hAnsi="Times New Roman"/>
                <w:bCs/>
                <w:i/>
                <w:iCs/>
                <w:snapToGrid/>
                <w:color w:val="auto"/>
                <w:sz w:val="28"/>
                <w:szCs w:val="28"/>
              </w:rPr>
              <w:t>CXCL1</w:t>
            </w:r>
          </w:p>
        </w:tc>
        <w:tc>
          <w:tcPr>
            <w:tcW w:w="2880" w:type="dxa"/>
            <w:shd w:val="clear" w:color="auto" w:fill="auto"/>
            <w:vAlign w:val="center"/>
            <w:hideMark/>
          </w:tcPr>
          <w:p w14:paraId="42D9E471" w14:textId="77777777" w:rsidR="00021B57" w:rsidRPr="00916B3A" w:rsidRDefault="00021B57" w:rsidP="000B7B11">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Протромбиновое время</w:t>
            </w:r>
          </w:p>
        </w:tc>
        <w:tc>
          <w:tcPr>
            <w:tcW w:w="1599" w:type="dxa"/>
            <w:shd w:val="clear" w:color="auto" w:fill="auto"/>
            <w:vAlign w:val="center"/>
          </w:tcPr>
          <w:p w14:paraId="3C1DA296" w14:textId="77777777" w:rsidR="00021B57" w:rsidRPr="00916B3A" w:rsidRDefault="00021B57" w:rsidP="000B7B11">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−0,456</w:t>
            </w:r>
          </w:p>
        </w:tc>
        <w:tc>
          <w:tcPr>
            <w:tcW w:w="1279" w:type="dxa"/>
            <w:shd w:val="clear" w:color="auto" w:fill="auto"/>
            <w:vAlign w:val="center"/>
          </w:tcPr>
          <w:p w14:paraId="57F31EAC" w14:textId="77777777" w:rsidR="00021B57" w:rsidRPr="00916B3A" w:rsidRDefault="00021B57" w:rsidP="000B7B11">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0,04959</w:t>
            </w:r>
          </w:p>
        </w:tc>
      </w:tr>
      <w:tr w:rsidR="00021B57" w:rsidRPr="00916B3A" w14:paraId="1BE30874" w14:textId="77777777" w:rsidTr="005536C0">
        <w:trPr>
          <w:jc w:val="center"/>
        </w:trPr>
        <w:tc>
          <w:tcPr>
            <w:tcW w:w="1991" w:type="dxa"/>
            <w:vMerge/>
            <w:shd w:val="clear" w:color="auto" w:fill="auto"/>
            <w:vAlign w:val="center"/>
            <w:hideMark/>
          </w:tcPr>
          <w:p w14:paraId="1FE73B77" w14:textId="77777777" w:rsidR="00021B57" w:rsidRPr="00916B3A" w:rsidRDefault="00021B57" w:rsidP="000B7B11">
            <w:pPr>
              <w:pStyle w:val="MDPI42tablebody"/>
              <w:autoSpaceDE w:val="0"/>
              <w:autoSpaceDN w:val="0"/>
              <w:spacing w:line="240" w:lineRule="auto"/>
              <w:rPr>
                <w:rFonts w:ascii="Times New Roman" w:hAnsi="Times New Roman"/>
                <w:bCs/>
                <w:snapToGrid/>
                <w:color w:val="auto"/>
                <w:sz w:val="28"/>
                <w:szCs w:val="28"/>
              </w:rPr>
            </w:pPr>
          </w:p>
        </w:tc>
        <w:tc>
          <w:tcPr>
            <w:tcW w:w="1744" w:type="dxa"/>
            <w:shd w:val="clear" w:color="auto" w:fill="auto"/>
            <w:vAlign w:val="center"/>
            <w:hideMark/>
          </w:tcPr>
          <w:p w14:paraId="04E110E3" w14:textId="77777777" w:rsidR="00021B57" w:rsidRPr="00916B3A" w:rsidRDefault="00021B57" w:rsidP="000B7B11">
            <w:pPr>
              <w:pStyle w:val="MDPI42tablebody"/>
              <w:autoSpaceDE w:val="0"/>
              <w:autoSpaceDN w:val="0"/>
              <w:spacing w:line="240" w:lineRule="auto"/>
              <w:rPr>
                <w:rFonts w:ascii="Times New Roman" w:hAnsi="Times New Roman"/>
                <w:bCs/>
                <w:i/>
                <w:iCs/>
                <w:snapToGrid/>
                <w:color w:val="auto"/>
                <w:sz w:val="28"/>
                <w:szCs w:val="28"/>
              </w:rPr>
            </w:pPr>
            <w:r w:rsidRPr="00916B3A">
              <w:rPr>
                <w:rFonts w:ascii="Times New Roman" w:hAnsi="Times New Roman"/>
                <w:bCs/>
                <w:i/>
                <w:iCs/>
                <w:snapToGrid/>
                <w:color w:val="auto"/>
                <w:sz w:val="28"/>
                <w:szCs w:val="28"/>
              </w:rPr>
              <w:t>CXCL1</w:t>
            </w:r>
          </w:p>
        </w:tc>
        <w:tc>
          <w:tcPr>
            <w:tcW w:w="2880" w:type="dxa"/>
            <w:shd w:val="clear" w:color="auto" w:fill="auto"/>
            <w:vAlign w:val="center"/>
            <w:hideMark/>
          </w:tcPr>
          <w:p w14:paraId="495180F9" w14:textId="77777777" w:rsidR="00021B57" w:rsidRPr="00916B3A" w:rsidRDefault="00021B57" w:rsidP="000B7B11">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Активированное частичное тромбопластиновое время</w:t>
            </w:r>
          </w:p>
        </w:tc>
        <w:tc>
          <w:tcPr>
            <w:tcW w:w="1599" w:type="dxa"/>
            <w:shd w:val="clear" w:color="auto" w:fill="auto"/>
            <w:vAlign w:val="center"/>
          </w:tcPr>
          <w:p w14:paraId="56CDA640" w14:textId="77777777" w:rsidR="00021B57" w:rsidRPr="00916B3A" w:rsidRDefault="00021B57" w:rsidP="000B7B11">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0,587</w:t>
            </w:r>
          </w:p>
        </w:tc>
        <w:tc>
          <w:tcPr>
            <w:tcW w:w="1279" w:type="dxa"/>
            <w:shd w:val="clear" w:color="auto" w:fill="auto"/>
            <w:vAlign w:val="center"/>
          </w:tcPr>
          <w:p w14:paraId="2A6FBE44" w14:textId="77777777" w:rsidR="00021B57" w:rsidRPr="00916B3A" w:rsidRDefault="00021B57" w:rsidP="000B7B11">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0,0083</w:t>
            </w:r>
          </w:p>
        </w:tc>
      </w:tr>
      <w:tr w:rsidR="007C1525" w:rsidRPr="00916B3A" w14:paraId="17B76800" w14:textId="77777777" w:rsidTr="005536C0">
        <w:trPr>
          <w:jc w:val="center"/>
        </w:trPr>
        <w:tc>
          <w:tcPr>
            <w:tcW w:w="1991" w:type="dxa"/>
            <w:shd w:val="clear" w:color="auto" w:fill="auto"/>
            <w:vAlign w:val="center"/>
          </w:tcPr>
          <w:p w14:paraId="5B7ABA93" w14:textId="5BE873F1" w:rsidR="007C1525" w:rsidRPr="00916B3A" w:rsidRDefault="007C1525" w:rsidP="007C1525">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РИФ</w:t>
            </w:r>
          </w:p>
        </w:tc>
        <w:tc>
          <w:tcPr>
            <w:tcW w:w="1744" w:type="dxa"/>
            <w:shd w:val="clear" w:color="auto" w:fill="auto"/>
          </w:tcPr>
          <w:p w14:paraId="0E548E98" w14:textId="721D9240" w:rsidR="007C1525" w:rsidRPr="00916B3A" w:rsidRDefault="007C1525" w:rsidP="007C1525">
            <w:pPr>
              <w:pStyle w:val="MDPI42tablebody"/>
              <w:autoSpaceDE w:val="0"/>
              <w:autoSpaceDN w:val="0"/>
              <w:spacing w:line="240" w:lineRule="auto"/>
              <w:rPr>
                <w:rFonts w:ascii="Times New Roman" w:hAnsi="Times New Roman"/>
                <w:bCs/>
                <w:i/>
                <w:iCs/>
                <w:snapToGrid/>
                <w:color w:val="auto"/>
                <w:sz w:val="28"/>
                <w:szCs w:val="28"/>
              </w:rPr>
            </w:pPr>
            <w:r w:rsidRPr="00916B3A">
              <w:rPr>
                <w:rFonts w:ascii="Times New Roman" w:hAnsi="Times New Roman"/>
                <w:i/>
                <w:iCs/>
                <w:color w:val="auto"/>
                <w:sz w:val="28"/>
                <w:szCs w:val="28"/>
              </w:rPr>
              <w:t>HAND2</w:t>
            </w:r>
          </w:p>
        </w:tc>
        <w:tc>
          <w:tcPr>
            <w:tcW w:w="2880" w:type="dxa"/>
            <w:shd w:val="clear" w:color="auto" w:fill="auto"/>
            <w:vAlign w:val="center"/>
          </w:tcPr>
          <w:p w14:paraId="5CEF13FD" w14:textId="7380A1AD" w:rsidR="007C1525" w:rsidRPr="00916B3A" w:rsidRDefault="007C1525" w:rsidP="007C1525">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Тиреотропный гормон</w:t>
            </w:r>
          </w:p>
        </w:tc>
        <w:tc>
          <w:tcPr>
            <w:tcW w:w="1599" w:type="dxa"/>
            <w:shd w:val="clear" w:color="auto" w:fill="auto"/>
            <w:vAlign w:val="center"/>
          </w:tcPr>
          <w:p w14:paraId="5ADEC8A5" w14:textId="28C75093" w:rsidR="007C1525" w:rsidRPr="00916B3A" w:rsidRDefault="007C1525" w:rsidP="007C1525">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−0,671</w:t>
            </w:r>
          </w:p>
        </w:tc>
        <w:tc>
          <w:tcPr>
            <w:tcW w:w="1279" w:type="dxa"/>
            <w:shd w:val="clear" w:color="auto" w:fill="auto"/>
            <w:vAlign w:val="center"/>
          </w:tcPr>
          <w:p w14:paraId="2FC445D2" w14:textId="016AF272" w:rsidR="007C1525" w:rsidRPr="00916B3A" w:rsidRDefault="007C1525" w:rsidP="007C1525">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0,001</w:t>
            </w:r>
          </w:p>
        </w:tc>
      </w:tr>
      <w:tr w:rsidR="007C1525" w:rsidRPr="00916B3A" w14:paraId="3F074FFA" w14:textId="77777777" w:rsidTr="005536C0">
        <w:trPr>
          <w:jc w:val="center"/>
        </w:trPr>
        <w:tc>
          <w:tcPr>
            <w:tcW w:w="1991" w:type="dxa"/>
            <w:shd w:val="clear" w:color="auto" w:fill="auto"/>
            <w:vAlign w:val="center"/>
          </w:tcPr>
          <w:p w14:paraId="0F43F318" w14:textId="4FBEFD15" w:rsidR="007C1525" w:rsidRPr="002635DA" w:rsidRDefault="002635DA" w:rsidP="007C1525">
            <w:pPr>
              <w:pStyle w:val="MDPI42tablebody"/>
              <w:autoSpaceDE w:val="0"/>
              <w:autoSpaceDN w:val="0"/>
              <w:spacing w:line="240" w:lineRule="auto"/>
              <w:rPr>
                <w:rFonts w:ascii="Times New Roman" w:hAnsi="Times New Roman"/>
                <w:bCs/>
                <w:snapToGrid/>
                <w:color w:val="auto"/>
                <w:sz w:val="28"/>
                <w:szCs w:val="28"/>
                <w:lang w:val="ru-RU"/>
              </w:rPr>
            </w:pPr>
            <w:r>
              <w:rPr>
                <w:rFonts w:ascii="Times New Roman" w:hAnsi="Times New Roman"/>
                <w:bCs/>
                <w:snapToGrid/>
                <w:color w:val="auto"/>
                <w:sz w:val="28"/>
                <w:szCs w:val="28"/>
                <w:lang w:val="ru-RU"/>
              </w:rPr>
              <w:t>-</w:t>
            </w:r>
          </w:p>
        </w:tc>
        <w:tc>
          <w:tcPr>
            <w:tcW w:w="1744" w:type="dxa"/>
            <w:shd w:val="clear" w:color="auto" w:fill="auto"/>
          </w:tcPr>
          <w:p w14:paraId="3CD19EA9" w14:textId="1693EEFB" w:rsidR="007C1525" w:rsidRPr="00916B3A" w:rsidRDefault="007C1525" w:rsidP="007C1525">
            <w:pPr>
              <w:pStyle w:val="MDPI42tablebody"/>
              <w:autoSpaceDE w:val="0"/>
              <w:autoSpaceDN w:val="0"/>
              <w:spacing w:line="240" w:lineRule="auto"/>
              <w:rPr>
                <w:rFonts w:ascii="Times New Roman" w:hAnsi="Times New Roman"/>
                <w:i/>
                <w:iCs/>
                <w:color w:val="auto"/>
                <w:sz w:val="28"/>
                <w:szCs w:val="28"/>
              </w:rPr>
            </w:pPr>
            <w:r w:rsidRPr="00916B3A">
              <w:rPr>
                <w:rFonts w:ascii="Times New Roman" w:hAnsi="Times New Roman"/>
                <w:i/>
                <w:iCs/>
                <w:color w:val="auto"/>
                <w:sz w:val="28"/>
                <w:szCs w:val="28"/>
              </w:rPr>
              <w:t>HAND2</w:t>
            </w:r>
          </w:p>
        </w:tc>
        <w:tc>
          <w:tcPr>
            <w:tcW w:w="2880" w:type="dxa"/>
            <w:shd w:val="clear" w:color="auto" w:fill="auto"/>
            <w:vAlign w:val="center"/>
          </w:tcPr>
          <w:p w14:paraId="50C0830C" w14:textId="4443DFC3" w:rsidR="007C1525" w:rsidRPr="00916B3A" w:rsidRDefault="007C1525" w:rsidP="007C1525">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Фибриноген</w:t>
            </w:r>
          </w:p>
        </w:tc>
        <w:tc>
          <w:tcPr>
            <w:tcW w:w="1599" w:type="dxa"/>
            <w:shd w:val="clear" w:color="auto" w:fill="auto"/>
            <w:vAlign w:val="center"/>
          </w:tcPr>
          <w:p w14:paraId="04705268" w14:textId="7AEC07BD" w:rsidR="007C1525" w:rsidRPr="00916B3A" w:rsidRDefault="007C1525" w:rsidP="007C1525">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−0,465</w:t>
            </w:r>
          </w:p>
        </w:tc>
        <w:tc>
          <w:tcPr>
            <w:tcW w:w="1279" w:type="dxa"/>
            <w:shd w:val="clear" w:color="auto" w:fill="auto"/>
            <w:vAlign w:val="center"/>
          </w:tcPr>
          <w:p w14:paraId="64161A99" w14:textId="4BF1DDF0" w:rsidR="007C1525" w:rsidRPr="00916B3A" w:rsidRDefault="007C1525" w:rsidP="007C1525">
            <w:pPr>
              <w:pStyle w:val="MDPI42tablebody"/>
              <w:autoSpaceDE w:val="0"/>
              <w:autoSpaceDN w:val="0"/>
              <w:spacing w:line="240" w:lineRule="auto"/>
              <w:rPr>
                <w:rFonts w:ascii="Times New Roman" w:hAnsi="Times New Roman"/>
                <w:bCs/>
                <w:snapToGrid/>
                <w:color w:val="auto"/>
                <w:sz w:val="28"/>
                <w:szCs w:val="28"/>
              </w:rPr>
            </w:pPr>
            <w:r w:rsidRPr="00916B3A">
              <w:rPr>
                <w:rFonts w:ascii="Times New Roman" w:hAnsi="Times New Roman"/>
                <w:bCs/>
                <w:snapToGrid/>
                <w:color w:val="auto"/>
                <w:sz w:val="28"/>
                <w:szCs w:val="28"/>
              </w:rPr>
              <w:t>0,038</w:t>
            </w:r>
          </w:p>
        </w:tc>
      </w:tr>
    </w:tbl>
    <w:p w14:paraId="3B4F0352" w14:textId="77777777" w:rsidR="00015C2E" w:rsidRPr="00916B3A" w:rsidRDefault="00015C2E" w:rsidP="000B7B11">
      <w:pPr>
        <w:pStyle w:val="MDPI31text"/>
        <w:spacing w:line="240" w:lineRule="auto"/>
        <w:ind w:left="0" w:firstLine="567"/>
        <w:rPr>
          <w:rFonts w:ascii="Times New Roman" w:hAnsi="Times New Roman"/>
          <w:color w:val="auto"/>
          <w:sz w:val="28"/>
          <w:szCs w:val="28"/>
          <w:lang w:val="ru-RU"/>
        </w:rPr>
      </w:pPr>
    </w:p>
    <w:p w14:paraId="0E570D7D" w14:textId="77777777" w:rsidR="007C1525" w:rsidRPr="00916B3A" w:rsidRDefault="007C1525" w:rsidP="00DB05A1">
      <w:pPr>
        <w:pStyle w:val="MDPI31text"/>
        <w:spacing w:line="240" w:lineRule="auto"/>
        <w:ind w:left="0" w:firstLine="567"/>
        <w:rPr>
          <w:rFonts w:ascii="Times New Roman" w:hAnsi="Times New Roman"/>
          <w:color w:val="auto"/>
          <w:sz w:val="28"/>
          <w:szCs w:val="28"/>
          <w:lang w:val="ru-RU"/>
        </w:rPr>
      </w:pPr>
      <w:r w:rsidRPr="00916B3A">
        <w:rPr>
          <w:rFonts w:ascii="Times New Roman" w:hAnsi="Times New Roman"/>
          <w:color w:val="auto"/>
          <w:sz w:val="28"/>
          <w:szCs w:val="28"/>
          <w:lang w:val="ru-RU"/>
        </w:rPr>
        <w:t xml:space="preserve">У пациентов с РИФ значимые обратные умеренные корреляции наблюдались между </w:t>
      </w:r>
      <w:r w:rsidRPr="00916B3A">
        <w:rPr>
          <w:rFonts w:ascii="Times New Roman" w:hAnsi="Times New Roman"/>
          <w:i/>
          <w:iCs/>
          <w:color w:val="auto"/>
          <w:sz w:val="28"/>
          <w:szCs w:val="28"/>
        </w:rPr>
        <w:t>HAND</w:t>
      </w:r>
      <w:r w:rsidRPr="00916B3A">
        <w:rPr>
          <w:rFonts w:ascii="Times New Roman" w:hAnsi="Times New Roman"/>
          <w:i/>
          <w:iCs/>
          <w:color w:val="auto"/>
          <w:sz w:val="28"/>
          <w:szCs w:val="28"/>
          <w:lang w:val="ru-RU"/>
        </w:rPr>
        <w:t xml:space="preserve">2 </w:t>
      </w:r>
      <w:r w:rsidRPr="00916B3A">
        <w:rPr>
          <w:rFonts w:ascii="Times New Roman" w:hAnsi="Times New Roman"/>
          <w:color w:val="auto"/>
          <w:sz w:val="28"/>
          <w:szCs w:val="28"/>
          <w:lang w:val="ru-RU"/>
        </w:rPr>
        <w:t xml:space="preserve">и </w:t>
      </w:r>
      <w:r w:rsidRPr="00916B3A">
        <w:rPr>
          <w:rFonts w:ascii="Times New Roman" w:hAnsi="Times New Roman"/>
          <w:i/>
          <w:iCs/>
          <w:color w:val="auto"/>
          <w:sz w:val="28"/>
          <w:szCs w:val="28"/>
          <w:lang w:val="ru-RU"/>
        </w:rPr>
        <w:t xml:space="preserve">ТТГ </w:t>
      </w:r>
      <w:r w:rsidRPr="00916B3A">
        <w:rPr>
          <w:rFonts w:ascii="Times New Roman" w:hAnsi="Times New Roman"/>
          <w:color w:val="auto"/>
          <w:sz w:val="28"/>
          <w:szCs w:val="28"/>
          <w:lang w:val="ru-RU"/>
        </w:rPr>
        <w:t>(</w:t>
      </w:r>
      <w:r w:rsidRPr="00916B3A">
        <w:rPr>
          <w:rFonts w:ascii="Times New Roman" w:hAnsi="Times New Roman"/>
          <w:color w:val="auto"/>
          <w:sz w:val="28"/>
          <w:szCs w:val="28"/>
        </w:rPr>
        <w:t>rho</w:t>
      </w:r>
      <w:r w:rsidRPr="00916B3A">
        <w:rPr>
          <w:rFonts w:ascii="Times New Roman" w:hAnsi="Times New Roman"/>
          <w:color w:val="auto"/>
          <w:sz w:val="28"/>
          <w:szCs w:val="28"/>
          <w:lang w:val="ru-RU"/>
        </w:rPr>
        <w:t xml:space="preserve"> = −0,671,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xml:space="preserve">= 0,001), </w:t>
      </w:r>
      <w:r w:rsidRPr="00916B3A">
        <w:rPr>
          <w:rFonts w:ascii="Times New Roman" w:hAnsi="Times New Roman"/>
          <w:i/>
          <w:iCs/>
          <w:color w:val="auto"/>
          <w:sz w:val="28"/>
          <w:szCs w:val="28"/>
        </w:rPr>
        <w:t>HAND</w:t>
      </w:r>
      <w:r w:rsidRPr="00916B3A">
        <w:rPr>
          <w:rFonts w:ascii="Times New Roman" w:hAnsi="Times New Roman"/>
          <w:i/>
          <w:iCs/>
          <w:color w:val="auto"/>
          <w:sz w:val="28"/>
          <w:szCs w:val="28"/>
          <w:lang w:val="ru-RU"/>
        </w:rPr>
        <w:t xml:space="preserve">2 </w:t>
      </w:r>
      <w:r w:rsidRPr="00916B3A">
        <w:rPr>
          <w:rFonts w:ascii="Times New Roman" w:hAnsi="Times New Roman"/>
          <w:color w:val="auto"/>
          <w:sz w:val="28"/>
          <w:szCs w:val="28"/>
          <w:lang w:val="ru-RU"/>
        </w:rPr>
        <w:t>и фибриногеном (</w:t>
      </w:r>
      <w:r w:rsidRPr="00916B3A">
        <w:rPr>
          <w:rFonts w:ascii="Times New Roman" w:hAnsi="Times New Roman"/>
          <w:color w:val="auto"/>
          <w:sz w:val="28"/>
          <w:szCs w:val="28"/>
        </w:rPr>
        <w:t>rho</w:t>
      </w:r>
      <w:r w:rsidRPr="00916B3A">
        <w:rPr>
          <w:rFonts w:ascii="Times New Roman" w:hAnsi="Times New Roman"/>
          <w:color w:val="auto"/>
          <w:sz w:val="28"/>
          <w:szCs w:val="28"/>
          <w:lang w:val="ru-RU"/>
        </w:rPr>
        <w:t xml:space="preserve"> = −0,465,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xml:space="preserve">= 0,038), </w:t>
      </w:r>
      <w:r w:rsidRPr="00916B3A">
        <w:rPr>
          <w:rFonts w:ascii="Times New Roman" w:hAnsi="Times New Roman"/>
          <w:i/>
          <w:iCs/>
          <w:color w:val="auto"/>
          <w:sz w:val="28"/>
          <w:szCs w:val="28"/>
        </w:rPr>
        <w:t>VEGFB</w:t>
      </w:r>
      <w:r w:rsidRPr="00916B3A">
        <w:rPr>
          <w:rFonts w:ascii="Times New Roman" w:hAnsi="Times New Roman"/>
          <w:i/>
          <w:iCs/>
          <w:color w:val="auto"/>
          <w:sz w:val="28"/>
          <w:szCs w:val="28"/>
          <w:lang w:val="ru-RU"/>
        </w:rPr>
        <w:t xml:space="preserve"> </w:t>
      </w:r>
      <w:r w:rsidRPr="00916B3A">
        <w:rPr>
          <w:rFonts w:ascii="Times New Roman" w:hAnsi="Times New Roman"/>
          <w:color w:val="auto"/>
          <w:sz w:val="28"/>
          <w:szCs w:val="28"/>
          <w:lang w:val="ru-RU"/>
        </w:rPr>
        <w:t>и пролактином (</w:t>
      </w:r>
      <w:r w:rsidRPr="00916B3A">
        <w:rPr>
          <w:rFonts w:ascii="Times New Roman" w:hAnsi="Times New Roman"/>
          <w:color w:val="auto"/>
          <w:sz w:val="28"/>
          <w:szCs w:val="28"/>
        </w:rPr>
        <w:t>rho</w:t>
      </w:r>
      <w:r w:rsidRPr="00916B3A">
        <w:rPr>
          <w:rFonts w:ascii="Times New Roman" w:hAnsi="Times New Roman"/>
          <w:color w:val="auto"/>
          <w:sz w:val="28"/>
          <w:szCs w:val="28"/>
          <w:lang w:val="ru-RU"/>
        </w:rPr>
        <w:t xml:space="preserve"> = −0,446,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xml:space="preserve">= 0,049), а также </w:t>
      </w:r>
      <w:r w:rsidRPr="00916B3A">
        <w:rPr>
          <w:rFonts w:ascii="Times New Roman" w:hAnsi="Times New Roman"/>
          <w:i/>
          <w:iCs/>
          <w:color w:val="auto"/>
          <w:sz w:val="28"/>
          <w:szCs w:val="28"/>
        </w:rPr>
        <w:t>VEGFB</w:t>
      </w:r>
      <w:r w:rsidRPr="00916B3A">
        <w:rPr>
          <w:rFonts w:ascii="Times New Roman" w:hAnsi="Times New Roman"/>
          <w:i/>
          <w:iCs/>
          <w:color w:val="auto"/>
          <w:sz w:val="28"/>
          <w:szCs w:val="28"/>
          <w:lang w:val="ru-RU"/>
        </w:rPr>
        <w:t xml:space="preserve"> </w:t>
      </w:r>
      <w:r w:rsidRPr="00916B3A">
        <w:rPr>
          <w:rFonts w:ascii="Times New Roman" w:hAnsi="Times New Roman"/>
          <w:color w:val="auto"/>
          <w:sz w:val="28"/>
          <w:szCs w:val="28"/>
          <w:lang w:val="ru-RU"/>
        </w:rPr>
        <w:t xml:space="preserve">и </w:t>
      </w:r>
      <w:r w:rsidRPr="00916B3A">
        <w:rPr>
          <w:rFonts w:ascii="Times New Roman" w:hAnsi="Times New Roman"/>
          <w:i/>
          <w:iCs/>
          <w:color w:val="auto"/>
          <w:sz w:val="28"/>
          <w:szCs w:val="28"/>
          <w:lang w:val="ru-RU"/>
        </w:rPr>
        <w:t xml:space="preserve">ТТГ </w:t>
      </w:r>
      <w:r w:rsidRPr="00916B3A">
        <w:rPr>
          <w:rFonts w:ascii="Times New Roman" w:hAnsi="Times New Roman"/>
          <w:color w:val="auto"/>
          <w:sz w:val="28"/>
          <w:szCs w:val="28"/>
          <w:lang w:val="ru-RU"/>
        </w:rPr>
        <w:t>(</w:t>
      </w:r>
      <w:r w:rsidRPr="00916B3A">
        <w:rPr>
          <w:rFonts w:ascii="Times New Roman" w:hAnsi="Times New Roman"/>
          <w:color w:val="auto"/>
          <w:sz w:val="28"/>
          <w:szCs w:val="28"/>
        </w:rPr>
        <w:t>rho</w:t>
      </w:r>
      <w:r w:rsidRPr="00916B3A">
        <w:rPr>
          <w:rFonts w:ascii="Times New Roman" w:hAnsi="Times New Roman"/>
          <w:color w:val="auto"/>
          <w:sz w:val="28"/>
          <w:szCs w:val="28"/>
          <w:lang w:val="ru-RU"/>
        </w:rPr>
        <w:t xml:space="preserve"> = −0,526,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xml:space="preserve">= 0,017). У пациентов с РПБ были установлены значимые обратные умеренные корреляции между </w:t>
      </w:r>
      <w:r w:rsidRPr="00916B3A">
        <w:rPr>
          <w:rFonts w:ascii="Times New Roman" w:hAnsi="Times New Roman"/>
          <w:i/>
          <w:iCs/>
          <w:color w:val="auto"/>
          <w:sz w:val="28"/>
          <w:szCs w:val="28"/>
        </w:rPr>
        <w:t>CXCL</w:t>
      </w:r>
      <w:r w:rsidRPr="00916B3A">
        <w:rPr>
          <w:rFonts w:ascii="Times New Roman" w:hAnsi="Times New Roman"/>
          <w:i/>
          <w:iCs/>
          <w:color w:val="auto"/>
          <w:sz w:val="28"/>
          <w:szCs w:val="28"/>
          <w:lang w:val="ru-RU"/>
        </w:rPr>
        <w:t xml:space="preserve">1 </w:t>
      </w:r>
      <w:r w:rsidRPr="00916B3A">
        <w:rPr>
          <w:rFonts w:ascii="Times New Roman" w:hAnsi="Times New Roman"/>
          <w:color w:val="auto"/>
          <w:sz w:val="28"/>
          <w:szCs w:val="28"/>
          <w:lang w:val="ru-RU"/>
        </w:rPr>
        <w:t>и протромбиновым временем (</w:t>
      </w:r>
      <w:r w:rsidRPr="00916B3A">
        <w:rPr>
          <w:rFonts w:ascii="Times New Roman" w:hAnsi="Times New Roman"/>
          <w:color w:val="auto"/>
          <w:sz w:val="28"/>
          <w:szCs w:val="28"/>
        </w:rPr>
        <w:t>rho</w:t>
      </w:r>
      <w:r w:rsidRPr="00916B3A">
        <w:rPr>
          <w:rFonts w:ascii="Times New Roman" w:hAnsi="Times New Roman"/>
          <w:color w:val="auto"/>
          <w:sz w:val="28"/>
          <w:szCs w:val="28"/>
          <w:lang w:val="ru-RU"/>
        </w:rPr>
        <w:t xml:space="preserve"> = −0,456,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xml:space="preserve">= 0,04959) и между </w:t>
      </w:r>
      <w:r w:rsidRPr="00916B3A">
        <w:rPr>
          <w:rFonts w:ascii="Times New Roman" w:hAnsi="Times New Roman"/>
          <w:i/>
          <w:iCs/>
          <w:color w:val="auto"/>
          <w:sz w:val="28"/>
          <w:szCs w:val="28"/>
        </w:rPr>
        <w:t>MMP</w:t>
      </w:r>
      <w:r w:rsidRPr="00916B3A">
        <w:rPr>
          <w:rFonts w:ascii="Times New Roman" w:hAnsi="Times New Roman"/>
          <w:i/>
          <w:iCs/>
          <w:color w:val="auto"/>
          <w:sz w:val="28"/>
          <w:szCs w:val="28"/>
          <w:lang w:val="ru-RU"/>
        </w:rPr>
        <w:t xml:space="preserve">10 </w:t>
      </w:r>
      <w:r w:rsidRPr="00916B3A">
        <w:rPr>
          <w:rFonts w:ascii="Times New Roman" w:hAnsi="Times New Roman"/>
          <w:color w:val="auto"/>
          <w:sz w:val="28"/>
          <w:szCs w:val="28"/>
          <w:lang w:val="ru-RU"/>
        </w:rPr>
        <w:t>и активированным частичным тромбопластиновым временем (</w:t>
      </w:r>
      <w:r w:rsidRPr="00916B3A">
        <w:rPr>
          <w:rFonts w:ascii="Times New Roman" w:hAnsi="Times New Roman"/>
          <w:color w:val="auto"/>
          <w:sz w:val="28"/>
          <w:szCs w:val="28"/>
        </w:rPr>
        <w:t>rho</w:t>
      </w:r>
      <w:r w:rsidRPr="00916B3A">
        <w:rPr>
          <w:rFonts w:ascii="Times New Roman" w:hAnsi="Times New Roman"/>
          <w:color w:val="auto"/>
          <w:sz w:val="28"/>
          <w:szCs w:val="28"/>
          <w:lang w:val="ru-RU"/>
        </w:rPr>
        <w:t xml:space="preserve"> = −0,494,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xml:space="preserve">= 0,0317) и прямая умеренная корреляция между </w:t>
      </w:r>
      <w:r w:rsidRPr="00916B3A">
        <w:rPr>
          <w:rFonts w:ascii="Times New Roman" w:hAnsi="Times New Roman"/>
          <w:i/>
          <w:iCs/>
          <w:color w:val="auto"/>
          <w:sz w:val="28"/>
          <w:szCs w:val="28"/>
        </w:rPr>
        <w:t>CXCL</w:t>
      </w:r>
      <w:r w:rsidRPr="00916B3A">
        <w:rPr>
          <w:rFonts w:ascii="Times New Roman" w:hAnsi="Times New Roman"/>
          <w:i/>
          <w:iCs/>
          <w:color w:val="auto"/>
          <w:sz w:val="28"/>
          <w:szCs w:val="28"/>
          <w:lang w:val="ru-RU"/>
        </w:rPr>
        <w:t xml:space="preserve">1 </w:t>
      </w:r>
      <w:r w:rsidRPr="00916B3A">
        <w:rPr>
          <w:rFonts w:ascii="Times New Roman" w:hAnsi="Times New Roman"/>
          <w:color w:val="auto"/>
          <w:sz w:val="28"/>
          <w:szCs w:val="28"/>
          <w:lang w:val="ru-RU"/>
        </w:rPr>
        <w:t>и активированным частичным тромбопластиновым временем (</w:t>
      </w:r>
      <w:r w:rsidRPr="00916B3A">
        <w:rPr>
          <w:rFonts w:ascii="Times New Roman" w:hAnsi="Times New Roman"/>
          <w:color w:val="auto"/>
          <w:sz w:val="28"/>
          <w:szCs w:val="28"/>
        </w:rPr>
        <w:t>rho</w:t>
      </w:r>
      <w:r w:rsidRPr="00916B3A">
        <w:rPr>
          <w:rFonts w:ascii="Times New Roman" w:hAnsi="Times New Roman"/>
          <w:color w:val="auto"/>
          <w:sz w:val="28"/>
          <w:szCs w:val="28"/>
          <w:lang w:val="ru-RU"/>
        </w:rPr>
        <w:t xml:space="preserve"> = 0,587,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0,0083). Следует отметить, что после корректировки для множественных сравнений ни одна из корреляций не осталась значимой.</w:t>
      </w:r>
    </w:p>
    <w:p w14:paraId="4FCA2FF1" w14:textId="51D8A2BD" w:rsidR="00021B57" w:rsidRPr="00916B3A" w:rsidRDefault="00021B57" w:rsidP="00DB05A1">
      <w:pPr>
        <w:pStyle w:val="MDPI31text"/>
        <w:spacing w:line="240" w:lineRule="auto"/>
        <w:ind w:left="0" w:firstLine="567"/>
        <w:rPr>
          <w:rFonts w:ascii="Times New Roman" w:hAnsi="Times New Roman"/>
          <w:color w:val="auto"/>
          <w:sz w:val="28"/>
          <w:szCs w:val="28"/>
          <w:lang w:val="ru-RU"/>
        </w:rPr>
      </w:pPr>
      <w:r w:rsidRPr="00916B3A">
        <w:rPr>
          <w:rFonts w:ascii="Times New Roman" w:hAnsi="Times New Roman"/>
          <w:color w:val="auto"/>
          <w:sz w:val="28"/>
          <w:szCs w:val="28"/>
          <w:lang w:val="ru-RU"/>
        </w:rPr>
        <w:t xml:space="preserve">У пациентов с РПБ были установлены значимые обратные умеренные корреляции между </w:t>
      </w:r>
      <w:r w:rsidRPr="00916B3A">
        <w:rPr>
          <w:rFonts w:ascii="Times New Roman" w:hAnsi="Times New Roman"/>
          <w:i/>
          <w:iCs/>
          <w:color w:val="auto"/>
          <w:sz w:val="28"/>
          <w:szCs w:val="28"/>
        </w:rPr>
        <w:t>CXCL</w:t>
      </w:r>
      <w:r w:rsidRPr="00916B3A">
        <w:rPr>
          <w:rFonts w:ascii="Times New Roman" w:hAnsi="Times New Roman"/>
          <w:i/>
          <w:iCs/>
          <w:color w:val="auto"/>
          <w:sz w:val="28"/>
          <w:szCs w:val="28"/>
          <w:lang w:val="ru-RU"/>
        </w:rPr>
        <w:t xml:space="preserve">1 </w:t>
      </w:r>
      <w:r w:rsidRPr="00916B3A">
        <w:rPr>
          <w:rFonts w:ascii="Times New Roman" w:hAnsi="Times New Roman"/>
          <w:color w:val="auto"/>
          <w:sz w:val="28"/>
          <w:szCs w:val="28"/>
          <w:lang w:val="ru-RU"/>
        </w:rPr>
        <w:t>и протромбиновым временем (</w:t>
      </w:r>
      <w:r w:rsidRPr="00916B3A">
        <w:rPr>
          <w:rFonts w:ascii="Times New Roman" w:hAnsi="Times New Roman"/>
          <w:color w:val="auto"/>
          <w:sz w:val="28"/>
          <w:szCs w:val="28"/>
        </w:rPr>
        <w:t>rho</w:t>
      </w:r>
      <w:r w:rsidRPr="00916B3A">
        <w:rPr>
          <w:rFonts w:ascii="Times New Roman" w:hAnsi="Times New Roman"/>
          <w:color w:val="auto"/>
          <w:sz w:val="28"/>
          <w:szCs w:val="28"/>
          <w:lang w:val="ru-RU"/>
        </w:rPr>
        <w:t xml:space="preserve"> = −0,456,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xml:space="preserve">= 0,04959) и прямая умеренная корреляция между </w:t>
      </w:r>
      <w:r w:rsidRPr="00916B3A">
        <w:rPr>
          <w:rFonts w:ascii="Times New Roman" w:hAnsi="Times New Roman"/>
          <w:i/>
          <w:iCs/>
          <w:color w:val="auto"/>
          <w:sz w:val="28"/>
          <w:szCs w:val="28"/>
        </w:rPr>
        <w:t>CXCL</w:t>
      </w:r>
      <w:r w:rsidRPr="00916B3A">
        <w:rPr>
          <w:rFonts w:ascii="Times New Roman" w:hAnsi="Times New Roman"/>
          <w:i/>
          <w:iCs/>
          <w:color w:val="auto"/>
          <w:sz w:val="28"/>
          <w:szCs w:val="28"/>
          <w:lang w:val="ru-RU"/>
        </w:rPr>
        <w:t xml:space="preserve">1 </w:t>
      </w:r>
      <w:r w:rsidRPr="00916B3A">
        <w:rPr>
          <w:rFonts w:ascii="Times New Roman" w:hAnsi="Times New Roman"/>
          <w:color w:val="auto"/>
          <w:sz w:val="28"/>
          <w:szCs w:val="28"/>
          <w:lang w:val="ru-RU"/>
        </w:rPr>
        <w:t>и активированным частичным тромбопластиновым временем (</w:t>
      </w:r>
      <w:r w:rsidRPr="00916B3A">
        <w:rPr>
          <w:rFonts w:ascii="Times New Roman" w:hAnsi="Times New Roman"/>
          <w:color w:val="auto"/>
          <w:sz w:val="28"/>
          <w:szCs w:val="28"/>
        </w:rPr>
        <w:t>rho</w:t>
      </w:r>
      <w:r w:rsidRPr="00916B3A">
        <w:rPr>
          <w:rFonts w:ascii="Times New Roman" w:hAnsi="Times New Roman"/>
          <w:color w:val="auto"/>
          <w:sz w:val="28"/>
          <w:szCs w:val="28"/>
          <w:lang w:val="ru-RU"/>
        </w:rPr>
        <w:t xml:space="preserve"> = 0,587, </w:t>
      </w:r>
      <w:r w:rsidRPr="00916B3A">
        <w:rPr>
          <w:rFonts w:ascii="Times New Roman" w:hAnsi="Times New Roman"/>
          <w:i/>
          <w:color w:val="auto"/>
          <w:sz w:val="28"/>
          <w:szCs w:val="28"/>
        </w:rPr>
        <w:t>p</w:t>
      </w:r>
      <w:r w:rsidRPr="00916B3A">
        <w:rPr>
          <w:rFonts w:ascii="Times New Roman" w:hAnsi="Times New Roman"/>
          <w:i/>
          <w:color w:val="auto"/>
          <w:sz w:val="28"/>
          <w:szCs w:val="28"/>
          <w:lang w:val="ru-RU"/>
        </w:rPr>
        <w:t xml:space="preserve"> </w:t>
      </w:r>
      <w:r w:rsidRPr="00916B3A">
        <w:rPr>
          <w:rFonts w:ascii="Times New Roman" w:hAnsi="Times New Roman"/>
          <w:color w:val="auto"/>
          <w:sz w:val="28"/>
          <w:szCs w:val="28"/>
          <w:lang w:val="ru-RU"/>
        </w:rPr>
        <w:t>= 0,0083). Следует отметить, что после корректировки для множественных сравнений ни одна из корреляций не осталась значимой.</w:t>
      </w:r>
    </w:p>
    <w:p w14:paraId="3E79D38C" w14:textId="77777777" w:rsidR="00021B57" w:rsidRPr="005536C0" w:rsidRDefault="00021B57" w:rsidP="000B7B11">
      <w:pPr>
        <w:pStyle w:val="MDPI22heading2"/>
        <w:spacing w:before="0" w:after="0" w:line="240" w:lineRule="auto"/>
        <w:ind w:left="0" w:firstLine="567"/>
        <w:rPr>
          <w:rFonts w:ascii="Times New Roman" w:hAnsi="Times New Roman"/>
          <w:noProof w:val="0"/>
          <w:color w:val="auto"/>
          <w:sz w:val="28"/>
          <w:szCs w:val="28"/>
          <w:lang w:val="ru-RU"/>
        </w:rPr>
      </w:pPr>
      <w:r w:rsidRPr="005536C0">
        <w:rPr>
          <w:rFonts w:ascii="Times New Roman" w:hAnsi="Times New Roman"/>
          <w:noProof w:val="0"/>
          <w:color w:val="auto"/>
          <w:sz w:val="28"/>
          <w:szCs w:val="28"/>
        </w:rPr>
        <w:t>Анализ ROC</w:t>
      </w:r>
    </w:p>
    <w:p w14:paraId="69627C29" w14:textId="5EC2523B" w:rsidR="00021B57" w:rsidRPr="00916B3A" w:rsidRDefault="00021B57" w:rsidP="000B7B11">
      <w:pPr>
        <w:pStyle w:val="MDPI31text"/>
        <w:spacing w:line="240" w:lineRule="auto"/>
        <w:ind w:left="0" w:firstLine="567"/>
        <w:rPr>
          <w:rFonts w:ascii="Times New Roman" w:hAnsi="Times New Roman"/>
          <w:color w:val="auto"/>
          <w:sz w:val="28"/>
          <w:szCs w:val="28"/>
          <w:lang w:val="ru-RU"/>
        </w:rPr>
      </w:pPr>
      <w:r w:rsidRPr="00916B3A">
        <w:rPr>
          <w:rFonts w:ascii="Times New Roman" w:hAnsi="Times New Roman"/>
          <w:color w:val="auto"/>
          <w:sz w:val="28"/>
          <w:szCs w:val="28"/>
          <w:lang w:val="ru-RU"/>
        </w:rPr>
        <w:t xml:space="preserve">Проведен </w:t>
      </w:r>
      <w:r w:rsidRPr="00916B3A">
        <w:rPr>
          <w:rFonts w:ascii="Times New Roman" w:hAnsi="Times New Roman"/>
          <w:color w:val="auto"/>
          <w:sz w:val="28"/>
          <w:szCs w:val="28"/>
        </w:rPr>
        <w:t>ROC</w:t>
      </w:r>
      <w:r w:rsidRPr="00916B3A">
        <w:rPr>
          <w:rFonts w:ascii="Times New Roman" w:hAnsi="Times New Roman"/>
          <w:color w:val="auto"/>
          <w:sz w:val="28"/>
          <w:szCs w:val="28"/>
          <w:lang w:val="ru-RU"/>
        </w:rPr>
        <w:t xml:space="preserve">-анализ для оценки потенциала использования мРНК генов, дифференциально экспрессируемых в эндометрии пациенток с РНИ, в качестве маркеров для прогнозирования РНИ. Результаты представлены в Таблице </w:t>
      </w:r>
      <w:r w:rsidR="00CE207F" w:rsidRPr="00916B3A">
        <w:rPr>
          <w:rFonts w:ascii="Times New Roman" w:hAnsi="Times New Roman"/>
          <w:color w:val="auto"/>
          <w:sz w:val="28"/>
          <w:szCs w:val="28"/>
          <w:lang w:val="ru-RU"/>
        </w:rPr>
        <w:t>1</w:t>
      </w:r>
      <w:r w:rsidR="00DB05A1" w:rsidRPr="00916B3A">
        <w:rPr>
          <w:rFonts w:ascii="Times New Roman" w:hAnsi="Times New Roman"/>
          <w:color w:val="auto"/>
          <w:sz w:val="28"/>
          <w:szCs w:val="28"/>
          <w:lang w:val="ru-RU"/>
        </w:rPr>
        <w:t>9</w:t>
      </w:r>
      <w:r w:rsidRPr="00916B3A">
        <w:rPr>
          <w:rFonts w:ascii="Times New Roman" w:hAnsi="Times New Roman"/>
          <w:color w:val="auto"/>
          <w:sz w:val="28"/>
          <w:szCs w:val="28"/>
          <w:lang w:val="ru-RU"/>
        </w:rPr>
        <w:t xml:space="preserve">. </w:t>
      </w:r>
    </w:p>
    <w:p w14:paraId="3D268300" w14:textId="77777777" w:rsidR="00021B57" w:rsidRPr="00916B3A" w:rsidRDefault="00021B57" w:rsidP="000B7B11">
      <w:pPr>
        <w:pStyle w:val="MDPI31text"/>
        <w:spacing w:line="240" w:lineRule="auto"/>
        <w:ind w:left="0" w:firstLine="567"/>
        <w:rPr>
          <w:rFonts w:ascii="Times New Roman" w:hAnsi="Times New Roman"/>
          <w:color w:val="auto"/>
          <w:sz w:val="28"/>
          <w:szCs w:val="28"/>
          <w:lang w:val="ru-RU"/>
        </w:rPr>
      </w:pPr>
    </w:p>
    <w:p w14:paraId="097C6DFF" w14:textId="46A9DDEB" w:rsidR="00021B57" w:rsidRPr="00916B3A" w:rsidRDefault="00021B57" w:rsidP="000B7B11">
      <w:pPr>
        <w:pStyle w:val="MDPI41tablecaption"/>
        <w:spacing w:before="0" w:after="0" w:line="240" w:lineRule="auto"/>
        <w:ind w:left="0"/>
        <w:rPr>
          <w:rFonts w:ascii="Times New Roman" w:hAnsi="Times New Roman" w:cs="Times New Roman"/>
          <w:color w:val="auto"/>
          <w:sz w:val="28"/>
          <w:szCs w:val="28"/>
          <w:lang w:val="ru-RU"/>
        </w:rPr>
      </w:pPr>
      <w:r w:rsidRPr="00916B3A">
        <w:rPr>
          <w:rFonts w:ascii="Times New Roman" w:hAnsi="Times New Roman" w:cs="Times New Roman"/>
          <w:color w:val="auto"/>
          <w:sz w:val="28"/>
          <w:szCs w:val="28"/>
        </w:rPr>
        <w:t xml:space="preserve">Таблица </w:t>
      </w:r>
      <w:r w:rsidR="00DB05A1" w:rsidRPr="00916B3A">
        <w:rPr>
          <w:rFonts w:ascii="Times New Roman" w:hAnsi="Times New Roman" w:cs="Times New Roman"/>
          <w:color w:val="auto"/>
          <w:sz w:val="28"/>
          <w:szCs w:val="28"/>
          <w:lang w:val="ru-RU"/>
        </w:rPr>
        <w:t>19</w:t>
      </w:r>
      <w:r w:rsidR="005536C0">
        <w:rPr>
          <w:rFonts w:ascii="Times New Roman" w:hAnsi="Times New Roman" w:cs="Times New Roman"/>
          <w:color w:val="auto"/>
          <w:sz w:val="28"/>
          <w:szCs w:val="28"/>
          <w:lang w:val="ru-RU"/>
        </w:rPr>
        <w:t xml:space="preserve"> -</w:t>
      </w:r>
      <w:r w:rsidRPr="00916B3A">
        <w:rPr>
          <w:rFonts w:ascii="Times New Roman" w:hAnsi="Times New Roman" w:cs="Times New Roman"/>
          <w:color w:val="auto"/>
          <w:sz w:val="28"/>
          <w:szCs w:val="28"/>
        </w:rPr>
        <w:t xml:space="preserve"> Результаты ROC-анализа</w:t>
      </w:r>
    </w:p>
    <w:p w14:paraId="7A35360D" w14:textId="77777777" w:rsidR="00342832" w:rsidRPr="00916B3A" w:rsidRDefault="00342832" w:rsidP="000B7B11">
      <w:pPr>
        <w:pStyle w:val="MDPI41tablecaption"/>
        <w:spacing w:before="0" w:after="0" w:line="240" w:lineRule="auto"/>
        <w:ind w:left="0"/>
        <w:rPr>
          <w:rFonts w:ascii="Times New Roman" w:hAnsi="Times New Roman" w:cs="Times New Roman"/>
          <w:color w:val="auto"/>
          <w:sz w:val="28"/>
          <w:szCs w:val="28"/>
          <w:lang w:val="ru-RU"/>
        </w:rPr>
      </w:pPr>
    </w:p>
    <w:tbl>
      <w:tblPr>
        <w:tblStyle w:val="ae"/>
        <w:tblW w:w="9494" w:type="dxa"/>
        <w:jc w:val="center"/>
        <w:tblLayout w:type="fixed"/>
        <w:tblCellMar>
          <w:left w:w="0" w:type="dxa"/>
          <w:right w:w="0" w:type="dxa"/>
        </w:tblCellMar>
        <w:tblLook w:val="04A0" w:firstRow="1" w:lastRow="0" w:firstColumn="1" w:lastColumn="0" w:noHBand="0" w:noVBand="1"/>
      </w:tblPr>
      <w:tblGrid>
        <w:gridCol w:w="1984"/>
        <w:gridCol w:w="1984"/>
        <w:gridCol w:w="1846"/>
        <w:gridCol w:w="1986"/>
        <w:gridCol w:w="1694"/>
      </w:tblGrid>
      <w:tr w:rsidR="00021B57" w:rsidRPr="00916B3A" w14:paraId="35E973A7" w14:textId="77777777" w:rsidTr="005536C0">
        <w:trPr>
          <w:jc w:val="center"/>
        </w:trPr>
        <w:tc>
          <w:tcPr>
            <w:tcW w:w="1045" w:type="pct"/>
            <w:shd w:val="clear" w:color="auto" w:fill="auto"/>
          </w:tcPr>
          <w:p w14:paraId="059495B3"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color w:val="auto"/>
                <w:sz w:val="28"/>
                <w:szCs w:val="28"/>
              </w:rPr>
            </w:pPr>
            <w:r w:rsidRPr="00916B3A">
              <w:rPr>
                <w:rFonts w:ascii="Times New Roman" w:hAnsi="Times New Roman"/>
                <w:color w:val="auto"/>
                <w:sz w:val="28"/>
                <w:szCs w:val="28"/>
              </w:rPr>
              <w:t>Потенциальные маркеры и комбинации</w:t>
            </w:r>
          </w:p>
        </w:tc>
        <w:tc>
          <w:tcPr>
            <w:tcW w:w="1045" w:type="pct"/>
            <w:shd w:val="clear" w:color="auto" w:fill="auto"/>
          </w:tcPr>
          <w:p w14:paraId="303FA123"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color w:val="auto"/>
                <w:sz w:val="28"/>
                <w:szCs w:val="28"/>
              </w:rPr>
            </w:pPr>
            <w:r w:rsidRPr="00916B3A">
              <w:rPr>
                <w:rFonts w:ascii="Times New Roman" w:hAnsi="Times New Roman"/>
                <w:color w:val="auto"/>
                <w:sz w:val="28"/>
                <w:szCs w:val="28"/>
              </w:rPr>
              <w:t>AUC (95% ДИ)</w:t>
            </w:r>
          </w:p>
        </w:tc>
        <w:tc>
          <w:tcPr>
            <w:tcW w:w="972" w:type="pct"/>
            <w:shd w:val="clear" w:color="auto" w:fill="auto"/>
          </w:tcPr>
          <w:p w14:paraId="14157C88"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color w:val="auto"/>
                <w:sz w:val="28"/>
                <w:szCs w:val="28"/>
              </w:rPr>
            </w:pPr>
            <w:r w:rsidRPr="00916B3A">
              <w:rPr>
                <w:rFonts w:ascii="Times New Roman" w:hAnsi="Times New Roman"/>
                <w:color w:val="auto"/>
                <w:sz w:val="28"/>
                <w:szCs w:val="28"/>
              </w:rPr>
              <w:t>Оптимальная точка отсечения</w:t>
            </w:r>
          </w:p>
        </w:tc>
        <w:tc>
          <w:tcPr>
            <w:tcW w:w="1046" w:type="pct"/>
            <w:shd w:val="clear" w:color="auto" w:fill="auto"/>
          </w:tcPr>
          <w:p w14:paraId="17572575"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color w:val="auto"/>
                <w:sz w:val="28"/>
                <w:szCs w:val="28"/>
              </w:rPr>
            </w:pPr>
            <w:r w:rsidRPr="00916B3A">
              <w:rPr>
                <w:rFonts w:ascii="Times New Roman" w:hAnsi="Times New Roman"/>
                <w:color w:val="auto"/>
                <w:sz w:val="28"/>
                <w:szCs w:val="28"/>
              </w:rPr>
              <w:t xml:space="preserve">Чувствительность </w:t>
            </w:r>
            <w:r w:rsidRPr="00916B3A">
              <w:rPr>
                <w:rFonts w:ascii="Times New Roman" w:hAnsi="Times New Roman"/>
                <w:color w:val="auto"/>
                <w:sz w:val="28"/>
                <w:szCs w:val="28"/>
              </w:rPr>
              <w:br/>
              <w:t>(95% ДИ)</w:t>
            </w:r>
          </w:p>
        </w:tc>
        <w:tc>
          <w:tcPr>
            <w:tcW w:w="892" w:type="pct"/>
            <w:shd w:val="clear" w:color="auto" w:fill="auto"/>
          </w:tcPr>
          <w:p w14:paraId="0544A7E3"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color w:val="auto"/>
                <w:sz w:val="28"/>
                <w:szCs w:val="28"/>
              </w:rPr>
            </w:pPr>
            <w:r w:rsidRPr="00916B3A">
              <w:rPr>
                <w:rFonts w:ascii="Times New Roman" w:hAnsi="Times New Roman"/>
                <w:color w:val="auto"/>
                <w:sz w:val="28"/>
                <w:szCs w:val="28"/>
              </w:rPr>
              <w:t xml:space="preserve">Специфичность </w:t>
            </w:r>
            <w:r w:rsidRPr="00916B3A">
              <w:rPr>
                <w:rFonts w:ascii="Times New Roman" w:hAnsi="Times New Roman"/>
                <w:color w:val="auto"/>
                <w:sz w:val="28"/>
                <w:szCs w:val="28"/>
              </w:rPr>
              <w:br/>
              <w:t>(95% ДИ)</w:t>
            </w:r>
          </w:p>
        </w:tc>
      </w:tr>
      <w:tr w:rsidR="00021B57" w:rsidRPr="00916B3A" w14:paraId="3A4FA3F7" w14:textId="77777777" w:rsidTr="005536C0">
        <w:trPr>
          <w:jc w:val="center"/>
        </w:trPr>
        <w:tc>
          <w:tcPr>
            <w:tcW w:w="1045" w:type="pct"/>
            <w:shd w:val="clear" w:color="auto" w:fill="auto"/>
          </w:tcPr>
          <w:p w14:paraId="58068C62"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i/>
                <w:iCs/>
                <w:color w:val="auto"/>
                <w:sz w:val="28"/>
                <w:szCs w:val="28"/>
              </w:rPr>
            </w:pPr>
            <w:r w:rsidRPr="00916B3A">
              <w:rPr>
                <w:rFonts w:ascii="Times New Roman" w:hAnsi="Times New Roman"/>
                <w:i/>
                <w:iCs/>
                <w:color w:val="auto"/>
                <w:sz w:val="28"/>
                <w:szCs w:val="28"/>
              </w:rPr>
              <w:t>ИЛ15</w:t>
            </w:r>
          </w:p>
        </w:tc>
        <w:tc>
          <w:tcPr>
            <w:tcW w:w="1045" w:type="pct"/>
            <w:shd w:val="clear" w:color="auto" w:fill="auto"/>
          </w:tcPr>
          <w:p w14:paraId="0E4466B8"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color w:val="auto"/>
                <w:sz w:val="28"/>
                <w:szCs w:val="28"/>
              </w:rPr>
            </w:pPr>
            <w:r w:rsidRPr="00916B3A">
              <w:rPr>
                <w:rFonts w:ascii="Times New Roman" w:hAnsi="Times New Roman"/>
                <w:color w:val="auto"/>
                <w:sz w:val="28"/>
                <w:szCs w:val="28"/>
              </w:rPr>
              <w:t>0,713 (0,550–0,876)</w:t>
            </w:r>
          </w:p>
        </w:tc>
        <w:tc>
          <w:tcPr>
            <w:tcW w:w="972" w:type="pct"/>
            <w:shd w:val="clear" w:color="auto" w:fill="auto"/>
          </w:tcPr>
          <w:p w14:paraId="71254F85"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color w:val="auto"/>
                <w:sz w:val="28"/>
                <w:szCs w:val="28"/>
              </w:rPr>
            </w:pPr>
            <w:r w:rsidRPr="00916B3A">
              <w:rPr>
                <w:rFonts w:ascii="Times New Roman" w:hAnsi="Times New Roman"/>
                <w:color w:val="auto"/>
                <w:sz w:val="28"/>
                <w:szCs w:val="28"/>
              </w:rPr>
              <w:t>−4.091</w:t>
            </w:r>
          </w:p>
        </w:tc>
        <w:tc>
          <w:tcPr>
            <w:tcW w:w="1046" w:type="pct"/>
            <w:shd w:val="clear" w:color="auto" w:fill="auto"/>
          </w:tcPr>
          <w:p w14:paraId="3F68A7BD"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color w:val="auto"/>
                <w:sz w:val="28"/>
                <w:szCs w:val="28"/>
              </w:rPr>
            </w:pPr>
            <w:r w:rsidRPr="00916B3A">
              <w:rPr>
                <w:rFonts w:ascii="Times New Roman" w:hAnsi="Times New Roman"/>
                <w:color w:val="auto"/>
                <w:sz w:val="28"/>
                <w:szCs w:val="28"/>
              </w:rPr>
              <w:t>0,800 (0,563–0,943)</w:t>
            </w:r>
          </w:p>
        </w:tc>
        <w:tc>
          <w:tcPr>
            <w:tcW w:w="892" w:type="pct"/>
            <w:shd w:val="clear" w:color="auto" w:fill="auto"/>
          </w:tcPr>
          <w:p w14:paraId="2CF7D268" w14:textId="77777777" w:rsidR="00021B57" w:rsidRPr="00916B3A" w:rsidRDefault="00021B57" w:rsidP="005536C0">
            <w:pPr>
              <w:pStyle w:val="MDPI51figurecaption"/>
              <w:autoSpaceDE w:val="0"/>
              <w:autoSpaceDN w:val="0"/>
              <w:spacing w:before="0" w:after="0" w:line="240" w:lineRule="auto"/>
              <w:ind w:left="0"/>
              <w:jc w:val="center"/>
              <w:rPr>
                <w:rFonts w:ascii="Times New Roman" w:hAnsi="Times New Roman"/>
                <w:color w:val="auto"/>
                <w:sz w:val="28"/>
                <w:szCs w:val="28"/>
              </w:rPr>
            </w:pPr>
            <w:r w:rsidRPr="00916B3A">
              <w:rPr>
                <w:rFonts w:ascii="Times New Roman" w:hAnsi="Times New Roman"/>
                <w:color w:val="auto"/>
                <w:sz w:val="28"/>
                <w:szCs w:val="28"/>
              </w:rPr>
              <w:t>0,579 (0,335–0,797)</w:t>
            </w:r>
          </w:p>
        </w:tc>
      </w:tr>
    </w:tbl>
    <w:p w14:paraId="23030DF5" w14:textId="77777777" w:rsidR="00021B57" w:rsidRPr="00916B3A" w:rsidRDefault="00021B57" w:rsidP="000B7B11">
      <w:pPr>
        <w:pStyle w:val="MDPI31text"/>
        <w:spacing w:line="240" w:lineRule="auto"/>
        <w:ind w:left="0" w:firstLine="567"/>
        <w:rPr>
          <w:rFonts w:ascii="Times New Roman" w:hAnsi="Times New Roman"/>
          <w:color w:val="auto"/>
          <w:sz w:val="28"/>
          <w:szCs w:val="28"/>
          <w:lang w:val="ru-RU"/>
        </w:rPr>
      </w:pPr>
    </w:p>
    <w:p w14:paraId="416916F8" w14:textId="79229377" w:rsidR="00015C2E" w:rsidRPr="00916B3A" w:rsidRDefault="00021B57" w:rsidP="00015C2E">
      <w:pPr>
        <w:pStyle w:val="MDPI51figurecaption"/>
        <w:spacing w:before="0" w:after="0" w:line="240" w:lineRule="auto"/>
        <w:ind w:left="0" w:firstLine="567"/>
        <w:rPr>
          <w:rFonts w:ascii="Times New Roman" w:hAnsi="Times New Roman"/>
          <w:i/>
          <w:iCs/>
          <w:snapToGrid w:val="0"/>
          <w:color w:val="auto"/>
          <w:sz w:val="28"/>
          <w:szCs w:val="28"/>
          <w:lang w:val="ru-RU"/>
        </w:rPr>
      </w:pPr>
      <w:r w:rsidRPr="00916B3A">
        <w:rPr>
          <w:rFonts w:ascii="Times New Roman" w:hAnsi="Times New Roman"/>
          <w:color w:val="auto"/>
          <w:sz w:val="28"/>
          <w:szCs w:val="28"/>
          <w:lang w:val="ru-RU"/>
        </w:rPr>
        <w:t xml:space="preserve">Площади под </w:t>
      </w:r>
      <w:r w:rsidRPr="00916B3A">
        <w:rPr>
          <w:rFonts w:ascii="Times New Roman" w:hAnsi="Times New Roman"/>
          <w:color w:val="auto"/>
          <w:sz w:val="28"/>
          <w:szCs w:val="28"/>
        </w:rPr>
        <w:t>ROC</w:t>
      </w:r>
      <w:r w:rsidRPr="00916B3A">
        <w:rPr>
          <w:rFonts w:ascii="Times New Roman" w:hAnsi="Times New Roman"/>
          <w:color w:val="auto"/>
          <w:sz w:val="28"/>
          <w:szCs w:val="28"/>
          <w:lang w:val="ru-RU"/>
        </w:rPr>
        <w:t>-кривыми (</w:t>
      </w:r>
      <w:r w:rsidRPr="00916B3A">
        <w:rPr>
          <w:rFonts w:ascii="Times New Roman" w:hAnsi="Times New Roman"/>
          <w:color w:val="auto"/>
          <w:sz w:val="28"/>
          <w:szCs w:val="28"/>
        </w:rPr>
        <w:t>AUC</w:t>
      </w:r>
      <w:r w:rsidRPr="00916B3A">
        <w:rPr>
          <w:rFonts w:ascii="Times New Roman" w:hAnsi="Times New Roman"/>
          <w:color w:val="auto"/>
          <w:sz w:val="28"/>
          <w:szCs w:val="28"/>
          <w:lang w:val="ru-RU"/>
        </w:rPr>
        <w:t xml:space="preserve">) были получены для </w:t>
      </w:r>
      <w:r w:rsidRPr="00916B3A">
        <w:rPr>
          <w:rFonts w:ascii="Times New Roman" w:hAnsi="Times New Roman"/>
          <w:i/>
          <w:iCs/>
          <w:color w:val="auto"/>
          <w:sz w:val="28"/>
          <w:szCs w:val="28"/>
        </w:rPr>
        <w:t>IL</w:t>
      </w:r>
      <w:r w:rsidRPr="00916B3A">
        <w:rPr>
          <w:rFonts w:ascii="Times New Roman" w:hAnsi="Times New Roman"/>
          <w:i/>
          <w:iCs/>
          <w:color w:val="auto"/>
          <w:sz w:val="28"/>
          <w:szCs w:val="28"/>
          <w:lang w:val="ru-RU"/>
        </w:rPr>
        <w:t xml:space="preserve">-15 </w:t>
      </w:r>
      <w:r w:rsidR="00DB05A1" w:rsidRPr="00916B3A">
        <w:rPr>
          <w:rFonts w:ascii="Times New Roman" w:hAnsi="Times New Roman"/>
          <w:color w:val="auto"/>
          <w:sz w:val="28"/>
          <w:szCs w:val="28"/>
          <w:lang w:val="ru-RU"/>
        </w:rPr>
        <w:t>(0,713), (Рисунок 10</w:t>
      </w:r>
      <w:r w:rsidRPr="00916B3A">
        <w:rPr>
          <w:rFonts w:ascii="Times New Roman" w:hAnsi="Times New Roman"/>
          <w:color w:val="auto"/>
          <w:sz w:val="28"/>
          <w:szCs w:val="28"/>
          <w:lang w:val="ru-RU"/>
        </w:rPr>
        <w:t xml:space="preserve">). </w:t>
      </w:r>
      <w:r w:rsidR="00015C2E" w:rsidRPr="00916B3A">
        <w:rPr>
          <w:rFonts w:ascii="Times New Roman" w:hAnsi="Times New Roman"/>
          <w:snapToGrid w:val="0"/>
          <w:color w:val="auto"/>
          <w:sz w:val="28"/>
          <w:szCs w:val="28"/>
        </w:rPr>
        <w:t>ROC</w:t>
      </w:r>
      <w:r w:rsidR="00015C2E" w:rsidRPr="00916B3A">
        <w:rPr>
          <w:rFonts w:ascii="Times New Roman" w:hAnsi="Times New Roman"/>
          <w:snapToGrid w:val="0"/>
          <w:color w:val="auto"/>
          <w:sz w:val="28"/>
          <w:szCs w:val="28"/>
          <w:lang w:val="ru-RU"/>
        </w:rPr>
        <w:t xml:space="preserve">-кривые (красные линии) позволяют оценить качество бинарных классификаций, отображая взаимосвязь между чувствительностью и специфичностью при изменении порога принятия решения:  </w:t>
      </w:r>
      <w:r w:rsidR="00015C2E" w:rsidRPr="00916B3A">
        <w:rPr>
          <w:rFonts w:ascii="Times New Roman" w:hAnsi="Times New Roman"/>
          <w:i/>
          <w:iCs/>
          <w:snapToGrid w:val="0"/>
          <w:color w:val="auto"/>
          <w:sz w:val="28"/>
          <w:szCs w:val="28"/>
        </w:rPr>
        <w:t>IL</w:t>
      </w:r>
      <w:r w:rsidR="00015C2E" w:rsidRPr="00916B3A">
        <w:rPr>
          <w:rFonts w:ascii="Times New Roman" w:hAnsi="Times New Roman"/>
          <w:i/>
          <w:iCs/>
          <w:snapToGrid w:val="0"/>
          <w:color w:val="auto"/>
          <w:sz w:val="28"/>
          <w:szCs w:val="28"/>
          <w:lang w:val="ru-RU"/>
        </w:rPr>
        <w:t>15</w:t>
      </w:r>
    </w:p>
    <w:p w14:paraId="77A2F976" w14:textId="77777777" w:rsidR="00015C2E" w:rsidRPr="00916B3A" w:rsidRDefault="00015C2E" w:rsidP="00015C2E">
      <w:pPr>
        <w:pStyle w:val="MDPI51figurecaption"/>
        <w:spacing w:before="0" w:after="0" w:line="240" w:lineRule="auto"/>
        <w:ind w:left="0" w:firstLine="567"/>
        <w:rPr>
          <w:rFonts w:ascii="Times New Roman" w:hAnsi="Times New Roman"/>
          <w:i/>
          <w:iCs/>
          <w:snapToGrid w:val="0"/>
          <w:color w:val="auto"/>
          <w:sz w:val="28"/>
          <w:szCs w:val="28"/>
          <w:lang w:val="ru-RU"/>
        </w:rPr>
      </w:pPr>
    </w:p>
    <w:p w14:paraId="329CD8EF" w14:textId="42492E1C" w:rsidR="00015C2E" w:rsidRPr="00916B3A" w:rsidRDefault="00015C2E" w:rsidP="000B7B11">
      <w:pPr>
        <w:pStyle w:val="MDPI31text"/>
        <w:spacing w:line="240" w:lineRule="auto"/>
        <w:ind w:left="0" w:firstLine="567"/>
        <w:rPr>
          <w:rFonts w:ascii="Times New Roman" w:hAnsi="Times New Roman"/>
          <w:color w:val="auto"/>
          <w:sz w:val="28"/>
          <w:szCs w:val="28"/>
          <w:lang w:val="ru-RU"/>
        </w:rPr>
      </w:pPr>
    </w:p>
    <w:p w14:paraId="09028A09" w14:textId="02C299F2" w:rsidR="00021B57" w:rsidRPr="00916B3A" w:rsidRDefault="00015C2E" w:rsidP="00807117">
      <w:pPr>
        <w:pStyle w:val="MDPI31text"/>
        <w:spacing w:line="240" w:lineRule="auto"/>
        <w:ind w:left="0" w:firstLine="0"/>
        <w:jc w:val="center"/>
        <w:rPr>
          <w:rFonts w:ascii="Times New Roman" w:hAnsi="Times New Roman"/>
          <w:color w:val="auto"/>
          <w:sz w:val="28"/>
          <w:szCs w:val="28"/>
          <w:lang w:val="ru-RU"/>
        </w:rPr>
      </w:pPr>
      <w:r w:rsidRPr="00916B3A">
        <w:rPr>
          <w:rFonts w:ascii="Times New Roman" w:hAnsi="Times New Roman"/>
          <w:noProof/>
          <w:snapToGrid/>
          <w:color w:val="auto"/>
          <w:sz w:val="28"/>
          <w:szCs w:val="28"/>
          <w:lang w:val="ru-RU" w:eastAsia="ru-RU" w:bidi="ar-SA"/>
        </w:rPr>
        <w:drawing>
          <wp:inline distT="0" distB="0" distL="0" distR="0" wp14:anchorId="7E989A3F" wp14:editId="2D306831">
            <wp:extent cx="3738880" cy="1986040"/>
            <wp:effectExtent l="0" t="0" r="0" b="0"/>
            <wp:docPr id="399654370" name="Рисунок 399654370" descr="C:\Users\User\Documents\0 Работа\0 Проекты\0 Проекты текущие\09 Проект Невынашивание\Статья2new\IL15 (0.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0 Работа\0 Проекты\0 Проекты текущие\09 Проект Невынашивание\Статья2new\IL15 (0.7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7576" cy="1995971"/>
                    </a:xfrm>
                    <a:prstGeom prst="rect">
                      <a:avLst/>
                    </a:prstGeom>
                    <a:noFill/>
                    <a:ln>
                      <a:noFill/>
                    </a:ln>
                  </pic:spPr>
                </pic:pic>
              </a:graphicData>
            </a:graphic>
          </wp:inline>
        </w:drawing>
      </w:r>
    </w:p>
    <w:p w14:paraId="57B1C34D" w14:textId="77777777" w:rsidR="00021B57" w:rsidRPr="00916B3A" w:rsidRDefault="00021B57" w:rsidP="000B7B11">
      <w:pPr>
        <w:pStyle w:val="MDPI31text"/>
        <w:spacing w:line="240" w:lineRule="auto"/>
        <w:ind w:left="0" w:firstLine="567"/>
        <w:rPr>
          <w:rFonts w:ascii="Times New Roman" w:hAnsi="Times New Roman"/>
          <w:color w:val="auto"/>
          <w:sz w:val="28"/>
          <w:szCs w:val="28"/>
          <w:lang w:val="ru-RU"/>
        </w:rPr>
      </w:pPr>
    </w:p>
    <w:p w14:paraId="1CEA5209" w14:textId="4A09FD11" w:rsidR="00015C2E" w:rsidRDefault="00C72C1F" w:rsidP="000B7B11">
      <w:pPr>
        <w:pStyle w:val="MDPI51figurecaption"/>
        <w:spacing w:before="0" w:after="0" w:line="240" w:lineRule="auto"/>
        <w:ind w:left="0"/>
        <w:jc w:val="center"/>
        <w:rPr>
          <w:rFonts w:ascii="Times New Roman" w:hAnsi="Times New Roman"/>
          <w:sz w:val="28"/>
          <w:szCs w:val="28"/>
          <w:lang w:val="ru-RU"/>
        </w:rPr>
      </w:pPr>
      <w:r w:rsidRPr="00916B3A">
        <w:rPr>
          <w:rFonts w:ascii="Times New Roman" w:hAnsi="Times New Roman"/>
          <w:bCs/>
          <w:color w:val="auto"/>
          <w:sz w:val="28"/>
          <w:szCs w:val="28"/>
          <w:lang w:val="ru-RU"/>
        </w:rPr>
        <w:t xml:space="preserve">Рисунок </w:t>
      </w:r>
      <w:r w:rsidR="00DB05A1" w:rsidRPr="00916B3A">
        <w:rPr>
          <w:rFonts w:ascii="Times New Roman" w:hAnsi="Times New Roman"/>
          <w:bCs/>
          <w:color w:val="auto"/>
          <w:sz w:val="28"/>
          <w:szCs w:val="28"/>
          <w:lang w:val="ru-RU"/>
        </w:rPr>
        <w:t>10</w:t>
      </w:r>
      <w:r w:rsidR="00021B57" w:rsidRPr="00916B3A">
        <w:rPr>
          <w:rFonts w:ascii="Times New Roman" w:hAnsi="Times New Roman"/>
          <w:bCs/>
          <w:color w:val="auto"/>
          <w:sz w:val="28"/>
          <w:szCs w:val="28"/>
          <w:lang w:val="ru-RU"/>
        </w:rPr>
        <w:t>.</w:t>
      </w:r>
      <w:r w:rsidR="00021B57" w:rsidRPr="00916B3A">
        <w:rPr>
          <w:rFonts w:ascii="Times New Roman" w:hAnsi="Times New Roman"/>
          <w:b/>
          <w:color w:val="auto"/>
          <w:sz w:val="28"/>
          <w:szCs w:val="28"/>
          <w:lang w:val="ru-RU"/>
        </w:rPr>
        <w:t xml:space="preserve"> </w:t>
      </w:r>
      <w:r w:rsidR="00021B57" w:rsidRPr="00916B3A">
        <w:rPr>
          <w:rFonts w:ascii="Times New Roman" w:hAnsi="Times New Roman"/>
          <w:snapToGrid w:val="0"/>
          <w:color w:val="auto"/>
          <w:sz w:val="28"/>
          <w:szCs w:val="28"/>
        </w:rPr>
        <w:t>ROC</w:t>
      </w:r>
      <w:r w:rsidR="00021B57" w:rsidRPr="00916B3A">
        <w:rPr>
          <w:rFonts w:ascii="Times New Roman" w:hAnsi="Times New Roman"/>
          <w:snapToGrid w:val="0"/>
          <w:color w:val="auto"/>
          <w:sz w:val="28"/>
          <w:szCs w:val="28"/>
          <w:lang w:val="ru-RU"/>
        </w:rPr>
        <w:t xml:space="preserve">-кривые </w:t>
      </w:r>
      <w:r w:rsidR="00705F82" w:rsidRPr="00916B3A">
        <w:rPr>
          <w:rFonts w:ascii="Times New Roman" w:hAnsi="Times New Roman"/>
          <w:i/>
          <w:iCs/>
          <w:color w:val="auto"/>
          <w:sz w:val="28"/>
          <w:szCs w:val="28"/>
        </w:rPr>
        <w:t>IL</w:t>
      </w:r>
      <w:r w:rsidR="00705F82" w:rsidRPr="00916B3A">
        <w:rPr>
          <w:rFonts w:ascii="Times New Roman" w:hAnsi="Times New Roman"/>
          <w:i/>
          <w:iCs/>
          <w:color w:val="auto"/>
          <w:sz w:val="28"/>
          <w:szCs w:val="28"/>
          <w:lang w:val="ru-RU"/>
        </w:rPr>
        <w:t xml:space="preserve">-15 </w:t>
      </w:r>
      <w:r w:rsidR="00021B57" w:rsidRPr="00916B3A">
        <w:rPr>
          <w:rFonts w:ascii="Times New Roman" w:hAnsi="Times New Roman"/>
          <w:snapToGrid w:val="0"/>
          <w:color w:val="auto"/>
          <w:sz w:val="28"/>
          <w:szCs w:val="28"/>
          <w:lang w:val="ru-RU"/>
        </w:rPr>
        <w:t xml:space="preserve">для потенциальных маркеров и комбинаций маркеров при различении </w:t>
      </w:r>
      <w:r w:rsidR="00021B57" w:rsidRPr="00916B3A">
        <w:rPr>
          <w:rFonts w:ascii="Times New Roman" w:hAnsi="Times New Roman"/>
          <w:snapToGrid w:val="0"/>
          <w:color w:val="auto"/>
          <w:sz w:val="28"/>
          <w:szCs w:val="28"/>
        </w:rPr>
        <w:t>RIF</w:t>
      </w:r>
      <w:r w:rsidR="00021B57" w:rsidRPr="00916B3A">
        <w:rPr>
          <w:rFonts w:ascii="Times New Roman" w:hAnsi="Times New Roman"/>
          <w:snapToGrid w:val="0"/>
          <w:color w:val="auto"/>
          <w:sz w:val="28"/>
          <w:szCs w:val="28"/>
          <w:lang w:val="ru-RU"/>
        </w:rPr>
        <w:t xml:space="preserve"> и </w:t>
      </w:r>
      <w:r w:rsidR="00021B57" w:rsidRPr="00916B3A">
        <w:rPr>
          <w:rFonts w:ascii="Times New Roman" w:hAnsi="Times New Roman"/>
          <w:snapToGrid w:val="0"/>
          <w:color w:val="auto"/>
          <w:sz w:val="28"/>
          <w:szCs w:val="28"/>
        </w:rPr>
        <w:t>RPL</w:t>
      </w:r>
      <w:r w:rsidR="00021B57" w:rsidRPr="00916B3A">
        <w:rPr>
          <w:rFonts w:ascii="Times New Roman" w:hAnsi="Times New Roman"/>
          <w:snapToGrid w:val="0"/>
          <w:color w:val="auto"/>
          <w:sz w:val="28"/>
          <w:szCs w:val="28"/>
          <w:lang w:val="ru-RU"/>
        </w:rPr>
        <w:t xml:space="preserve"> у женщин.</w:t>
      </w:r>
      <w:r w:rsidR="00021B57" w:rsidRPr="00916B3A">
        <w:rPr>
          <w:rFonts w:ascii="Times New Roman" w:hAnsi="Times New Roman"/>
          <w:sz w:val="28"/>
          <w:szCs w:val="28"/>
          <w:lang w:val="ru-RU"/>
        </w:rPr>
        <w:t xml:space="preserve"> </w:t>
      </w:r>
    </w:p>
    <w:p w14:paraId="7C3E5DB3" w14:textId="4226C3A1" w:rsidR="000A2711" w:rsidRDefault="000A2711" w:rsidP="000B7B11">
      <w:pPr>
        <w:pStyle w:val="MDPI51figurecaption"/>
        <w:spacing w:before="0" w:after="0" w:line="240" w:lineRule="auto"/>
        <w:ind w:left="0"/>
        <w:jc w:val="center"/>
        <w:rPr>
          <w:rFonts w:ascii="Times New Roman" w:hAnsi="Times New Roman"/>
          <w:sz w:val="28"/>
          <w:szCs w:val="28"/>
          <w:lang w:val="ru-RU"/>
        </w:rPr>
      </w:pPr>
    </w:p>
    <w:p w14:paraId="6556B1A5" w14:textId="75B68DFF" w:rsidR="00015C2E" w:rsidRDefault="000A2711" w:rsidP="000A2711">
      <w:pPr>
        <w:pStyle w:val="MDPI51figurecaption"/>
        <w:spacing w:before="0" w:after="0" w:line="240" w:lineRule="auto"/>
        <w:ind w:left="0"/>
        <w:rPr>
          <w:rFonts w:ascii="Times New Roman" w:hAnsi="Times New Roman"/>
          <w:sz w:val="28"/>
          <w:szCs w:val="28"/>
          <w:lang w:val="ru-RU"/>
        </w:rPr>
      </w:pPr>
      <w:r>
        <w:rPr>
          <w:rFonts w:ascii="Times New Roman" w:hAnsi="Times New Roman"/>
          <w:sz w:val="28"/>
          <w:szCs w:val="28"/>
          <w:lang w:val="ru-RU"/>
        </w:rPr>
        <w:t xml:space="preserve">      </w:t>
      </w:r>
      <w:r w:rsidRPr="000A2711">
        <w:rPr>
          <w:rFonts w:ascii="Times New Roman" w:hAnsi="Times New Roman"/>
          <w:sz w:val="28"/>
          <w:szCs w:val="28"/>
          <w:lang w:val="ru-RU"/>
        </w:rPr>
        <w:t xml:space="preserve">В рамках данного исследования была проанализирована экспрессия генов у пациенток с РНИ и тонким эндометрием, а также у фертильных женщин, и выявлена аномальная активация воспалительного процесса в тонком эндометрии. Мы обнаружили, что уровни экспрессии генов </w:t>
      </w:r>
      <w:r w:rsidRPr="000A2711">
        <w:rPr>
          <w:rFonts w:ascii="Times New Roman" w:hAnsi="Times New Roman"/>
          <w:sz w:val="28"/>
          <w:szCs w:val="28"/>
        </w:rPr>
        <w:t>C</w:t>
      </w:r>
      <w:r w:rsidRPr="000A2711">
        <w:rPr>
          <w:rFonts w:ascii="Times New Roman" w:hAnsi="Times New Roman"/>
          <w:sz w:val="28"/>
          <w:szCs w:val="28"/>
          <w:lang w:val="ru-RU"/>
        </w:rPr>
        <w:t>4</w:t>
      </w:r>
      <w:r w:rsidRPr="000A2711">
        <w:rPr>
          <w:rFonts w:ascii="Times New Roman" w:hAnsi="Times New Roman"/>
          <w:sz w:val="28"/>
          <w:szCs w:val="28"/>
        </w:rPr>
        <w:t>BPA</w:t>
      </w:r>
      <w:r w:rsidRPr="000A2711">
        <w:rPr>
          <w:rFonts w:ascii="Times New Roman" w:hAnsi="Times New Roman"/>
          <w:sz w:val="28"/>
          <w:szCs w:val="28"/>
          <w:lang w:val="ru-RU"/>
        </w:rPr>
        <w:t xml:space="preserve"> и </w:t>
      </w:r>
      <w:r w:rsidRPr="000A2711">
        <w:rPr>
          <w:rFonts w:ascii="Times New Roman" w:hAnsi="Times New Roman"/>
          <w:sz w:val="28"/>
          <w:szCs w:val="28"/>
        </w:rPr>
        <w:t>CXCL</w:t>
      </w:r>
      <w:r w:rsidRPr="000A2711">
        <w:rPr>
          <w:rFonts w:ascii="Times New Roman" w:hAnsi="Times New Roman"/>
          <w:sz w:val="28"/>
          <w:szCs w:val="28"/>
          <w:lang w:val="ru-RU"/>
        </w:rPr>
        <w:t>1 значи</w:t>
      </w:r>
      <w:r>
        <w:rPr>
          <w:rFonts w:ascii="Times New Roman" w:hAnsi="Times New Roman"/>
          <w:sz w:val="28"/>
          <w:szCs w:val="28"/>
          <w:lang w:val="ru-RU"/>
        </w:rPr>
        <w:t>тельно снижены у пациенток с рецидивами неудач имплантации</w:t>
      </w:r>
      <w:r w:rsidRPr="000A2711">
        <w:rPr>
          <w:rFonts w:ascii="Times New Roman" w:hAnsi="Times New Roman"/>
          <w:sz w:val="28"/>
          <w:szCs w:val="28"/>
          <w:lang w:val="ru-RU"/>
        </w:rPr>
        <w:t xml:space="preserve"> и тонким эндометрием по сравнению с фертильными женщинами (</w:t>
      </w:r>
      <w:r w:rsidRPr="000A2711">
        <w:rPr>
          <w:rFonts w:ascii="Times New Roman" w:hAnsi="Times New Roman"/>
          <w:sz w:val="28"/>
          <w:szCs w:val="28"/>
        </w:rPr>
        <w:t>p</w:t>
      </w:r>
      <w:r w:rsidRPr="000A2711">
        <w:rPr>
          <w:rFonts w:ascii="Times New Roman" w:hAnsi="Times New Roman"/>
          <w:sz w:val="28"/>
          <w:szCs w:val="28"/>
          <w:lang w:val="ru-RU"/>
        </w:rPr>
        <w:t xml:space="preserve">=0,030 и </w:t>
      </w:r>
      <w:r w:rsidRPr="000A2711">
        <w:rPr>
          <w:rFonts w:ascii="Times New Roman" w:hAnsi="Times New Roman"/>
          <w:sz w:val="28"/>
          <w:szCs w:val="28"/>
        </w:rPr>
        <w:t>p</w:t>
      </w:r>
      <w:r w:rsidRPr="000A2711">
        <w:rPr>
          <w:rFonts w:ascii="Times New Roman" w:hAnsi="Times New Roman"/>
          <w:sz w:val="28"/>
          <w:szCs w:val="28"/>
          <w:lang w:val="ru-RU"/>
        </w:rPr>
        <w:t>=0,005 соответственно).</w:t>
      </w:r>
      <w:r>
        <w:rPr>
          <w:rFonts w:ascii="Times New Roman" w:hAnsi="Times New Roman"/>
          <w:sz w:val="28"/>
          <w:szCs w:val="28"/>
          <w:lang w:val="ru-RU"/>
        </w:rPr>
        <w:t xml:space="preserve"> </w:t>
      </w:r>
      <w:r w:rsidRPr="000A2711">
        <w:rPr>
          <w:rFonts w:ascii="Times New Roman" w:hAnsi="Times New Roman"/>
          <w:sz w:val="28"/>
          <w:szCs w:val="28"/>
          <w:lang w:val="ru-RU"/>
        </w:rPr>
        <w:t xml:space="preserve">В этом исследовании снижение экспрессии гена </w:t>
      </w:r>
      <w:r w:rsidRPr="000A2711">
        <w:rPr>
          <w:rFonts w:ascii="Times New Roman" w:hAnsi="Times New Roman"/>
          <w:sz w:val="28"/>
          <w:szCs w:val="28"/>
        </w:rPr>
        <w:t>CXC</w:t>
      </w:r>
      <w:r w:rsidRPr="000A2711">
        <w:rPr>
          <w:rFonts w:ascii="Times New Roman" w:hAnsi="Times New Roman"/>
          <w:sz w:val="28"/>
          <w:szCs w:val="28"/>
          <w:lang w:val="ru-RU"/>
        </w:rPr>
        <w:t xml:space="preserve"> </w:t>
      </w:r>
      <w:r w:rsidRPr="000A2711">
        <w:rPr>
          <w:rFonts w:ascii="Times New Roman" w:hAnsi="Times New Roman"/>
          <w:sz w:val="28"/>
          <w:szCs w:val="28"/>
        </w:rPr>
        <w:t>motif</w:t>
      </w:r>
      <w:r w:rsidRPr="000A2711">
        <w:rPr>
          <w:rFonts w:ascii="Times New Roman" w:hAnsi="Times New Roman"/>
          <w:sz w:val="28"/>
          <w:szCs w:val="28"/>
          <w:lang w:val="ru-RU"/>
        </w:rPr>
        <w:t xml:space="preserve"> </w:t>
      </w:r>
      <w:r w:rsidRPr="000A2711">
        <w:rPr>
          <w:rFonts w:ascii="Times New Roman" w:hAnsi="Times New Roman"/>
          <w:sz w:val="28"/>
          <w:szCs w:val="28"/>
        </w:rPr>
        <w:t>chemokine</w:t>
      </w:r>
      <w:r w:rsidRPr="000A2711">
        <w:rPr>
          <w:rFonts w:ascii="Times New Roman" w:hAnsi="Times New Roman"/>
          <w:sz w:val="28"/>
          <w:szCs w:val="28"/>
          <w:lang w:val="ru-RU"/>
        </w:rPr>
        <w:t xml:space="preserve"> </w:t>
      </w:r>
      <w:r w:rsidRPr="000A2711">
        <w:rPr>
          <w:rFonts w:ascii="Times New Roman" w:hAnsi="Times New Roman"/>
          <w:sz w:val="28"/>
          <w:szCs w:val="28"/>
        </w:rPr>
        <w:t>ligand</w:t>
      </w:r>
      <w:r w:rsidRPr="000A2711">
        <w:rPr>
          <w:rFonts w:ascii="Times New Roman" w:hAnsi="Times New Roman"/>
          <w:sz w:val="28"/>
          <w:szCs w:val="28"/>
          <w:lang w:val="ru-RU"/>
        </w:rPr>
        <w:t xml:space="preserve"> 1 (</w:t>
      </w:r>
      <w:r w:rsidRPr="000A2711">
        <w:rPr>
          <w:rFonts w:ascii="Times New Roman" w:hAnsi="Times New Roman"/>
          <w:sz w:val="28"/>
          <w:szCs w:val="28"/>
        </w:rPr>
        <w:t>CXCL</w:t>
      </w:r>
      <w:r w:rsidRPr="000A2711">
        <w:rPr>
          <w:rFonts w:ascii="Times New Roman" w:hAnsi="Times New Roman"/>
          <w:sz w:val="28"/>
          <w:szCs w:val="28"/>
          <w:lang w:val="ru-RU"/>
        </w:rPr>
        <w:t xml:space="preserve">1) свидетельствует об активации провоспалительного каскада у пациенток с РНИ и тонким эндометрием. В то же время не было выявлено значимых различий в уровнях экспрессии генов </w:t>
      </w:r>
      <w:r w:rsidRPr="000A2711">
        <w:rPr>
          <w:rFonts w:ascii="Times New Roman" w:hAnsi="Times New Roman"/>
          <w:sz w:val="28"/>
          <w:szCs w:val="28"/>
        </w:rPr>
        <w:t>VEGFB</w:t>
      </w:r>
      <w:r w:rsidRPr="000A2711">
        <w:rPr>
          <w:rFonts w:ascii="Times New Roman" w:hAnsi="Times New Roman"/>
          <w:sz w:val="28"/>
          <w:szCs w:val="28"/>
          <w:lang w:val="ru-RU"/>
        </w:rPr>
        <w:t xml:space="preserve">, </w:t>
      </w:r>
      <w:r w:rsidRPr="000A2711">
        <w:rPr>
          <w:rFonts w:ascii="Times New Roman" w:hAnsi="Times New Roman"/>
          <w:sz w:val="28"/>
          <w:szCs w:val="28"/>
        </w:rPr>
        <w:t>HAND</w:t>
      </w:r>
      <w:r w:rsidRPr="000A2711">
        <w:rPr>
          <w:rFonts w:ascii="Times New Roman" w:hAnsi="Times New Roman"/>
          <w:sz w:val="28"/>
          <w:szCs w:val="28"/>
          <w:lang w:val="ru-RU"/>
        </w:rPr>
        <w:t xml:space="preserve">2 и </w:t>
      </w:r>
      <w:r w:rsidRPr="000A2711">
        <w:rPr>
          <w:rFonts w:ascii="Times New Roman" w:hAnsi="Times New Roman"/>
          <w:sz w:val="28"/>
          <w:szCs w:val="28"/>
        </w:rPr>
        <w:t>IL</w:t>
      </w:r>
      <w:r w:rsidRPr="000A2711">
        <w:rPr>
          <w:rFonts w:ascii="Times New Roman" w:hAnsi="Times New Roman"/>
          <w:sz w:val="28"/>
          <w:szCs w:val="28"/>
          <w:lang w:val="ru-RU"/>
        </w:rPr>
        <w:t>15 между группами. Наши результаты косвенно указывают на наличие "молчаливого эндометрия" в тонком эндометрии. Патологии, которые напрямую затрагивают слизистую оболочку матки, включая тонкий эндометрий, могут приводить к развитию рефрактерного эндометрия, характеризующегося отсутствием пролиферации и аномальной толщиной.</w:t>
      </w:r>
    </w:p>
    <w:p w14:paraId="703B2512" w14:textId="44CC4474" w:rsidR="000A2711" w:rsidRDefault="000A2711" w:rsidP="000A2711">
      <w:pPr>
        <w:pStyle w:val="MDPI51figurecaption"/>
        <w:spacing w:before="0" w:after="0" w:line="240" w:lineRule="auto"/>
        <w:ind w:left="0"/>
        <w:rPr>
          <w:rFonts w:ascii="Times New Roman" w:hAnsi="Times New Roman"/>
          <w:sz w:val="28"/>
          <w:szCs w:val="28"/>
          <w:lang w:val="ru-RU"/>
        </w:rPr>
      </w:pPr>
      <w:r w:rsidRPr="000A2711">
        <w:rPr>
          <w:rFonts w:ascii="Times New Roman" w:hAnsi="Times New Roman"/>
          <w:sz w:val="28"/>
          <w:szCs w:val="28"/>
          <w:lang w:val="ru-RU"/>
        </w:rPr>
        <w:t xml:space="preserve">     У пациенток с РНИ и тонким эндометрием были обнаружены значимые (</w:t>
      </w:r>
      <w:proofErr w:type="gramStart"/>
      <w:r w:rsidRPr="000A2711">
        <w:rPr>
          <w:rFonts w:ascii="Times New Roman" w:hAnsi="Times New Roman"/>
          <w:sz w:val="28"/>
          <w:szCs w:val="28"/>
        </w:rPr>
        <w:t>p</w:t>
      </w:r>
      <w:r w:rsidRPr="000A2711">
        <w:rPr>
          <w:rFonts w:ascii="Times New Roman" w:hAnsi="Times New Roman"/>
          <w:sz w:val="28"/>
          <w:szCs w:val="28"/>
          <w:lang w:val="ru-RU"/>
        </w:rPr>
        <w:t>&lt;</w:t>
      </w:r>
      <w:proofErr w:type="gramEnd"/>
      <w:r w:rsidRPr="000A2711">
        <w:rPr>
          <w:rFonts w:ascii="Times New Roman" w:hAnsi="Times New Roman"/>
          <w:sz w:val="28"/>
          <w:szCs w:val="28"/>
          <w:lang w:val="ru-RU"/>
        </w:rPr>
        <w:t xml:space="preserve">0,05) обратные умеренные корреляции. Установлено, что снижение экспрессии гена </w:t>
      </w:r>
      <w:r w:rsidRPr="000A2711">
        <w:rPr>
          <w:rFonts w:ascii="Times New Roman" w:hAnsi="Times New Roman"/>
          <w:sz w:val="28"/>
          <w:szCs w:val="28"/>
        </w:rPr>
        <w:t>HAND</w:t>
      </w:r>
      <w:r w:rsidRPr="000A2711">
        <w:rPr>
          <w:rFonts w:ascii="Times New Roman" w:hAnsi="Times New Roman"/>
          <w:sz w:val="28"/>
          <w:szCs w:val="28"/>
          <w:lang w:val="ru-RU"/>
        </w:rPr>
        <w:t xml:space="preserve">2 связано с повышением уровней ТТГ и фибриногена, в то время как у фертильных женщин снижение уровня этого гена коррелировало с увеличением ИМТ. Транскрипт 2, который кодируется геном </w:t>
      </w:r>
      <w:r w:rsidRPr="000A2711">
        <w:rPr>
          <w:rFonts w:ascii="Times New Roman" w:hAnsi="Times New Roman"/>
          <w:sz w:val="28"/>
          <w:szCs w:val="28"/>
        </w:rPr>
        <w:t>HAND</w:t>
      </w:r>
      <w:r w:rsidRPr="000A2711">
        <w:rPr>
          <w:rFonts w:ascii="Times New Roman" w:hAnsi="Times New Roman"/>
          <w:sz w:val="28"/>
          <w:szCs w:val="28"/>
          <w:lang w:val="ru-RU"/>
        </w:rPr>
        <w:t>2, регулирует интерлейкин 15 (</w:t>
      </w:r>
      <w:r w:rsidRPr="000A2711">
        <w:rPr>
          <w:rFonts w:ascii="Times New Roman" w:hAnsi="Times New Roman"/>
          <w:sz w:val="28"/>
          <w:szCs w:val="28"/>
        </w:rPr>
        <w:t>IL</w:t>
      </w:r>
      <w:r w:rsidRPr="000A2711">
        <w:rPr>
          <w:rFonts w:ascii="Times New Roman" w:hAnsi="Times New Roman"/>
          <w:sz w:val="28"/>
          <w:szCs w:val="28"/>
          <w:lang w:val="ru-RU"/>
        </w:rPr>
        <w:t>-15) — важный иммунный фактор, необходимый для активации и выживания естественных киллерных клеток матки, а также кратковременно индуцирует иммунотолерантность.</w:t>
      </w:r>
    </w:p>
    <w:p w14:paraId="50C31A56" w14:textId="77777777" w:rsidR="0031220C" w:rsidRDefault="000A2711" w:rsidP="0031220C">
      <w:pPr>
        <w:pStyle w:val="a9"/>
        <w:shd w:val="clear" w:color="auto" w:fill="FFFFFF"/>
        <w:spacing w:before="0" w:beforeAutospacing="0" w:after="0" w:afterAutospacing="0"/>
        <w:ind w:firstLine="567"/>
        <w:jc w:val="both"/>
      </w:pPr>
      <w:r>
        <w:rPr>
          <w:sz w:val="28"/>
          <w:szCs w:val="28"/>
        </w:rPr>
        <w:t xml:space="preserve">    </w:t>
      </w:r>
      <w:r w:rsidRPr="0031220C">
        <w:rPr>
          <w:sz w:val="28"/>
          <w:szCs w:val="28"/>
        </w:rPr>
        <w:t>Наши исследования продемонстрировали прогностический потенциал комбинации генов C4BPA и CXCL1 для предсказания РНИ. Мы обнаружили дифференциальную экспрес</w:t>
      </w:r>
      <w:r w:rsidR="0031220C" w:rsidRPr="0031220C">
        <w:rPr>
          <w:sz w:val="28"/>
          <w:szCs w:val="28"/>
        </w:rPr>
        <w:t>сию этих генов у пациенток с рецидивами неудач имплантации</w:t>
      </w:r>
      <w:r w:rsidRPr="0031220C">
        <w:rPr>
          <w:sz w:val="28"/>
          <w:szCs w:val="28"/>
        </w:rPr>
        <w:t xml:space="preserve"> и тонким эндометрием по сравнению с эндометрием фертильных женщин. Эти данные позволили нам оценить прогностическую значимость комбинированной модели для предсказания неудач имплантации в зависимости от толщины эндометрия.</w:t>
      </w:r>
      <w:r w:rsidR="0031220C">
        <w:rPr>
          <w:sz w:val="28"/>
          <w:szCs w:val="28"/>
        </w:rPr>
        <w:t xml:space="preserve"> </w:t>
      </w:r>
    </w:p>
    <w:p w14:paraId="3C6BDAFB" w14:textId="77777777" w:rsidR="0031220C" w:rsidRDefault="0031220C" w:rsidP="0031220C">
      <w:pPr>
        <w:pStyle w:val="a9"/>
        <w:shd w:val="clear" w:color="auto" w:fill="FFFFFF"/>
        <w:spacing w:before="0" w:beforeAutospacing="0" w:after="0" w:afterAutospacing="0"/>
        <w:ind w:firstLine="567"/>
        <w:jc w:val="both"/>
        <w:rPr>
          <w:sz w:val="28"/>
          <w:szCs w:val="28"/>
        </w:rPr>
      </w:pPr>
      <w:r w:rsidRPr="0031220C">
        <w:rPr>
          <w:sz w:val="28"/>
          <w:szCs w:val="28"/>
        </w:rPr>
        <w:t xml:space="preserve"> </w:t>
      </w:r>
      <w:r>
        <w:rPr>
          <w:sz w:val="28"/>
          <w:szCs w:val="28"/>
        </w:rPr>
        <w:t xml:space="preserve">Нами были </w:t>
      </w:r>
      <w:r w:rsidRPr="0031220C">
        <w:rPr>
          <w:sz w:val="28"/>
          <w:szCs w:val="28"/>
        </w:rPr>
        <w:t xml:space="preserve">изучены экспрессии генов у пациенток с РНИ и тонким эндометрием, а также соответствующие эндометриальные ткани от пациенток с РПБ. Мы выявили аномальную активацию воспалительной среды в тонком эндометрии. Изменения иммунного ответа на уровне эндометрия были статистически значимо нарушены в группе РНИ. Экспрессия </w:t>
      </w:r>
      <w:proofErr w:type="gramStart"/>
      <w:r w:rsidRPr="0031220C">
        <w:rPr>
          <w:sz w:val="28"/>
          <w:szCs w:val="28"/>
        </w:rPr>
        <w:t xml:space="preserve">гена  </w:t>
      </w:r>
      <w:r w:rsidRPr="0031220C">
        <w:rPr>
          <w:i/>
          <w:iCs/>
          <w:sz w:val="28"/>
          <w:szCs w:val="28"/>
        </w:rPr>
        <w:t>IL</w:t>
      </w:r>
      <w:proofErr w:type="gramEnd"/>
      <w:r w:rsidRPr="0031220C">
        <w:rPr>
          <w:i/>
          <w:iCs/>
          <w:sz w:val="28"/>
          <w:szCs w:val="28"/>
        </w:rPr>
        <w:t>-15</w:t>
      </w:r>
      <w:r w:rsidRPr="0031220C">
        <w:rPr>
          <w:sz w:val="28"/>
          <w:szCs w:val="28"/>
        </w:rPr>
        <w:t xml:space="preserve"> была значительно снижена у пациенток с РНИ и тонким эндометрием по сравнению с пациентками с RPL (</w:t>
      </w:r>
      <w:r w:rsidRPr="0031220C">
        <w:rPr>
          <w:i/>
          <w:sz w:val="28"/>
          <w:szCs w:val="28"/>
        </w:rPr>
        <w:t xml:space="preserve">p </w:t>
      </w:r>
      <w:r w:rsidRPr="0031220C">
        <w:rPr>
          <w:sz w:val="28"/>
          <w:szCs w:val="28"/>
        </w:rPr>
        <w:t>=</w:t>
      </w:r>
      <w:r w:rsidRPr="0031220C">
        <w:rPr>
          <w:i/>
          <w:sz w:val="28"/>
          <w:szCs w:val="28"/>
        </w:rPr>
        <w:t xml:space="preserve"> </w:t>
      </w:r>
      <w:r w:rsidRPr="0031220C">
        <w:rPr>
          <w:sz w:val="28"/>
          <w:szCs w:val="28"/>
        </w:rPr>
        <w:t>0,023).</w:t>
      </w:r>
    </w:p>
    <w:p w14:paraId="225A864B" w14:textId="77777777" w:rsidR="0031220C" w:rsidRDefault="0031220C" w:rsidP="0031220C">
      <w:pPr>
        <w:pStyle w:val="a9"/>
        <w:shd w:val="clear" w:color="auto" w:fill="FFFFFF"/>
        <w:spacing w:before="0" w:beforeAutospacing="0" w:after="0" w:afterAutospacing="0"/>
        <w:ind w:firstLine="567"/>
        <w:jc w:val="both"/>
        <w:rPr>
          <w:sz w:val="28"/>
          <w:szCs w:val="28"/>
        </w:rPr>
      </w:pPr>
      <w:r w:rsidRPr="0031220C">
        <w:rPr>
          <w:sz w:val="28"/>
          <w:szCs w:val="28"/>
        </w:rPr>
        <w:t xml:space="preserve">Это исследование показало, что у пациентов с РНИ и РПБ наблюдаются значительные (p </w:t>
      </w:r>
      <w:proofErr w:type="gramStart"/>
      <w:r w:rsidRPr="0031220C">
        <w:rPr>
          <w:sz w:val="28"/>
          <w:szCs w:val="28"/>
        </w:rPr>
        <w:t>&lt; 0</w:t>
      </w:r>
      <w:proofErr w:type="gramEnd"/>
      <w:r w:rsidRPr="0031220C">
        <w:rPr>
          <w:sz w:val="28"/>
          <w:szCs w:val="28"/>
        </w:rPr>
        <w:t>,05) обратные умеренные корреляции. У пациентов с РНИ были выявлены значимые обратные корреляции между HAND2 и ТТГ, HAND2 и фибриногеном, VEGFB и пролактином, а также VEGFB и ТТГ. У пациентов с РПБ обнаружены значимые обратные корреляции между CXCL1 и протромбиновым временем, а также между CXCL1 и активированным частичным тромбопластиновым временем была выявлена прямая умеренная корреляция. Таким образом, снижение уровней этих генов связано с повышением уровней гормонов гипофиза и активацией системы гемостаза.</w:t>
      </w:r>
    </w:p>
    <w:p w14:paraId="676E8DC0" w14:textId="77777777" w:rsidR="0031220C" w:rsidRDefault="0031220C" w:rsidP="0031220C">
      <w:pPr>
        <w:pStyle w:val="a9"/>
        <w:shd w:val="clear" w:color="auto" w:fill="FFFFFF"/>
        <w:spacing w:before="0" w:beforeAutospacing="0" w:after="0" w:afterAutospacing="0"/>
        <w:ind w:firstLine="567"/>
        <w:jc w:val="both"/>
        <w:rPr>
          <w:sz w:val="28"/>
          <w:szCs w:val="28"/>
        </w:rPr>
      </w:pPr>
      <w:r w:rsidRPr="0031220C">
        <w:rPr>
          <w:sz w:val="28"/>
          <w:szCs w:val="28"/>
        </w:rPr>
        <w:t>Данное исследование также подтвердило, что популяции РНИ и РПБ отличаются высокой неоднородностью. Несмотря на схожесть факторов риска, экспрессия генов у этих групп различается. В то же время, были показаны п</w:t>
      </w:r>
      <w:r>
        <w:rPr>
          <w:sz w:val="28"/>
          <w:szCs w:val="28"/>
        </w:rPr>
        <w:t>рогностические возможности гена</w:t>
      </w:r>
      <w:r w:rsidRPr="0031220C">
        <w:rPr>
          <w:sz w:val="28"/>
          <w:szCs w:val="28"/>
        </w:rPr>
        <w:t xml:space="preserve"> IL-15</w:t>
      </w:r>
      <w:r>
        <w:rPr>
          <w:sz w:val="28"/>
          <w:szCs w:val="28"/>
        </w:rPr>
        <w:t xml:space="preserve"> </w:t>
      </w:r>
      <w:r w:rsidRPr="0031220C">
        <w:rPr>
          <w:sz w:val="28"/>
          <w:szCs w:val="28"/>
        </w:rPr>
        <w:t>для разработки терапевтических подходов у женщин с РНИ и тонким эндометрием. Основным ограничением исследования является небольшой размер выборки, что следует учитывать в будущем. Также рекомендуется стратификация по клиническим формам. Для подтверждения наблюдаемых изменений в экспрессии генов необходимо провести дальнейшие исследования на уровнях протеома и метаболома.</w:t>
      </w:r>
    </w:p>
    <w:p w14:paraId="01BC15A2" w14:textId="20E4B33C" w:rsidR="0031220C" w:rsidRPr="00807117" w:rsidRDefault="0031220C" w:rsidP="0031220C">
      <w:pPr>
        <w:pStyle w:val="a9"/>
        <w:shd w:val="clear" w:color="auto" w:fill="FFFFFF"/>
        <w:spacing w:before="0" w:beforeAutospacing="0" w:after="0" w:afterAutospacing="0"/>
        <w:ind w:firstLine="567"/>
        <w:jc w:val="both"/>
        <w:rPr>
          <w:color w:val="000000" w:themeColor="text1"/>
          <w:sz w:val="28"/>
          <w:szCs w:val="28"/>
        </w:rPr>
      </w:pPr>
      <w:r w:rsidRPr="0031220C">
        <w:rPr>
          <w:sz w:val="28"/>
          <w:szCs w:val="28"/>
        </w:rPr>
        <w:t>В заключение, можно сказать, что патофизиология невосприимчивого эндометрия у женщин с РНИ и РПБ представляет собой сложное взаимодействие нарушений цитокинового баланса, дефектной децидуализации, расстройств ангиогенеза и дисфункции иммунной системы. Понимание этих механизмов важно для разработки целевых терапевтических стратегий, направленных на улучшение репродуктивных результатов. Это исследование по</w:t>
      </w:r>
      <w:r>
        <w:rPr>
          <w:sz w:val="28"/>
          <w:szCs w:val="28"/>
        </w:rPr>
        <w:t xml:space="preserve">казало снижение экспрессии гена IL-15 </w:t>
      </w:r>
      <w:r w:rsidRPr="0031220C">
        <w:rPr>
          <w:sz w:val="28"/>
          <w:szCs w:val="28"/>
        </w:rPr>
        <w:t xml:space="preserve">в тонком эндометрии пациенток с РНИ по сравнению с женщинами с РПБ. Эти результаты помогают понять процессы, происходящие в тонком эндометрии, которые приводят к неудачам имплантации в ходе ЭКО, и имеют практическое значение для врачей при назначении </w:t>
      </w:r>
      <w:r w:rsidRPr="00807117">
        <w:rPr>
          <w:color w:val="000000" w:themeColor="text1"/>
          <w:sz w:val="28"/>
          <w:szCs w:val="28"/>
        </w:rPr>
        <w:t>индивидуализированной иммуномодулирующей терапии пациенткам, проходящим программы ВРТ.</w:t>
      </w:r>
    </w:p>
    <w:p w14:paraId="7BD49FE5" w14:textId="398C6AF3" w:rsidR="00AE5878" w:rsidRPr="00FF33F2" w:rsidRDefault="00A121F2" w:rsidP="005536C0">
      <w:pPr>
        <w:pStyle w:val="aff6"/>
        <w:shd w:val="clear" w:color="auto" w:fill="FFFFFF" w:themeFill="background1"/>
        <w:spacing w:after="0"/>
        <w:ind w:left="0" w:firstLine="567"/>
        <w:outlineLvl w:val="0"/>
        <w:rPr>
          <w:b/>
          <w:bCs/>
          <w:color w:val="000000" w:themeColor="text1"/>
          <w:szCs w:val="28"/>
        </w:rPr>
      </w:pPr>
      <w:r w:rsidRPr="00FF33F2">
        <w:rPr>
          <w:b/>
          <w:bCs/>
          <w:color w:val="000000" w:themeColor="text1"/>
          <w:szCs w:val="28"/>
        </w:rPr>
        <w:t>4</w:t>
      </w:r>
      <w:r w:rsidR="000943E4" w:rsidRPr="00FF33F2">
        <w:rPr>
          <w:b/>
          <w:bCs/>
          <w:color w:val="000000" w:themeColor="text1"/>
          <w:szCs w:val="28"/>
        </w:rPr>
        <w:t xml:space="preserve"> </w:t>
      </w:r>
      <w:r w:rsidR="00AE5878" w:rsidRPr="00FF33F2">
        <w:rPr>
          <w:b/>
          <w:bCs/>
          <w:color w:val="000000" w:themeColor="text1"/>
          <w:szCs w:val="28"/>
        </w:rPr>
        <w:t>МЕТОДОЛОГИЧЕСКОЕ ОБОСНОВАНИЕ</w:t>
      </w:r>
    </w:p>
    <w:p w14:paraId="24985490" w14:textId="77777777" w:rsidR="00CE0497" w:rsidRPr="00807117" w:rsidRDefault="00CE0497" w:rsidP="005536C0">
      <w:pPr>
        <w:pStyle w:val="aff6"/>
        <w:shd w:val="clear" w:color="auto" w:fill="FFFFFF" w:themeFill="background1"/>
        <w:spacing w:after="0"/>
        <w:ind w:firstLine="567"/>
        <w:jc w:val="center"/>
        <w:outlineLvl w:val="0"/>
        <w:rPr>
          <w:color w:val="000000" w:themeColor="text1"/>
          <w:szCs w:val="28"/>
        </w:rPr>
      </w:pPr>
    </w:p>
    <w:p w14:paraId="12EC9C60" w14:textId="3A6C8153" w:rsidR="003E756C" w:rsidRPr="00FF33F2" w:rsidRDefault="008B2B1C" w:rsidP="00FF33F2">
      <w:pPr>
        <w:pStyle w:val="aff6"/>
        <w:numPr>
          <w:ilvl w:val="1"/>
          <w:numId w:val="36"/>
        </w:numPr>
        <w:shd w:val="clear" w:color="auto" w:fill="FFFFFF" w:themeFill="background1"/>
        <w:tabs>
          <w:tab w:val="left" w:pos="851"/>
        </w:tabs>
        <w:spacing w:after="0"/>
        <w:ind w:left="0" w:firstLine="567"/>
        <w:jc w:val="both"/>
        <w:outlineLvl w:val="0"/>
        <w:rPr>
          <w:b/>
          <w:bCs/>
          <w:color w:val="000000" w:themeColor="text1"/>
          <w:szCs w:val="28"/>
        </w:rPr>
      </w:pPr>
      <w:r w:rsidRPr="00FF33F2">
        <w:rPr>
          <w:b/>
          <w:bCs/>
          <w:color w:val="000000" w:themeColor="text1"/>
          <w:szCs w:val="28"/>
        </w:rPr>
        <w:t>Разработка а</w:t>
      </w:r>
      <w:r w:rsidR="003B45FB" w:rsidRPr="00FF33F2">
        <w:rPr>
          <w:b/>
          <w:bCs/>
          <w:color w:val="000000" w:themeColor="text1"/>
          <w:szCs w:val="28"/>
        </w:rPr>
        <w:t>лгоритм</w:t>
      </w:r>
      <w:r w:rsidRPr="00FF33F2">
        <w:rPr>
          <w:b/>
          <w:bCs/>
          <w:color w:val="000000" w:themeColor="text1"/>
          <w:szCs w:val="28"/>
        </w:rPr>
        <w:t>а</w:t>
      </w:r>
      <w:r w:rsidR="003B45FB" w:rsidRPr="00FF33F2">
        <w:rPr>
          <w:b/>
          <w:bCs/>
          <w:color w:val="000000" w:themeColor="text1"/>
          <w:szCs w:val="28"/>
        </w:rPr>
        <w:t xml:space="preserve"> ведения </w:t>
      </w:r>
      <w:r w:rsidR="00CE0497" w:rsidRPr="00FF33F2">
        <w:rPr>
          <w:b/>
          <w:bCs/>
          <w:color w:val="000000" w:themeColor="text1"/>
          <w:szCs w:val="28"/>
        </w:rPr>
        <w:t>пациентов</w:t>
      </w:r>
      <w:r w:rsidR="00EB1CBF" w:rsidRPr="00FF33F2">
        <w:rPr>
          <w:b/>
          <w:bCs/>
          <w:color w:val="000000" w:themeColor="text1"/>
          <w:szCs w:val="28"/>
        </w:rPr>
        <w:t xml:space="preserve"> </w:t>
      </w:r>
      <w:r w:rsidR="00CE0497" w:rsidRPr="00FF33F2">
        <w:rPr>
          <w:b/>
          <w:bCs/>
          <w:color w:val="000000" w:themeColor="text1"/>
          <w:szCs w:val="28"/>
        </w:rPr>
        <w:t>в прогнозировании</w:t>
      </w:r>
      <w:r w:rsidR="005F44BA" w:rsidRPr="00FF33F2">
        <w:rPr>
          <w:b/>
          <w:bCs/>
          <w:color w:val="000000" w:themeColor="text1"/>
          <w:szCs w:val="28"/>
        </w:rPr>
        <w:t xml:space="preserve"> успешности имплантации</w:t>
      </w:r>
    </w:p>
    <w:p w14:paraId="4FA4C32C" w14:textId="12686A78" w:rsidR="00707C48" w:rsidRPr="00807117" w:rsidRDefault="00707C48" w:rsidP="005536C0">
      <w:pPr>
        <w:pStyle w:val="aff6"/>
        <w:shd w:val="clear" w:color="auto" w:fill="FFFFFF" w:themeFill="background1"/>
        <w:spacing w:after="0"/>
        <w:ind w:left="0" w:firstLine="567"/>
        <w:jc w:val="both"/>
        <w:outlineLvl w:val="0"/>
        <w:rPr>
          <w:color w:val="000000" w:themeColor="text1"/>
          <w:szCs w:val="28"/>
        </w:rPr>
      </w:pPr>
      <w:r w:rsidRPr="00807117">
        <w:rPr>
          <w:color w:val="000000" w:themeColor="text1"/>
          <w:szCs w:val="28"/>
        </w:rPr>
        <w:t xml:space="preserve"> При планировании программ ВРТ следует индивидуально подходить к выбору метода прегравидарной</w:t>
      </w:r>
      <w:r w:rsidRPr="00807117">
        <w:rPr>
          <w:color w:val="000000" w:themeColor="text1"/>
          <w:szCs w:val="28"/>
        </w:rPr>
        <w:tab/>
        <w:t xml:space="preserve"> подготовки, взвешивая все факторы риска. Рекомендации различных международных сообществ по вопросам диагностики и лечения женщин с репродуктивными потерями в анамнезе, связанных с нарушениями рецептивности эндометрия реализацией репродуктивной функции женщины, не тождественны в своих утверждениях.</w:t>
      </w:r>
      <w:r w:rsidR="00AD09F1" w:rsidRPr="00807117">
        <w:rPr>
          <w:color w:val="000000" w:themeColor="text1"/>
          <w:szCs w:val="28"/>
        </w:rPr>
        <w:t xml:space="preserve"> </w:t>
      </w:r>
    </w:p>
    <w:p w14:paraId="79C38158" w14:textId="77777777" w:rsidR="000943E4" w:rsidRPr="00807117" w:rsidRDefault="00AD09F1" w:rsidP="005536C0">
      <w:pPr>
        <w:pStyle w:val="aff6"/>
        <w:spacing w:after="0"/>
        <w:ind w:left="0" w:firstLine="567"/>
        <w:jc w:val="both"/>
        <w:outlineLvl w:val="0"/>
        <w:rPr>
          <w:color w:val="000000" w:themeColor="text1"/>
          <w:szCs w:val="28"/>
        </w:rPr>
      </w:pPr>
      <w:r w:rsidRPr="00807117">
        <w:rPr>
          <w:color w:val="000000" w:themeColor="text1"/>
          <w:szCs w:val="28"/>
        </w:rPr>
        <w:t xml:space="preserve"> </w:t>
      </w:r>
      <w:r w:rsidRPr="00916B3A">
        <w:rPr>
          <w:color w:val="000000" w:themeColor="text1"/>
          <w:szCs w:val="28"/>
        </w:rPr>
        <w:t xml:space="preserve">По нашим результатам </w:t>
      </w:r>
      <w:r w:rsidR="007203FA" w:rsidRPr="00916B3A">
        <w:rPr>
          <w:color w:val="000000" w:themeColor="text1"/>
          <w:szCs w:val="28"/>
        </w:rPr>
        <w:t xml:space="preserve">исследования </w:t>
      </w:r>
      <w:r w:rsidRPr="00916B3A">
        <w:rPr>
          <w:color w:val="000000" w:themeColor="text1"/>
          <w:szCs w:val="28"/>
        </w:rPr>
        <w:t xml:space="preserve">принадлежность к группе 1 с толщиной эндометрия </w:t>
      </w:r>
      <w:proofErr w:type="gramStart"/>
      <w:r w:rsidRPr="00807117">
        <w:rPr>
          <w:color w:val="000000" w:themeColor="text1"/>
          <w:szCs w:val="28"/>
        </w:rPr>
        <w:t>&lt; 5</w:t>
      </w:r>
      <w:proofErr w:type="gramEnd"/>
      <w:r w:rsidRPr="00807117">
        <w:rPr>
          <w:color w:val="000000" w:themeColor="text1"/>
          <w:szCs w:val="28"/>
        </w:rPr>
        <w:t xml:space="preserve">  мм </w:t>
      </w:r>
      <w:r w:rsidRPr="00916B3A">
        <w:rPr>
          <w:color w:val="000000" w:themeColor="text1"/>
          <w:szCs w:val="28"/>
        </w:rPr>
        <w:t xml:space="preserve">ассоциировалась с более низкой вероятностью наступления беременности (ОР=0,595, 95% ДИ [0,524-0,676]) по сравнению с группой 3 с толщиной эндометрия </w:t>
      </w:r>
      <w:r w:rsidRPr="00807117">
        <w:rPr>
          <w:color w:val="000000" w:themeColor="text1"/>
          <w:szCs w:val="28"/>
        </w:rPr>
        <w:t>&gt; 7 мм</w:t>
      </w:r>
      <w:r w:rsidRPr="00916B3A">
        <w:rPr>
          <w:color w:val="000000" w:themeColor="text1"/>
          <w:szCs w:val="28"/>
        </w:rPr>
        <w:t xml:space="preserve">. Принадлежность к группе 2 с толщиной </w:t>
      </w:r>
      <w:r w:rsidRPr="00807117">
        <w:rPr>
          <w:color w:val="000000" w:themeColor="text1"/>
          <w:szCs w:val="28"/>
        </w:rPr>
        <w:t>≥ 5 и ≤7 мм</w:t>
      </w:r>
      <w:r w:rsidRPr="00916B3A">
        <w:rPr>
          <w:color w:val="000000" w:themeColor="text1"/>
          <w:szCs w:val="28"/>
        </w:rPr>
        <w:t xml:space="preserve"> эндометрия ассоциировалась с более низкой вероятностью наступления беременности (ОР=0,670, 95% ДИ [0,591-0,761]) по сравнению с группой 3 с толщиной </w:t>
      </w:r>
      <w:proofErr w:type="gramStart"/>
      <w:r w:rsidRPr="00916B3A">
        <w:rPr>
          <w:color w:val="000000" w:themeColor="text1"/>
          <w:szCs w:val="28"/>
        </w:rPr>
        <w:t xml:space="preserve">эндометрия </w:t>
      </w:r>
      <w:r w:rsidRPr="00807117">
        <w:rPr>
          <w:color w:val="000000" w:themeColor="text1"/>
          <w:szCs w:val="28"/>
        </w:rPr>
        <w:t>&gt;</w:t>
      </w:r>
      <w:proofErr w:type="gramEnd"/>
      <w:r w:rsidRPr="00807117">
        <w:rPr>
          <w:color w:val="000000" w:themeColor="text1"/>
          <w:szCs w:val="28"/>
        </w:rPr>
        <w:t xml:space="preserve"> 7 мм</w:t>
      </w:r>
      <w:r w:rsidRPr="00916B3A">
        <w:rPr>
          <w:color w:val="000000" w:themeColor="text1"/>
          <w:szCs w:val="28"/>
        </w:rPr>
        <w:t xml:space="preserve">.  </w:t>
      </w:r>
      <w:r w:rsidRPr="00807117">
        <w:rPr>
          <w:color w:val="000000" w:themeColor="text1"/>
          <w:szCs w:val="28"/>
        </w:rPr>
        <w:t>На основании клинических и анамнестических данных, инструментальных данных</w:t>
      </w:r>
      <w:r w:rsidR="000943E4" w:rsidRPr="00807117">
        <w:rPr>
          <w:color w:val="000000" w:themeColor="text1"/>
          <w:szCs w:val="28"/>
        </w:rPr>
        <w:t>,</w:t>
      </w:r>
      <w:r w:rsidRPr="00807117">
        <w:rPr>
          <w:color w:val="000000" w:themeColor="text1"/>
          <w:szCs w:val="28"/>
        </w:rPr>
        <w:t xml:space="preserve"> которые были выявлены как статистически значимые при применении логистического регрессионного анализа, был создан алгоритм прогнозирования успешности имплантации на основании анализа факторов риска рецидивов репродуктивные потерь для прогнозирования успешной имплантации в программе ЭКО. После учета других предикторов и применения метода пошагового отбора с </w:t>
      </w:r>
      <w:r w:rsidR="008478B5" w:rsidRPr="00807117">
        <w:rPr>
          <w:color w:val="000000" w:themeColor="text1"/>
          <w:szCs w:val="28"/>
        </w:rPr>
        <w:t>были выявлены несколько факторов</w:t>
      </w:r>
      <w:r w:rsidRPr="00807117">
        <w:rPr>
          <w:color w:val="000000" w:themeColor="text1"/>
          <w:szCs w:val="28"/>
        </w:rPr>
        <w:t xml:space="preserve">: 1) </w:t>
      </w:r>
      <w:r w:rsidRPr="00916B3A">
        <w:rPr>
          <w:color w:val="000000" w:themeColor="text1"/>
          <w:szCs w:val="28"/>
        </w:rPr>
        <w:t>внутриматочные вмешательства</w:t>
      </w:r>
      <w:r w:rsidRPr="00807117">
        <w:rPr>
          <w:color w:val="000000" w:themeColor="text1"/>
          <w:szCs w:val="28"/>
        </w:rPr>
        <w:t>, 2) хронический эндометрит в анамнезе, 3) внематочная беременность в анамнезе, 4) толщина эндометрия ≤7 мм</w:t>
      </w:r>
      <w:r w:rsidR="008478B5" w:rsidRPr="00807117">
        <w:rPr>
          <w:color w:val="000000" w:themeColor="text1"/>
          <w:szCs w:val="28"/>
        </w:rPr>
        <w:t xml:space="preserve">, 5) безэффективность программ ЭКО в анамнезе. </w:t>
      </w:r>
    </w:p>
    <w:p w14:paraId="4AC946CC" w14:textId="7E6B69B7" w:rsidR="00AD09F1" w:rsidRPr="00807117" w:rsidRDefault="008478B5" w:rsidP="008478B5">
      <w:pPr>
        <w:pStyle w:val="aff6"/>
        <w:spacing w:after="0"/>
        <w:ind w:left="0" w:firstLine="567"/>
        <w:jc w:val="both"/>
        <w:outlineLvl w:val="0"/>
        <w:rPr>
          <w:color w:val="000000" w:themeColor="text1"/>
          <w:szCs w:val="28"/>
        </w:rPr>
      </w:pPr>
      <w:r w:rsidRPr="00807117">
        <w:rPr>
          <w:color w:val="000000" w:themeColor="text1"/>
          <w:szCs w:val="28"/>
        </w:rPr>
        <w:t>В таблице 20 указаны степени риска неудач имплантации в зависимости от факторов рецидивов репродуктивных потерь.</w:t>
      </w:r>
      <w:r w:rsidR="007203FA" w:rsidRPr="00807117">
        <w:rPr>
          <w:color w:val="000000" w:themeColor="text1"/>
          <w:szCs w:val="28"/>
        </w:rPr>
        <w:t xml:space="preserve"> При создании алгоритма прогнозирования рисков неудач имплантации были учтены все факторы, среди них были выбраны которые были статистический значимыми. </w:t>
      </w:r>
    </w:p>
    <w:p w14:paraId="2BC82E68" w14:textId="77777777" w:rsidR="00DB05A1" w:rsidRPr="00807117" w:rsidRDefault="00DB05A1" w:rsidP="002B6079">
      <w:pPr>
        <w:pStyle w:val="aff6"/>
        <w:shd w:val="clear" w:color="auto" w:fill="FFFFFF" w:themeFill="background1"/>
        <w:spacing w:after="0"/>
        <w:outlineLvl w:val="0"/>
        <w:rPr>
          <w:color w:val="000000" w:themeColor="text1"/>
          <w:szCs w:val="28"/>
        </w:rPr>
      </w:pPr>
    </w:p>
    <w:p w14:paraId="1F44B0AE" w14:textId="2FD05BD0" w:rsidR="00BA26FC" w:rsidRPr="00807117" w:rsidRDefault="00DB05A1" w:rsidP="000943E4">
      <w:pPr>
        <w:pStyle w:val="aff6"/>
        <w:shd w:val="clear" w:color="auto" w:fill="FFFFFF" w:themeFill="background1"/>
        <w:spacing w:after="0"/>
        <w:ind w:left="0"/>
        <w:jc w:val="both"/>
        <w:outlineLvl w:val="0"/>
        <w:rPr>
          <w:color w:val="000000" w:themeColor="text1"/>
          <w:szCs w:val="28"/>
        </w:rPr>
      </w:pPr>
      <w:r w:rsidRPr="00807117">
        <w:rPr>
          <w:color w:val="000000" w:themeColor="text1"/>
          <w:szCs w:val="28"/>
        </w:rPr>
        <w:t>Таблица 20</w:t>
      </w:r>
      <w:r w:rsidR="00BA26FC" w:rsidRPr="00807117">
        <w:rPr>
          <w:color w:val="000000" w:themeColor="text1"/>
          <w:szCs w:val="28"/>
        </w:rPr>
        <w:t xml:space="preserve"> – </w:t>
      </w:r>
      <w:r w:rsidR="00C1089E" w:rsidRPr="00807117">
        <w:rPr>
          <w:color w:val="000000" w:themeColor="text1"/>
          <w:szCs w:val="28"/>
        </w:rPr>
        <w:t>Алгоритм прогнозирования успешности имплантации на основании анализа факторов риска рецидивов репродуктивные потерь</w:t>
      </w:r>
    </w:p>
    <w:p w14:paraId="675EF5E7" w14:textId="77777777" w:rsidR="00F50978" w:rsidRPr="00807117" w:rsidRDefault="00F50978" w:rsidP="00262982">
      <w:pPr>
        <w:pStyle w:val="aff6"/>
        <w:shd w:val="clear" w:color="auto" w:fill="FFFFFF" w:themeFill="background1"/>
        <w:spacing w:after="0"/>
        <w:ind w:left="0"/>
        <w:outlineLvl w:val="0"/>
        <w:rPr>
          <w:color w:val="000000" w:themeColor="text1"/>
          <w:szCs w:val="28"/>
        </w:rPr>
      </w:pPr>
    </w:p>
    <w:tbl>
      <w:tblPr>
        <w:tblStyle w:val="ae"/>
        <w:tblW w:w="0" w:type="auto"/>
        <w:tblInd w:w="-5" w:type="dxa"/>
        <w:tblLook w:val="04A0" w:firstRow="1" w:lastRow="0" w:firstColumn="1" w:lastColumn="0" w:noHBand="0" w:noVBand="1"/>
      </w:tblPr>
      <w:tblGrid>
        <w:gridCol w:w="2091"/>
        <w:gridCol w:w="4473"/>
        <w:gridCol w:w="3069"/>
      </w:tblGrid>
      <w:tr w:rsidR="00F50978" w:rsidRPr="00807117" w14:paraId="23F7A500" w14:textId="77777777" w:rsidTr="000943E4">
        <w:tc>
          <w:tcPr>
            <w:tcW w:w="2091" w:type="dxa"/>
          </w:tcPr>
          <w:p w14:paraId="0B7EADB8" w14:textId="77777777" w:rsidR="00F50978" w:rsidRPr="00807117" w:rsidRDefault="00F50978" w:rsidP="00EB6B6B">
            <w:pPr>
              <w:pStyle w:val="aff6"/>
              <w:spacing w:after="0"/>
              <w:ind w:left="0"/>
              <w:outlineLvl w:val="0"/>
              <w:rPr>
                <w:color w:val="000000" w:themeColor="text1"/>
                <w:szCs w:val="28"/>
              </w:rPr>
            </w:pPr>
            <w:r w:rsidRPr="00807117">
              <w:rPr>
                <w:color w:val="000000" w:themeColor="text1"/>
                <w:szCs w:val="28"/>
              </w:rPr>
              <w:t>Степень риска</w:t>
            </w:r>
          </w:p>
        </w:tc>
        <w:tc>
          <w:tcPr>
            <w:tcW w:w="4473" w:type="dxa"/>
          </w:tcPr>
          <w:p w14:paraId="15DB0FBD" w14:textId="77777777" w:rsidR="00F50978" w:rsidRPr="00807117" w:rsidRDefault="00F50978" w:rsidP="00EB6B6B">
            <w:pPr>
              <w:pStyle w:val="aff6"/>
              <w:spacing w:after="0"/>
              <w:ind w:left="0"/>
              <w:outlineLvl w:val="0"/>
              <w:rPr>
                <w:color w:val="000000" w:themeColor="text1"/>
                <w:szCs w:val="28"/>
              </w:rPr>
            </w:pPr>
            <w:r w:rsidRPr="00807117">
              <w:rPr>
                <w:color w:val="000000" w:themeColor="text1"/>
                <w:szCs w:val="28"/>
              </w:rPr>
              <w:t>Факторы риска</w:t>
            </w:r>
          </w:p>
        </w:tc>
        <w:tc>
          <w:tcPr>
            <w:tcW w:w="3069" w:type="dxa"/>
          </w:tcPr>
          <w:p w14:paraId="0FF7795D" w14:textId="77777777" w:rsidR="00F50978" w:rsidRPr="00807117" w:rsidRDefault="00F50978" w:rsidP="00EB6B6B">
            <w:pPr>
              <w:pStyle w:val="aff6"/>
              <w:spacing w:after="0"/>
              <w:ind w:left="0"/>
              <w:outlineLvl w:val="0"/>
              <w:rPr>
                <w:color w:val="000000" w:themeColor="text1"/>
                <w:szCs w:val="28"/>
              </w:rPr>
            </w:pPr>
            <w:r w:rsidRPr="00807117">
              <w:rPr>
                <w:color w:val="000000" w:themeColor="text1"/>
                <w:szCs w:val="28"/>
              </w:rPr>
              <w:t>Тактика ведения</w:t>
            </w:r>
          </w:p>
        </w:tc>
      </w:tr>
      <w:tr w:rsidR="005536C0" w:rsidRPr="00807117" w14:paraId="5D358AE0" w14:textId="77777777" w:rsidTr="00807117">
        <w:tc>
          <w:tcPr>
            <w:tcW w:w="2091" w:type="dxa"/>
            <w:tcBorders>
              <w:bottom w:val="single" w:sz="4" w:space="0" w:color="auto"/>
            </w:tcBorders>
          </w:tcPr>
          <w:p w14:paraId="30C82E0E" w14:textId="6A1D971A" w:rsidR="005536C0" w:rsidRPr="00807117" w:rsidRDefault="005536C0" w:rsidP="005536C0">
            <w:pPr>
              <w:pStyle w:val="aff6"/>
              <w:spacing w:after="0"/>
              <w:ind w:left="0"/>
              <w:jc w:val="center"/>
              <w:outlineLvl w:val="0"/>
              <w:rPr>
                <w:color w:val="000000" w:themeColor="text1"/>
                <w:szCs w:val="28"/>
              </w:rPr>
            </w:pPr>
            <w:r w:rsidRPr="00807117">
              <w:rPr>
                <w:color w:val="000000" w:themeColor="text1"/>
                <w:szCs w:val="28"/>
              </w:rPr>
              <w:t>1</w:t>
            </w:r>
          </w:p>
        </w:tc>
        <w:tc>
          <w:tcPr>
            <w:tcW w:w="4473" w:type="dxa"/>
            <w:tcBorders>
              <w:bottom w:val="single" w:sz="4" w:space="0" w:color="auto"/>
            </w:tcBorders>
          </w:tcPr>
          <w:p w14:paraId="0A9BA58F" w14:textId="0C3AB796" w:rsidR="005536C0" w:rsidRPr="00807117" w:rsidRDefault="005536C0" w:rsidP="005536C0">
            <w:pPr>
              <w:pStyle w:val="aff6"/>
              <w:spacing w:after="0"/>
              <w:ind w:left="0"/>
              <w:jc w:val="center"/>
              <w:outlineLvl w:val="0"/>
              <w:rPr>
                <w:color w:val="000000" w:themeColor="text1"/>
                <w:szCs w:val="28"/>
              </w:rPr>
            </w:pPr>
            <w:r w:rsidRPr="00807117">
              <w:rPr>
                <w:color w:val="000000" w:themeColor="text1"/>
                <w:szCs w:val="28"/>
              </w:rPr>
              <w:t>2</w:t>
            </w:r>
          </w:p>
        </w:tc>
        <w:tc>
          <w:tcPr>
            <w:tcW w:w="3069" w:type="dxa"/>
            <w:tcBorders>
              <w:bottom w:val="single" w:sz="4" w:space="0" w:color="auto"/>
            </w:tcBorders>
          </w:tcPr>
          <w:p w14:paraId="102B0398" w14:textId="43A1A1A0" w:rsidR="005536C0" w:rsidRPr="00807117" w:rsidRDefault="005536C0" w:rsidP="005536C0">
            <w:pPr>
              <w:pStyle w:val="aff6"/>
              <w:spacing w:after="0"/>
              <w:ind w:left="0"/>
              <w:jc w:val="center"/>
              <w:outlineLvl w:val="0"/>
              <w:rPr>
                <w:color w:val="000000" w:themeColor="text1"/>
                <w:szCs w:val="28"/>
              </w:rPr>
            </w:pPr>
            <w:r w:rsidRPr="00807117">
              <w:rPr>
                <w:color w:val="000000" w:themeColor="text1"/>
                <w:szCs w:val="28"/>
              </w:rPr>
              <w:t>3</w:t>
            </w:r>
          </w:p>
        </w:tc>
      </w:tr>
      <w:tr w:rsidR="00F50978" w:rsidRPr="00807117" w14:paraId="4A1AC692" w14:textId="77777777" w:rsidTr="00807117">
        <w:tc>
          <w:tcPr>
            <w:tcW w:w="2091" w:type="dxa"/>
            <w:tcBorders>
              <w:bottom w:val="nil"/>
            </w:tcBorders>
          </w:tcPr>
          <w:p w14:paraId="6E81BE06" w14:textId="77777777" w:rsidR="00F50978" w:rsidRPr="00807117" w:rsidRDefault="00F50978" w:rsidP="00EB6B6B">
            <w:pPr>
              <w:pStyle w:val="aff6"/>
              <w:spacing w:after="0"/>
              <w:ind w:left="0"/>
              <w:outlineLvl w:val="0"/>
              <w:rPr>
                <w:color w:val="000000" w:themeColor="text1"/>
                <w:szCs w:val="28"/>
              </w:rPr>
            </w:pPr>
            <w:r w:rsidRPr="00807117">
              <w:rPr>
                <w:color w:val="000000" w:themeColor="text1"/>
                <w:szCs w:val="28"/>
              </w:rPr>
              <w:t>1 балла</w:t>
            </w:r>
          </w:p>
          <w:p w14:paraId="0263E1E5" w14:textId="77777777" w:rsidR="00F50978" w:rsidRPr="00807117" w:rsidRDefault="00F50978" w:rsidP="00EB6B6B">
            <w:pPr>
              <w:pStyle w:val="aff6"/>
              <w:ind w:left="0"/>
              <w:outlineLvl w:val="0"/>
              <w:rPr>
                <w:color w:val="000000" w:themeColor="text1"/>
                <w:szCs w:val="28"/>
              </w:rPr>
            </w:pPr>
            <w:r w:rsidRPr="00807117">
              <w:rPr>
                <w:color w:val="000000" w:themeColor="text1"/>
                <w:szCs w:val="28"/>
              </w:rPr>
              <w:t xml:space="preserve">Низкий риск неудачи имплантации </w:t>
            </w:r>
          </w:p>
          <w:p w14:paraId="4CDDCF74" w14:textId="77777777" w:rsidR="00F50978" w:rsidRPr="00807117" w:rsidRDefault="00F50978" w:rsidP="00EB6B6B">
            <w:pPr>
              <w:pStyle w:val="aff6"/>
              <w:spacing w:after="0"/>
              <w:ind w:left="0"/>
              <w:outlineLvl w:val="0"/>
              <w:rPr>
                <w:color w:val="000000" w:themeColor="text1"/>
                <w:szCs w:val="28"/>
              </w:rPr>
            </w:pPr>
          </w:p>
        </w:tc>
        <w:tc>
          <w:tcPr>
            <w:tcW w:w="4473" w:type="dxa"/>
            <w:tcBorders>
              <w:bottom w:val="nil"/>
            </w:tcBorders>
          </w:tcPr>
          <w:p w14:paraId="746C76FF" w14:textId="77777777" w:rsidR="00F50978" w:rsidRPr="00807117" w:rsidRDefault="00F50978" w:rsidP="00F50978">
            <w:pPr>
              <w:pStyle w:val="aff6"/>
              <w:numPr>
                <w:ilvl w:val="0"/>
                <w:numId w:val="39"/>
              </w:numPr>
              <w:ind w:left="360" w:hanging="425"/>
              <w:outlineLvl w:val="0"/>
              <w:rPr>
                <w:color w:val="000000" w:themeColor="text1"/>
                <w:szCs w:val="28"/>
              </w:rPr>
            </w:pPr>
            <w:r w:rsidRPr="00807117">
              <w:rPr>
                <w:color w:val="000000" w:themeColor="text1"/>
                <w:szCs w:val="28"/>
              </w:rPr>
              <w:t xml:space="preserve">Толщина </w:t>
            </w:r>
            <w:proofErr w:type="gramStart"/>
            <w:r w:rsidRPr="00807117">
              <w:rPr>
                <w:color w:val="000000" w:themeColor="text1"/>
                <w:szCs w:val="28"/>
              </w:rPr>
              <w:t>эндометрия &gt;</w:t>
            </w:r>
            <w:proofErr w:type="gramEnd"/>
            <w:r w:rsidRPr="00807117">
              <w:rPr>
                <w:color w:val="000000" w:themeColor="text1"/>
                <w:szCs w:val="28"/>
              </w:rPr>
              <w:t xml:space="preserve"> 7 мм </w:t>
            </w:r>
          </w:p>
          <w:p w14:paraId="001E0E06" w14:textId="50784D02" w:rsidR="00F50978" w:rsidRPr="00807117" w:rsidRDefault="00705F82" w:rsidP="00F50978">
            <w:pPr>
              <w:pStyle w:val="aff6"/>
              <w:numPr>
                <w:ilvl w:val="0"/>
                <w:numId w:val="39"/>
              </w:numPr>
              <w:ind w:left="360" w:hanging="425"/>
              <w:outlineLvl w:val="0"/>
              <w:rPr>
                <w:color w:val="000000" w:themeColor="text1"/>
                <w:szCs w:val="28"/>
              </w:rPr>
            </w:pPr>
            <w:r w:rsidRPr="00807117">
              <w:rPr>
                <w:color w:val="000000" w:themeColor="text1"/>
                <w:szCs w:val="28"/>
              </w:rPr>
              <w:t>ИМТ не более 25</w:t>
            </w:r>
          </w:p>
          <w:p w14:paraId="1C0CB98C" w14:textId="77777777" w:rsidR="00F50978" w:rsidRPr="00807117" w:rsidRDefault="00F50978" w:rsidP="00F50978">
            <w:pPr>
              <w:pStyle w:val="aff6"/>
              <w:numPr>
                <w:ilvl w:val="0"/>
                <w:numId w:val="39"/>
              </w:numPr>
              <w:ind w:left="360" w:hanging="425"/>
              <w:outlineLvl w:val="0"/>
              <w:rPr>
                <w:color w:val="000000" w:themeColor="text1"/>
                <w:szCs w:val="28"/>
              </w:rPr>
            </w:pPr>
            <w:r w:rsidRPr="00807117">
              <w:rPr>
                <w:color w:val="000000" w:themeColor="text1"/>
                <w:szCs w:val="28"/>
              </w:rPr>
              <w:t>Возраст &gt;40 лет</w:t>
            </w:r>
          </w:p>
          <w:p w14:paraId="2F3700A3" w14:textId="77777777" w:rsidR="00F50978" w:rsidRPr="00807117" w:rsidRDefault="00F50978" w:rsidP="00EB6B6B">
            <w:pPr>
              <w:pStyle w:val="aff6"/>
              <w:spacing w:after="0"/>
              <w:ind w:left="0"/>
              <w:outlineLvl w:val="0"/>
              <w:rPr>
                <w:color w:val="000000" w:themeColor="text1"/>
                <w:szCs w:val="28"/>
              </w:rPr>
            </w:pPr>
          </w:p>
        </w:tc>
        <w:tc>
          <w:tcPr>
            <w:tcW w:w="3069" w:type="dxa"/>
            <w:tcBorders>
              <w:bottom w:val="nil"/>
            </w:tcBorders>
          </w:tcPr>
          <w:p w14:paraId="6C2027BB" w14:textId="77777777" w:rsidR="00F50978" w:rsidRPr="00807117" w:rsidRDefault="00F50978" w:rsidP="00EB6B6B">
            <w:pPr>
              <w:pStyle w:val="aff6"/>
              <w:ind w:left="-115"/>
              <w:outlineLvl w:val="0"/>
              <w:rPr>
                <w:color w:val="000000" w:themeColor="text1"/>
                <w:szCs w:val="28"/>
              </w:rPr>
            </w:pPr>
            <w:r w:rsidRPr="00807117">
              <w:rPr>
                <w:color w:val="000000" w:themeColor="text1"/>
                <w:szCs w:val="28"/>
              </w:rPr>
              <w:t xml:space="preserve">В дополнительном обследовании не нуждается </w:t>
            </w:r>
          </w:p>
          <w:p w14:paraId="28A12BD1" w14:textId="77777777" w:rsidR="00F50978" w:rsidRPr="00807117" w:rsidRDefault="00F50978" w:rsidP="00EB6B6B">
            <w:pPr>
              <w:pStyle w:val="aff6"/>
              <w:spacing w:after="0"/>
              <w:ind w:left="0"/>
              <w:outlineLvl w:val="0"/>
              <w:rPr>
                <w:color w:val="000000" w:themeColor="text1"/>
                <w:szCs w:val="28"/>
              </w:rPr>
            </w:pPr>
          </w:p>
        </w:tc>
      </w:tr>
    </w:tbl>
    <w:p w14:paraId="5C361AE5" w14:textId="22B29EC2" w:rsidR="00807117" w:rsidRPr="00807117" w:rsidRDefault="00807117">
      <w:pPr>
        <w:rPr>
          <w:rFonts w:ascii="Times New Roman" w:eastAsia="Times New Roman" w:hAnsi="Times New Roman" w:cs="Times New Roman"/>
          <w:color w:val="000000" w:themeColor="text1"/>
          <w:sz w:val="28"/>
          <w:szCs w:val="28"/>
          <w:lang w:eastAsia="ru-RU"/>
        </w:rPr>
      </w:pPr>
    </w:p>
    <w:p w14:paraId="7190030E" w14:textId="77777777" w:rsidR="00807117" w:rsidRDefault="00807117" w:rsidP="00807117">
      <w:pPr>
        <w:spacing w:after="0" w:line="240" w:lineRule="auto"/>
        <w:rPr>
          <w:rFonts w:ascii="Times New Roman" w:eastAsia="Times New Roman" w:hAnsi="Times New Roman" w:cs="Times New Roman"/>
          <w:color w:val="000000" w:themeColor="text1"/>
          <w:sz w:val="28"/>
          <w:szCs w:val="28"/>
          <w:lang w:eastAsia="ru-RU"/>
        </w:rPr>
      </w:pPr>
    </w:p>
    <w:p w14:paraId="39812A9B" w14:textId="4980E9A4" w:rsidR="00807117" w:rsidRDefault="00807117" w:rsidP="00807117">
      <w:pPr>
        <w:spacing w:after="0" w:line="240" w:lineRule="auto"/>
        <w:rPr>
          <w:rFonts w:ascii="Times New Roman" w:eastAsia="Times New Roman" w:hAnsi="Times New Roman" w:cs="Times New Roman"/>
          <w:color w:val="000000" w:themeColor="text1"/>
          <w:sz w:val="28"/>
          <w:szCs w:val="28"/>
          <w:lang w:eastAsia="ru-RU"/>
        </w:rPr>
      </w:pPr>
      <w:r w:rsidRPr="00807117">
        <w:rPr>
          <w:rFonts w:ascii="Times New Roman" w:eastAsia="Times New Roman" w:hAnsi="Times New Roman" w:cs="Times New Roman"/>
          <w:color w:val="000000" w:themeColor="text1"/>
          <w:sz w:val="28"/>
          <w:szCs w:val="28"/>
          <w:lang w:eastAsia="ru-RU"/>
        </w:rPr>
        <w:t>Продолжение таблицы 20</w:t>
      </w:r>
    </w:p>
    <w:p w14:paraId="51E8D1A0" w14:textId="77777777" w:rsidR="00807117" w:rsidRPr="00807117" w:rsidRDefault="00807117" w:rsidP="00807117">
      <w:pPr>
        <w:spacing w:after="0" w:line="240" w:lineRule="auto"/>
        <w:rPr>
          <w:rFonts w:ascii="Times New Roman" w:eastAsia="Times New Roman" w:hAnsi="Times New Roman" w:cs="Times New Roman"/>
          <w:color w:val="000000" w:themeColor="text1"/>
          <w:sz w:val="28"/>
          <w:szCs w:val="28"/>
          <w:lang w:eastAsia="ru-RU"/>
        </w:rPr>
      </w:pPr>
    </w:p>
    <w:tbl>
      <w:tblPr>
        <w:tblStyle w:val="ae"/>
        <w:tblW w:w="0" w:type="auto"/>
        <w:tblInd w:w="-5" w:type="dxa"/>
        <w:tblLook w:val="04A0" w:firstRow="1" w:lastRow="0" w:firstColumn="1" w:lastColumn="0" w:noHBand="0" w:noVBand="1"/>
      </w:tblPr>
      <w:tblGrid>
        <w:gridCol w:w="2091"/>
        <w:gridCol w:w="4473"/>
        <w:gridCol w:w="3069"/>
      </w:tblGrid>
      <w:tr w:rsidR="00F50978" w:rsidRPr="00916B3A" w14:paraId="154C6C27" w14:textId="77777777" w:rsidTr="000943E4">
        <w:tc>
          <w:tcPr>
            <w:tcW w:w="2091" w:type="dxa"/>
          </w:tcPr>
          <w:p w14:paraId="4DF6C613" w14:textId="784467A4" w:rsidR="00F50978" w:rsidRPr="00916B3A" w:rsidRDefault="00807117" w:rsidP="00807117">
            <w:pPr>
              <w:pStyle w:val="aff6"/>
              <w:spacing w:after="0"/>
              <w:ind w:left="0"/>
              <w:jc w:val="center"/>
              <w:outlineLvl w:val="0"/>
            </w:pPr>
            <w:r>
              <w:t>1</w:t>
            </w:r>
          </w:p>
        </w:tc>
        <w:tc>
          <w:tcPr>
            <w:tcW w:w="4473" w:type="dxa"/>
          </w:tcPr>
          <w:p w14:paraId="27A129CB" w14:textId="7348F69C" w:rsidR="00F50978" w:rsidRPr="00916B3A" w:rsidRDefault="00807117" w:rsidP="00807117">
            <w:pPr>
              <w:pStyle w:val="aff6"/>
              <w:spacing w:after="0"/>
              <w:ind w:left="-115"/>
              <w:jc w:val="center"/>
              <w:outlineLvl w:val="0"/>
            </w:pPr>
            <w:r>
              <w:t>2</w:t>
            </w:r>
          </w:p>
        </w:tc>
        <w:tc>
          <w:tcPr>
            <w:tcW w:w="3069" w:type="dxa"/>
          </w:tcPr>
          <w:p w14:paraId="6CCD268A" w14:textId="5129BE93" w:rsidR="00F50978" w:rsidRPr="00916B3A" w:rsidRDefault="00807117" w:rsidP="00807117">
            <w:pPr>
              <w:pStyle w:val="aff6"/>
              <w:spacing w:after="0"/>
              <w:ind w:left="0"/>
              <w:jc w:val="center"/>
              <w:outlineLvl w:val="0"/>
            </w:pPr>
            <w:r>
              <w:t>3</w:t>
            </w:r>
          </w:p>
        </w:tc>
      </w:tr>
      <w:tr w:rsidR="00807117" w:rsidRPr="00916B3A" w14:paraId="3BF01790" w14:textId="77777777" w:rsidTr="000943E4">
        <w:tc>
          <w:tcPr>
            <w:tcW w:w="2091" w:type="dxa"/>
          </w:tcPr>
          <w:p w14:paraId="0D07FCEA" w14:textId="77777777" w:rsidR="00807117" w:rsidRPr="00916B3A" w:rsidRDefault="00807117" w:rsidP="00807117">
            <w:pPr>
              <w:pStyle w:val="aff6"/>
              <w:spacing w:after="0"/>
              <w:ind w:left="0"/>
              <w:outlineLvl w:val="0"/>
            </w:pPr>
            <w:r w:rsidRPr="00916B3A">
              <w:t>2 балла</w:t>
            </w:r>
          </w:p>
          <w:p w14:paraId="067E4BC4" w14:textId="77777777" w:rsidR="00807117" w:rsidRPr="00916B3A" w:rsidRDefault="00807117" w:rsidP="00807117">
            <w:pPr>
              <w:pStyle w:val="aff6"/>
              <w:spacing w:after="0"/>
              <w:ind w:left="0"/>
              <w:outlineLvl w:val="0"/>
            </w:pPr>
            <w:r w:rsidRPr="00916B3A">
              <w:t xml:space="preserve">Средний риск неудачи имплантации </w:t>
            </w:r>
          </w:p>
          <w:p w14:paraId="78F3AE6E" w14:textId="77777777" w:rsidR="00807117" w:rsidRPr="00916B3A" w:rsidRDefault="00807117" w:rsidP="00807117">
            <w:pPr>
              <w:pStyle w:val="aff6"/>
              <w:spacing w:after="0"/>
              <w:ind w:left="0"/>
              <w:outlineLvl w:val="0"/>
            </w:pPr>
          </w:p>
        </w:tc>
        <w:tc>
          <w:tcPr>
            <w:tcW w:w="4473" w:type="dxa"/>
          </w:tcPr>
          <w:p w14:paraId="362D5EDE" w14:textId="77777777" w:rsidR="00807117" w:rsidRDefault="00807117" w:rsidP="00807117">
            <w:pPr>
              <w:pStyle w:val="aff6"/>
              <w:numPr>
                <w:ilvl w:val="0"/>
                <w:numId w:val="37"/>
              </w:numPr>
              <w:spacing w:after="0"/>
              <w:ind w:left="218" w:hanging="218"/>
              <w:outlineLvl w:val="0"/>
              <w:rPr>
                <w:bCs/>
              </w:rPr>
            </w:pPr>
            <w:r w:rsidRPr="00916B3A">
              <w:t xml:space="preserve">Толщина эндометрия </w:t>
            </w:r>
            <w:r w:rsidRPr="00916B3A">
              <w:rPr>
                <w:bCs/>
              </w:rPr>
              <w:t>≥ 5 и ≤7 мм</w:t>
            </w:r>
          </w:p>
          <w:p w14:paraId="059D3B20" w14:textId="77777777" w:rsidR="00807117" w:rsidRPr="00BC1756" w:rsidRDefault="00807117" w:rsidP="00807117">
            <w:pPr>
              <w:pStyle w:val="aff6"/>
              <w:numPr>
                <w:ilvl w:val="0"/>
                <w:numId w:val="37"/>
              </w:numPr>
              <w:spacing w:after="0"/>
              <w:ind w:left="218" w:hanging="218"/>
              <w:outlineLvl w:val="0"/>
              <w:rPr>
                <w:bCs/>
              </w:rPr>
            </w:pPr>
            <w:r>
              <w:rPr>
                <w:bCs/>
                <w:szCs w:val="28"/>
                <w:lang w:val="kk-KZ"/>
              </w:rPr>
              <w:t>Снижение резистентности</w:t>
            </w:r>
            <w:r w:rsidRPr="00BC1756">
              <w:rPr>
                <w:bCs/>
                <w:szCs w:val="28"/>
              </w:rPr>
              <w:t xml:space="preserve">  базальных</w:t>
            </w:r>
            <w:r>
              <w:rPr>
                <w:bCs/>
                <w:szCs w:val="28"/>
                <w:lang w:val="kk-KZ"/>
              </w:rPr>
              <w:t xml:space="preserve"> и спиральных артерии</w:t>
            </w:r>
          </w:p>
          <w:p w14:paraId="7BF1F13F" w14:textId="77777777" w:rsidR="00807117" w:rsidRPr="00916B3A" w:rsidRDefault="00807117" w:rsidP="00807117">
            <w:pPr>
              <w:pStyle w:val="aff6"/>
              <w:numPr>
                <w:ilvl w:val="0"/>
                <w:numId w:val="37"/>
              </w:numPr>
              <w:spacing w:after="0"/>
              <w:ind w:left="218" w:hanging="218"/>
              <w:outlineLvl w:val="0"/>
              <w:rPr>
                <w:bCs/>
              </w:rPr>
            </w:pPr>
            <w:r>
              <w:rPr>
                <w:bCs/>
                <w:lang w:val="kk-KZ"/>
              </w:rPr>
              <w:t xml:space="preserve">и спиральных артерии </w:t>
            </w:r>
            <w:r w:rsidRPr="00CF3F1B">
              <w:rPr>
                <w:bCs/>
                <w:szCs w:val="28"/>
              </w:rPr>
              <w:t>х</w:t>
            </w:r>
          </w:p>
          <w:p w14:paraId="0BC0E7B0" w14:textId="77777777" w:rsidR="00807117" w:rsidRPr="00916B3A" w:rsidRDefault="00807117" w:rsidP="00807117">
            <w:pPr>
              <w:pStyle w:val="aff6"/>
              <w:numPr>
                <w:ilvl w:val="0"/>
                <w:numId w:val="37"/>
              </w:numPr>
              <w:spacing w:after="0"/>
              <w:ind w:left="218" w:hanging="218"/>
              <w:outlineLvl w:val="0"/>
              <w:rPr>
                <w:bCs/>
              </w:rPr>
            </w:pPr>
            <w:r w:rsidRPr="00916B3A">
              <w:rPr>
                <w:bCs/>
              </w:rPr>
              <w:t>Безэффективность программ ЭКО в анамнезе не более 1 раза</w:t>
            </w:r>
          </w:p>
          <w:p w14:paraId="028510B3" w14:textId="77777777" w:rsidR="00807117" w:rsidRPr="00916B3A" w:rsidRDefault="00807117" w:rsidP="00807117">
            <w:pPr>
              <w:pStyle w:val="aff6"/>
              <w:numPr>
                <w:ilvl w:val="0"/>
                <w:numId w:val="37"/>
              </w:numPr>
              <w:spacing w:after="0"/>
              <w:ind w:left="218" w:hanging="218"/>
              <w:outlineLvl w:val="0"/>
              <w:rPr>
                <w:color w:val="000000" w:themeColor="text1"/>
                <w:szCs w:val="28"/>
                <w:lang w:eastAsia="it-IT"/>
              </w:rPr>
            </w:pPr>
            <w:r w:rsidRPr="00916B3A">
              <w:rPr>
                <w:bCs/>
              </w:rPr>
              <w:t xml:space="preserve">Самопроизвольный выкидыш </w:t>
            </w:r>
            <w:r w:rsidRPr="00916B3A">
              <w:rPr>
                <w:color w:val="000000" w:themeColor="text1"/>
                <w:szCs w:val="28"/>
                <w:lang w:eastAsia="it-IT"/>
              </w:rPr>
              <w:t>не более 1 раза в анамнезе</w:t>
            </w:r>
          </w:p>
          <w:p w14:paraId="45DE5AA0" w14:textId="77777777" w:rsidR="00807117" w:rsidRPr="00916B3A" w:rsidRDefault="00807117" w:rsidP="00807117">
            <w:pPr>
              <w:pStyle w:val="aff6"/>
              <w:numPr>
                <w:ilvl w:val="0"/>
                <w:numId w:val="37"/>
              </w:numPr>
              <w:spacing w:after="0"/>
              <w:ind w:left="218" w:hanging="218"/>
              <w:outlineLvl w:val="0"/>
              <w:rPr>
                <w:b/>
                <w:bCs/>
              </w:rPr>
            </w:pPr>
            <w:r w:rsidRPr="00916B3A">
              <w:rPr>
                <w:bCs/>
              </w:rPr>
              <w:t>в анамнезе</w:t>
            </w:r>
          </w:p>
          <w:p w14:paraId="7E477D6C" w14:textId="77777777" w:rsidR="00807117" w:rsidRPr="00916B3A" w:rsidRDefault="00807117" w:rsidP="00807117">
            <w:pPr>
              <w:pStyle w:val="aff6"/>
              <w:numPr>
                <w:ilvl w:val="0"/>
                <w:numId w:val="37"/>
              </w:numPr>
              <w:spacing w:after="0"/>
              <w:ind w:left="218" w:hanging="218"/>
              <w:outlineLvl w:val="0"/>
              <w:rPr>
                <w:color w:val="000000" w:themeColor="text1"/>
                <w:szCs w:val="28"/>
                <w:lang w:eastAsia="it-IT"/>
              </w:rPr>
            </w:pPr>
            <w:r w:rsidRPr="00916B3A">
              <w:rPr>
                <w:color w:val="000000" w:themeColor="text1"/>
                <w:szCs w:val="28"/>
                <w:lang w:eastAsia="it-IT"/>
              </w:rPr>
              <w:t>внутриматочные вмешательства не более 1 раза в анамнезе</w:t>
            </w:r>
          </w:p>
          <w:p w14:paraId="3777AB6C" w14:textId="77777777" w:rsidR="00807117" w:rsidRPr="00916B3A" w:rsidRDefault="00807117" w:rsidP="00807117">
            <w:pPr>
              <w:pStyle w:val="aff6"/>
              <w:numPr>
                <w:ilvl w:val="0"/>
                <w:numId w:val="37"/>
              </w:numPr>
              <w:spacing w:after="0"/>
              <w:ind w:left="218" w:hanging="218"/>
              <w:outlineLvl w:val="0"/>
            </w:pPr>
          </w:p>
        </w:tc>
        <w:tc>
          <w:tcPr>
            <w:tcW w:w="3069" w:type="dxa"/>
          </w:tcPr>
          <w:p w14:paraId="04F812A6" w14:textId="17A38C27" w:rsidR="00807117" w:rsidRPr="00916B3A" w:rsidRDefault="00807117" w:rsidP="00807117">
            <w:pPr>
              <w:pStyle w:val="aff6"/>
              <w:spacing w:after="0"/>
              <w:ind w:left="0"/>
              <w:outlineLvl w:val="0"/>
            </w:pPr>
            <w:r w:rsidRPr="00916B3A">
              <w:t>Пайпель-биопсия эндометрия на 20-24 день менструального цикла с последующим иммуногенетическим исследованием</w:t>
            </w:r>
          </w:p>
        </w:tc>
      </w:tr>
      <w:tr w:rsidR="00807117" w:rsidRPr="00916B3A" w14:paraId="5FA0E8AB" w14:textId="77777777" w:rsidTr="000943E4">
        <w:tc>
          <w:tcPr>
            <w:tcW w:w="2091" w:type="dxa"/>
          </w:tcPr>
          <w:p w14:paraId="2FDDDCED" w14:textId="77777777" w:rsidR="00807117" w:rsidRPr="00916B3A" w:rsidRDefault="00807117" w:rsidP="00807117">
            <w:pPr>
              <w:pStyle w:val="aff6"/>
              <w:spacing w:after="0"/>
              <w:ind w:left="0"/>
              <w:outlineLvl w:val="0"/>
            </w:pPr>
            <w:r w:rsidRPr="00916B3A">
              <w:t>3 балла</w:t>
            </w:r>
          </w:p>
          <w:p w14:paraId="6D7131E2" w14:textId="77777777" w:rsidR="00807117" w:rsidRPr="00916B3A" w:rsidRDefault="00807117" w:rsidP="00807117">
            <w:pPr>
              <w:pStyle w:val="aff6"/>
              <w:spacing w:after="0"/>
              <w:ind w:left="0"/>
              <w:outlineLvl w:val="0"/>
            </w:pPr>
            <w:r w:rsidRPr="00916B3A">
              <w:t>Высокий риск неудачи имплантации</w:t>
            </w:r>
          </w:p>
        </w:tc>
        <w:tc>
          <w:tcPr>
            <w:tcW w:w="4473" w:type="dxa"/>
          </w:tcPr>
          <w:p w14:paraId="2A939760" w14:textId="761A1E40" w:rsidR="00807117" w:rsidRDefault="00807117" w:rsidP="00807117">
            <w:pPr>
              <w:pStyle w:val="aff6"/>
              <w:numPr>
                <w:ilvl w:val="0"/>
                <w:numId w:val="38"/>
              </w:numPr>
              <w:spacing w:after="0"/>
              <w:ind w:left="220" w:hanging="220"/>
              <w:outlineLvl w:val="0"/>
              <w:rPr>
                <w:bCs/>
              </w:rPr>
            </w:pPr>
            <w:r w:rsidRPr="00916B3A">
              <w:rPr>
                <w:bCs/>
              </w:rPr>
              <w:t xml:space="preserve">Толщина эндометрия </w:t>
            </w:r>
            <w:proofErr w:type="gramStart"/>
            <w:r w:rsidRPr="00916B3A">
              <w:rPr>
                <w:bCs/>
              </w:rPr>
              <w:t>&lt; 5</w:t>
            </w:r>
            <w:proofErr w:type="gramEnd"/>
            <w:r w:rsidRPr="00916B3A">
              <w:rPr>
                <w:bCs/>
              </w:rPr>
              <w:t xml:space="preserve">  мм</w:t>
            </w:r>
          </w:p>
          <w:p w14:paraId="630773A3" w14:textId="2FF8A4E9" w:rsidR="00807117" w:rsidRPr="00CC5898" w:rsidRDefault="00CC5898" w:rsidP="00CC5898">
            <w:pPr>
              <w:pStyle w:val="aff6"/>
              <w:numPr>
                <w:ilvl w:val="0"/>
                <w:numId w:val="38"/>
              </w:numPr>
              <w:tabs>
                <w:tab w:val="left" w:pos="496"/>
              </w:tabs>
              <w:spacing w:after="0"/>
              <w:ind w:left="78" w:hanging="78"/>
              <w:outlineLvl w:val="0"/>
              <w:rPr>
                <w:bCs/>
              </w:rPr>
            </w:pPr>
            <w:r>
              <w:rPr>
                <w:bCs/>
                <w:szCs w:val="28"/>
                <w:lang w:val="kk-KZ"/>
              </w:rPr>
              <w:t>Отсутствие в</w:t>
            </w:r>
            <w:r w:rsidR="00807117" w:rsidRPr="00CF3F1B">
              <w:rPr>
                <w:bCs/>
                <w:szCs w:val="28"/>
              </w:rPr>
              <w:t>изуализаци</w:t>
            </w:r>
            <w:r>
              <w:rPr>
                <w:bCs/>
                <w:szCs w:val="28"/>
                <w:lang w:val="kk-KZ"/>
              </w:rPr>
              <w:t xml:space="preserve">и </w:t>
            </w:r>
            <w:r w:rsidR="00807117" w:rsidRPr="00CF3F1B">
              <w:rPr>
                <w:bCs/>
                <w:szCs w:val="28"/>
              </w:rPr>
              <w:t>базальных</w:t>
            </w:r>
            <w:r>
              <w:rPr>
                <w:bCs/>
                <w:lang w:val="kk-KZ"/>
              </w:rPr>
              <w:t xml:space="preserve"> </w:t>
            </w:r>
            <w:r w:rsidR="00807117" w:rsidRPr="00CC5898">
              <w:rPr>
                <w:bCs/>
                <w:lang w:val="kk-KZ"/>
              </w:rPr>
              <w:t xml:space="preserve">и спиральных артерии </w:t>
            </w:r>
          </w:p>
          <w:p w14:paraId="7B23037B" w14:textId="77777777" w:rsidR="00807117" w:rsidRPr="00916B3A" w:rsidRDefault="00807117" w:rsidP="00807117">
            <w:pPr>
              <w:pStyle w:val="aff6"/>
              <w:numPr>
                <w:ilvl w:val="0"/>
                <w:numId w:val="38"/>
              </w:numPr>
              <w:tabs>
                <w:tab w:val="left" w:pos="496"/>
              </w:tabs>
              <w:spacing w:after="0"/>
              <w:ind w:left="78" w:hanging="78"/>
              <w:outlineLvl w:val="0"/>
              <w:rPr>
                <w:bCs/>
              </w:rPr>
            </w:pPr>
            <w:r w:rsidRPr="00916B3A">
              <w:rPr>
                <w:bCs/>
              </w:rPr>
              <w:t>Безэффективность программ ЭКО в анамнезе 2 раза и более</w:t>
            </w:r>
          </w:p>
          <w:p w14:paraId="09497C13" w14:textId="77777777" w:rsidR="00807117" w:rsidRPr="00916B3A" w:rsidRDefault="00807117" w:rsidP="00807117">
            <w:pPr>
              <w:pStyle w:val="aff6"/>
              <w:numPr>
                <w:ilvl w:val="0"/>
                <w:numId w:val="38"/>
              </w:numPr>
              <w:tabs>
                <w:tab w:val="left" w:pos="496"/>
              </w:tabs>
              <w:spacing w:after="0"/>
              <w:ind w:left="78" w:hanging="78"/>
              <w:outlineLvl w:val="0"/>
              <w:rPr>
                <w:bCs/>
              </w:rPr>
            </w:pPr>
            <w:r w:rsidRPr="00916B3A">
              <w:rPr>
                <w:szCs w:val="28"/>
              </w:rPr>
              <w:t>Хронический эндометрит в анамнезе</w:t>
            </w:r>
          </w:p>
          <w:p w14:paraId="63299814" w14:textId="77777777" w:rsidR="00807117" w:rsidRPr="00916B3A" w:rsidRDefault="00807117" w:rsidP="00807117">
            <w:pPr>
              <w:pStyle w:val="aff6"/>
              <w:numPr>
                <w:ilvl w:val="0"/>
                <w:numId w:val="38"/>
              </w:numPr>
              <w:tabs>
                <w:tab w:val="left" w:pos="496"/>
              </w:tabs>
              <w:spacing w:after="0"/>
              <w:ind w:left="78" w:hanging="78"/>
              <w:outlineLvl w:val="0"/>
              <w:rPr>
                <w:color w:val="000000" w:themeColor="text1"/>
                <w:szCs w:val="28"/>
                <w:lang w:eastAsia="it-IT"/>
              </w:rPr>
            </w:pPr>
            <w:r w:rsidRPr="00916B3A">
              <w:rPr>
                <w:bCs/>
              </w:rPr>
              <w:t xml:space="preserve">Самопроизвольный выкидыш </w:t>
            </w:r>
            <w:r w:rsidRPr="00916B3A">
              <w:rPr>
                <w:color w:val="000000" w:themeColor="text1"/>
                <w:szCs w:val="28"/>
                <w:lang w:eastAsia="it-IT"/>
              </w:rPr>
              <w:t>более 1 раза в анамнезе</w:t>
            </w:r>
          </w:p>
          <w:p w14:paraId="4DBC136D" w14:textId="77777777" w:rsidR="00807117" w:rsidRPr="00916B3A" w:rsidRDefault="00807117" w:rsidP="00807117">
            <w:pPr>
              <w:pStyle w:val="aff6"/>
              <w:numPr>
                <w:ilvl w:val="0"/>
                <w:numId w:val="38"/>
              </w:numPr>
              <w:tabs>
                <w:tab w:val="left" w:pos="496"/>
              </w:tabs>
              <w:spacing w:after="0"/>
              <w:ind w:left="78" w:hanging="78"/>
              <w:outlineLvl w:val="0"/>
              <w:rPr>
                <w:color w:val="000000" w:themeColor="text1"/>
                <w:szCs w:val="28"/>
                <w:lang w:eastAsia="it-IT"/>
              </w:rPr>
            </w:pPr>
            <w:r w:rsidRPr="00916B3A">
              <w:rPr>
                <w:color w:val="000000" w:themeColor="text1"/>
                <w:szCs w:val="28"/>
                <w:lang w:eastAsia="it-IT"/>
              </w:rPr>
              <w:t>Внутриматочные вмешательства более 1 раза в анамнезе</w:t>
            </w:r>
          </w:p>
          <w:p w14:paraId="43422679" w14:textId="77777777" w:rsidR="00807117" w:rsidRPr="00916B3A" w:rsidRDefault="00807117" w:rsidP="00807117">
            <w:pPr>
              <w:pStyle w:val="aff6"/>
              <w:numPr>
                <w:ilvl w:val="0"/>
                <w:numId w:val="38"/>
              </w:numPr>
              <w:tabs>
                <w:tab w:val="left" w:pos="496"/>
              </w:tabs>
              <w:ind w:left="78" w:hanging="78"/>
              <w:outlineLvl w:val="0"/>
            </w:pPr>
            <w:r w:rsidRPr="00916B3A">
              <w:rPr>
                <w:color w:val="000000" w:themeColor="text1"/>
                <w:szCs w:val="28"/>
                <w:lang w:eastAsia="it-IT"/>
              </w:rPr>
              <w:t>Внематочная беременность в анамнезе</w:t>
            </w:r>
          </w:p>
          <w:p w14:paraId="5BCABCAF" w14:textId="77777777" w:rsidR="00807117" w:rsidRPr="00916B3A" w:rsidRDefault="00807117" w:rsidP="00807117">
            <w:pPr>
              <w:pStyle w:val="aff6"/>
              <w:spacing w:after="0"/>
              <w:ind w:left="0"/>
              <w:outlineLvl w:val="0"/>
            </w:pPr>
            <w:r w:rsidRPr="00916B3A">
              <w:rPr>
                <w:b/>
                <w:bCs/>
              </w:rPr>
              <w:t xml:space="preserve"> </w:t>
            </w:r>
          </w:p>
        </w:tc>
        <w:tc>
          <w:tcPr>
            <w:tcW w:w="3069" w:type="dxa"/>
          </w:tcPr>
          <w:p w14:paraId="0BB55F6B" w14:textId="77777777" w:rsidR="00807117" w:rsidRPr="00916B3A" w:rsidRDefault="00807117" w:rsidP="00807117">
            <w:pPr>
              <w:pStyle w:val="aff6"/>
              <w:spacing w:after="0"/>
              <w:ind w:left="0"/>
              <w:outlineLvl w:val="0"/>
            </w:pPr>
            <w:r w:rsidRPr="00916B3A">
              <w:t>Пайпель-биопсия эндометрия на 20-24 день менструального цикла с последующим иммуногенетическим исследованием</w:t>
            </w:r>
          </w:p>
          <w:p w14:paraId="481A372E" w14:textId="77777777" w:rsidR="00807117" w:rsidRPr="00916B3A" w:rsidRDefault="00807117" w:rsidP="00807117">
            <w:pPr>
              <w:pStyle w:val="aff6"/>
              <w:ind w:left="0"/>
              <w:outlineLvl w:val="0"/>
            </w:pPr>
            <w:r w:rsidRPr="00916B3A">
              <w:t>Отложить\не рекомендовать ПЭ в следующем месяце</w:t>
            </w:r>
          </w:p>
          <w:p w14:paraId="30C3B91A" w14:textId="77777777" w:rsidR="00807117" w:rsidRPr="00916B3A" w:rsidRDefault="00807117" w:rsidP="00807117">
            <w:pPr>
              <w:pStyle w:val="aff6"/>
              <w:spacing w:after="0"/>
              <w:ind w:left="0"/>
              <w:outlineLvl w:val="0"/>
            </w:pPr>
          </w:p>
        </w:tc>
      </w:tr>
      <w:tr w:rsidR="00807117" w:rsidRPr="00916B3A" w14:paraId="56FEA776" w14:textId="77777777" w:rsidTr="00293A56">
        <w:tc>
          <w:tcPr>
            <w:tcW w:w="9633" w:type="dxa"/>
            <w:gridSpan w:val="3"/>
          </w:tcPr>
          <w:p w14:paraId="24908302" w14:textId="1E75BC8D" w:rsidR="00807117" w:rsidRPr="00916B3A" w:rsidRDefault="00807117" w:rsidP="00807117">
            <w:pPr>
              <w:pStyle w:val="aff6"/>
              <w:shd w:val="clear" w:color="auto" w:fill="FFFFFF" w:themeFill="background1"/>
              <w:spacing w:after="0"/>
              <w:ind w:left="0" w:firstLine="468"/>
              <w:jc w:val="both"/>
              <w:outlineLvl w:val="0"/>
            </w:pPr>
            <w:r w:rsidRPr="00916B3A">
              <w:t>Примечание</w:t>
            </w:r>
            <w:r>
              <w:t>:</w:t>
            </w:r>
            <w:r w:rsidRPr="00916B3A">
              <w:t xml:space="preserve"> ИМТ — индекс массы тела; ЭКО — экстракорпоральное оплодотворение; ПЭ-подсадка эмбриона.</w:t>
            </w:r>
          </w:p>
        </w:tc>
      </w:tr>
    </w:tbl>
    <w:p w14:paraId="74E292EB" w14:textId="77777777" w:rsidR="00C1089E" w:rsidRPr="00916B3A" w:rsidRDefault="00C1089E" w:rsidP="00262982">
      <w:pPr>
        <w:pStyle w:val="aff6"/>
        <w:shd w:val="clear" w:color="auto" w:fill="FFFFFF" w:themeFill="background1"/>
        <w:spacing w:after="0"/>
        <w:ind w:left="0"/>
        <w:outlineLvl w:val="0"/>
      </w:pPr>
    </w:p>
    <w:p w14:paraId="404DBB74" w14:textId="1999D94B" w:rsidR="00DB05A1" w:rsidRPr="00916B3A" w:rsidRDefault="007203FA" w:rsidP="00C1089E">
      <w:pPr>
        <w:pStyle w:val="aff6"/>
        <w:shd w:val="clear" w:color="auto" w:fill="FFFFFF" w:themeFill="background1"/>
        <w:spacing w:after="0"/>
        <w:ind w:left="0" w:firstLine="567"/>
        <w:jc w:val="both"/>
        <w:outlineLvl w:val="0"/>
        <w:rPr>
          <w:szCs w:val="28"/>
        </w:rPr>
      </w:pPr>
      <w:r w:rsidRPr="00916B3A">
        <w:t xml:space="preserve">Представленный алгоритм </w:t>
      </w:r>
      <w:r w:rsidR="00C1089E" w:rsidRPr="00916B3A">
        <w:t xml:space="preserve">прогнозирования успешности имплантации на основании </w:t>
      </w:r>
      <w:r w:rsidR="00C1089E" w:rsidRPr="00916B3A">
        <w:rPr>
          <w:lang w:val="kk-KZ"/>
        </w:rPr>
        <w:t>анализа</w:t>
      </w:r>
      <w:r w:rsidR="00C1089E" w:rsidRPr="00916B3A">
        <w:t xml:space="preserve"> факторов</w:t>
      </w:r>
      <w:r w:rsidR="00C1089E" w:rsidRPr="00916B3A">
        <w:rPr>
          <w:lang w:val="kk-KZ"/>
        </w:rPr>
        <w:t xml:space="preserve"> риска рецидивов репродуктивные потерь</w:t>
      </w:r>
      <w:r w:rsidRPr="00916B3A">
        <w:t xml:space="preserve"> демонстрирует высокую статистическую значимость </w:t>
      </w:r>
      <w:r w:rsidRPr="00916B3A">
        <w:rPr>
          <w:szCs w:val="28"/>
        </w:rPr>
        <w:t>(</w:t>
      </w:r>
      <w:proofErr w:type="gramStart"/>
      <w:r w:rsidRPr="00916B3A">
        <w:rPr>
          <w:szCs w:val="28"/>
        </w:rPr>
        <w:t>р&lt;</w:t>
      </w:r>
      <w:proofErr w:type="gramEnd"/>
      <w:r w:rsidRPr="00916B3A">
        <w:rPr>
          <w:szCs w:val="28"/>
        </w:rPr>
        <w:t xml:space="preserve">0,01). Основываясь </w:t>
      </w:r>
      <w:r w:rsidR="00C47DC0" w:rsidRPr="00916B3A">
        <w:rPr>
          <w:szCs w:val="28"/>
        </w:rPr>
        <w:t xml:space="preserve">на </w:t>
      </w:r>
      <w:r w:rsidRPr="00916B3A">
        <w:rPr>
          <w:szCs w:val="28"/>
        </w:rPr>
        <w:t>результат</w:t>
      </w:r>
      <w:r w:rsidR="00C47DC0" w:rsidRPr="00916B3A">
        <w:rPr>
          <w:szCs w:val="28"/>
        </w:rPr>
        <w:t xml:space="preserve">ы </w:t>
      </w:r>
      <w:r w:rsidRPr="00916B3A">
        <w:rPr>
          <w:szCs w:val="28"/>
        </w:rPr>
        <w:t>проведенного логистического регрессионного анализа</w:t>
      </w:r>
      <w:r w:rsidR="00C47DC0" w:rsidRPr="00916B3A">
        <w:rPr>
          <w:szCs w:val="28"/>
        </w:rPr>
        <w:t>,</w:t>
      </w:r>
      <w:r w:rsidRPr="00916B3A">
        <w:rPr>
          <w:szCs w:val="28"/>
        </w:rPr>
        <w:t xml:space="preserve"> позволяет интерпретировать по толщине эндометрия и клинико-анамнестических данных прогнозирование вероятности наступления беременности и возможный исход беременности. Это</w:t>
      </w:r>
      <w:r w:rsidR="00C47DC0" w:rsidRPr="00916B3A">
        <w:rPr>
          <w:szCs w:val="28"/>
        </w:rPr>
        <w:t>,</w:t>
      </w:r>
      <w:r w:rsidRPr="00916B3A">
        <w:rPr>
          <w:szCs w:val="28"/>
        </w:rPr>
        <w:t xml:space="preserve"> в свою очередь</w:t>
      </w:r>
      <w:r w:rsidR="00C47DC0" w:rsidRPr="00916B3A">
        <w:rPr>
          <w:szCs w:val="28"/>
        </w:rPr>
        <w:t xml:space="preserve">, </w:t>
      </w:r>
      <w:r w:rsidRPr="00916B3A">
        <w:rPr>
          <w:szCs w:val="28"/>
        </w:rPr>
        <w:t>практическом здравоохранении повышает эффективность персонолизированного подхода при подготовке прогораммам ВРТ.</w:t>
      </w:r>
    </w:p>
    <w:p w14:paraId="69D99E5A" w14:textId="3E31DDB3" w:rsidR="00C1089E" w:rsidRPr="00916B3A" w:rsidRDefault="00C1089E" w:rsidP="00C1089E">
      <w:pPr>
        <w:pStyle w:val="aff6"/>
        <w:shd w:val="clear" w:color="auto" w:fill="FFFFFF" w:themeFill="background1"/>
        <w:spacing w:after="0"/>
        <w:ind w:left="0" w:firstLine="567"/>
        <w:jc w:val="both"/>
        <w:outlineLvl w:val="0"/>
      </w:pPr>
      <w:r w:rsidRPr="00916B3A">
        <w:t xml:space="preserve">Алгоритм прогнозирования успешности имплантации на основании </w:t>
      </w:r>
      <w:r w:rsidRPr="00916B3A">
        <w:rPr>
          <w:lang w:val="kk-KZ"/>
        </w:rPr>
        <w:t>транскриптомного</w:t>
      </w:r>
      <w:r w:rsidR="00A121F2" w:rsidRPr="00916B3A">
        <w:rPr>
          <w:lang w:val="kk-KZ"/>
        </w:rPr>
        <w:t xml:space="preserve"> анализа</w:t>
      </w:r>
      <w:r w:rsidRPr="00916B3A">
        <w:rPr>
          <w:lang w:val="kk-KZ"/>
        </w:rPr>
        <w:t xml:space="preserve"> </w:t>
      </w:r>
      <w:r w:rsidRPr="00916B3A">
        <w:rPr>
          <w:szCs w:val="28"/>
        </w:rPr>
        <w:t>экспрессии генов C4BPA, IL15, HAND2, VEGFB, CXCL1</w:t>
      </w:r>
      <w:r w:rsidRPr="00916B3A">
        <w:rPr>
          <w:lang w:val="kk-KZ"/>
        </w:rPr>
        <w:t xml:space="preserve"> анализа биоптата эндометрия</w:t>
      </w:r>
      <w:r w:rsidR="00C47DC0" w:rsidRPr="00916B3A">
        <w:rPr>
          <w:lang w:val="kk-KZ"/>
        </w:rPr>
        <w:t>.</w:t>
      </w:r>
    </w:p>
    <w:p w14:paraId="7C149997" w14:textId="378BC052" w:rsidR="00C92BEF" w:rsidRPr="00916B3A" w:rsidRDefault="00C1089E" w:rsidP="00C47DC0">
      <w:pPr>
        <w:spacing w:after="0" w:line="240" w:lineRule="auto"/>
        <w:ind w:firstLine="426"/>
        <w:jc w:val="both"/>
        <w:rPr>
          <w:rFonts w:ascii="Times New Roman" w:hAnsi="Times New Roman" w:cs="Times New Roman"/>
          <w:sz w:val="28"/>
          <w:szCs w:val="28"/>
        </w:rPr>
      </w:pPr>
      <w:r w:rsidRPr="00916B3A">
        <w:rPr>
          <w:rFonts w:ascii="Times New Roman" w:eastAsia="Times New Roman" w:hAnsi="Times New Roman" w:cs="Times New Roman"/>
          <w:b/>
          <w:sz w:val="28"/>
          <w:szCs w:val="28"/>
          <w:lang w:eastAsia="ru-RU"/>
        </w:rPr>
        <w:t xml:space="preserve">   </w:t>
      </w:r>
      <w:r w:rsidR="00C92BEF" w:rsidRPr="00916B3A">
        <w:rPr>
          <w:rFonts w:ascii="Times New Roman" w:hAnsi="Times New Roman" w:cs="Times New Roman"/>
          <w:sz w:val="28"/>
          <w:szCs w:val="28"/>
        </w:rPr>
        <w:t>В рамках предварительно выполненного сравнительного статистического анализа данных, полученных в результате иммуногенетических исследований в период «окна имплантации»</w:t>
      </w:r>
      <w:r w:rsidRPr="00916B3A">
        <w:rPr>
          <w:rFonts w:ascii="Times New Roman" w:hAnsi="Times New Roman" w:cs="Times New Roman"/>
          <w:sz w:val="28"/>
          <w:szCs w:val="28"/>
        </w:rPr>
        <w:t xml:space="preserve"> (глава 3</w:t>
      </w:r>
      <w:r w:rsidR="00C92BEF" w:rsidRPr="00916B3A">
        <w:rPr>
          <w:rFonts w:ascii="Times New Roman" w:hAnsi="Times New Roman" w:cs="Times New Roman"/>
          <w:sz w:val="28"/>
          <w:szCs w:val="28"/>
        </w:rPr>
        <w:t>), был идентифицирован ряд прогностически значимых маркеров, демонстрирующих ассоциацию с повторными неудачами имплантации. В перечень данных маркеров вошли следующие параметры:</w:t>
      </w:r>
    </w:p>
    <w:p w14:paraId="6B72FF71" w14:textId="38564DFA" w:rsidR="001E6FF5" w:rsidRPr="00916B3A" w:rsidRDefault="00411CCF" w:rsidP="005536C0">
      <w:pPr>
        <w:pStyle w:val="a6"/>
        <w:numPr>
          <w:ilvl w:val="0"/>
          <w:numId w:val="44"/>
        </w:numPr>
        <w:tabs>
          <w:tab w:val="left" w:pos="1134"/>
        </w:tabs>
        <w:spacing w:after="0" w:line="240" w:lineRule="auto"/>
        <w:ind w:left="0" w:firstLine="709"/>
        <w:jc w:val="both"/>
        <w:rPr>
          <w:rFonts w:ascii="Times New Roman" w:hAnsi="Times New Roman" w:cs="Times New Roman"/>
          <w:sz w:val="28"/>
          <w:szCs w:val="28"/>
        </w:rPr>
      </w:pPr>
      <w:r w:rsidRPr="00916B3A">
        <w:rPr>
          <w:rFonts w:ascii="Times New Roman" w:hAnsi="Times New Roman" w:cs="Times New Roman"/>
          <w:sz w:val="28"/>
          <w:szCs w:val="28"/>
        </w:rPr>
        <w:t>экспрессии выбранных генов C4BPA, IL15, HAND2, VEGFB, CXCL1 отражающие снижение рецептивности эндометрия</w:t>
      </w:r>
      <w:r w:rsidR="00C47DC0" w:rsidRPr="00916B3A">
        <w:rPr>
          <w:rFonts w:ascii="Times New Roman" w:hAnsi="Times New Roman" w:cs="Times New Roman"/>
          <w:sz w:val="28"/>
          <w:szCs w:val="28"/>
        </w:rPr>
        <w:t>.</w:t>
      </w:r>
    </w:p>
    <w:p w14:paraId="35BE76AE" w14:textId="1B031598" w:rsidR="001E6FF5" w:rsidRPr="00916B3A" w:rsidRDefault="00411CCF" w:rsidP="005536C0">
      <w:pPr>
        <w:pStyle w:val="a6"/>
        <w:numPr>
          <w:ilvl w:val="0"/>
          <w:numId w:val="44"/>
        </w:numPr>
        <w:tabs>
          <w:tab w:val="left" w:pos="1134"/>
        </w:tabs>
        <w:spacing w:after="0" w:line="240" w:lineRule="auto"/>
        <w:ind w:left="0" w:firstLine="709"/>
        <w:jc w:val="both"/>
        <w:rPr>
          <w:rFonts w:ascii="Times New Roman" w:hAnsi="Times New Roman" w:cs="Times New Roman"/>
          <w:sz w:val="28"/>
          <w:szCs w:val="28"/>
        </w:rPr>
      </w:pPr>
      <w:r w:rsidRPr="00916B3A">
        <w:rPr>
          <w:rFonts w:ascii="Times New Roman" w:hAnsi="Times New Roman" w:cs="Times New Roman"/>
          <w:sz w:val="28"/>
          <w:szCs w:val="28"/>
        </w:rPr>
        <w:t>определено, что у женщин с репродуктивными неудачами в анамнезе при различных вариантах нарушения фертильности (бесплодии, невышанивании беременности ранних сроков, неудачах экстракорпорального оплодотворения) экспрессия маркеров двух генов (C4BPA+CXCL1) имееют достоверные различия от фертильных женщин.</w:t>
      </w:r>
    </w:p>
    <w:p w14:paraId="38BF0B71" w14:textId="77777777" w:rsidR="00A121F2" w:rsidRPr="00916B3A" w:rsidRDefault="00A121F2" w:rsidP="00A121F2">
      <w:pPr>
        <w:pStyle w:val="aff6"/>
        <w:shd w:val="clear" w:color="auto" w:fill="FFFFFF" w:themeFill="background1"/>
        <w:spacing w:after="0"/>
        <w:ind w:left="360"/>
        <w:jc w:val="both"/>
        <w:outlineLvl w:val="0"/>
      </w:pPr>
    </w:p>
    <w:p w14:paraId="3B593A65" w14:textId="7E7CABCD" w:rsidR="00A121F2" w:rsidRPr="00916B3A" w:rsidRDefault="00273C23" w:rsidP="00262982">
      <w:pPr>
        <w:pStyle w:val="aff6"/>
        <w:shd w:val="clear" w:color="auto" w:fill="FFFFFF" w:themeFill="background1"/>
        <w:spacing w:after="0"/>
        <w:ind w:left="0"/>
        <w:jc w:val="both"/>
        <w:outlineLvl w:val="0"/>
      </w:pPr>
      <w:r w:rsidRPr="00916B3A">
        <w:t>Таблица 21</w:t>
      </w:r>
      <w:r w:rsidR="000943E4" w:rsidRPr="00916B3A">
        <w:t xml:space="preserve"> </w:t>
      </w:r>
      <w:r w:rsidRPr="00916B3A">
        <w:t>-</w:t>
      </w:r>
      <w:r w:rsidR="000943E4" w:rsidRPr="00916B3A">
        <w:t xml:space="preserve"> </w:t>
      </w:r>
      <w:r w:rsidR="00A121F2" w:rsidRPr="00916B3A">
        <w:t xml:space="preserve">Алгоритм прогнозирования успешности имплантации на основании </w:t>
      </w:r>
      <w:r w:rsidR="00A121F2" w:rsidRPr="00916B3A">
        <w:rPr>
          <w:lang w:val="kk-KZ"/>
        </w:rPr>
        <w:t xml:space="preserve">транскриптомного анализа </w:t>
      </w:r>
      <w:r w:rsidR="00A121F2" w:rsidRPr="00916B3A">
        <w:rPr>
          <w:szCs w:val="28"/>
        </w:rPr>
        <w:t>экспрессии генов C4BPA, IL15, HAND2, VEGFB, CXCL1</w:t>
      </w:r>
      <w:r w:rsidR="00A121F2" w:rsidRPr="00916B3A">
        <w:rPr>
          <w:lang w:val="kk-KZ"/>
        </w:rPr>
        <w:t xml:space="preserve"> анализа биоптата эндометрия</w:t>
      </w:r>
    </w:p>
    <w:p w14:paraId="5D52E07B" w14:textId="77777777" w:rsidR="00A121F2" w:rsidRPr="00916B3A" w:rsidRDefault="00A121F2" w:rsidP="00A121F2">
      <w:pPr>
        <w:spacing w:after="0" w:line="240" w:lineRule="auto"/>
        <w:ind w:left="720"/>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1930"/>
        <w:gridCol w:w="1995"/>
        <w:gridCol w:w="2987"/>
        <w:gridCol w:w="2716"/>
      </w:tblGrid>
      <w:tr w:rsidR="00F90BB7" w:rsidRPr="00916B3A" w14:paraId="4C05B75F" w14:textId="77777777" w:rsidTr="005536C0">
        <w:tc>
          <w:tcPr>
            <w:tcW w:w="2106" w:type="dxa"/>
          </w:tcPr>
          <w:p w14:paraId="70B3C6E8" w14:textId="7142B3D5" w:rsidR="00A121F2" w:rsidRPr="00916B3A" w:rsidRDefault="00A121F2" w:rsidP="00A121F2">
            <w:pPr>
              <w:jc w:val="both"/>
              <w:rPr>
                <w:rFonts w:ascii="Times New Roman" w:hAnsi="Times New Roman" w:cs="Times New Roman"/>
                <w:sz w:val="28"/>
                <w:szCs w:val="28"/>
              </w:rPr>
            </w:pPr>
            <w:r w:rsidRPr="00916B3A">
              <w:rPr>
                <w:rFonts w:ascii="Times New Roman" w:hAnsi="Times New Roman" w:cs="Times New Roman"/>
                <w:sz w:val="28"/>
                <w:szCs w:val="28"/>
              </w:rPr>
              <w:t>Риск</w:t>
            </w:r>
          </w:p>
        </w:tc>
        <w:tc>
          <w:tcPr>
            <w:tcW w:w="1995" w:type="dxa"/>
          </w:tcPr>
          <w:p w14:paraId="3BE2AE96" w14:textId="769BE552" w:rsidR="00A121F2" w:rsidRPr="00916B3A" w:rsidRDefault="00A121F2" w:rsidP="00A121F2">
            <w:pPr>
              <w:jc w:val="both"/>
              <w:rPr>
                <w:rFonts w:ascii="Times New Roman" w:hAnsi="Times New Roman" w:cs="Times New Roman"/>
                <w:sz w:val="28"/>
                <w:szCs w:val="28"/>
              </w:rPr>
            </w:pPr>
            <w:r w:rsidRPr="00916B3A">
              <w:rPr>
                <w:rFonts w:ascii="Times New Roman" w:hAnsi="Times New Roman" w:cs="Times New Roman"/>
                <w:sz w:val="28"/>
                <w:szCs w:val="28"/>
              </w:rPr>
              <w:t>Клиническе данные</w:t>
            </w:r>
          </w:p>
        </w:tc>
        <w:tc>
          <w:tcPr>
            <w:tcW w:w="2698" w:type="dxa"/>
          </w:tcPr>
          <w:p w14:paraId="02509786" w14:textId="1A3A1BD8" w:rsidR="00A121F2" w:rsidRPr="00916B3A" w:rsidRDefault="00A121F2" w:rsidP="00A121F2">
            <w:pPr>
              <w:jc w:val="both"/>
              <w:rPr>
                <w:rFonts w:ascii="Times New Roman" w:hAnsi="Times New Roman" w:cs="Times New Roman"/>
                <w:sz w:val="28"/>
                <w:szCs w:val="28"/>
              </w:rPr>
            </w:pPr>
            <w:r w:rsidRPr="00916B3A">
              <w:rPr>
                <w:rFonts w:ascii="Times New Roman" w:hAnsi="Times New Roman" w:cs="Times New Roman"/>
                <w:sz w:val="28"/>
                <w:szCs w:val="28"/>
              </w:rPr>
              <w:t>Иммуногенетический анализ</w:t>
            </w:r>
          </w:p>
        </w:tc>
        <w:tc>
          <w:tcPr>
            <w:tcW w:w="2829" w:type="dxa"/>
          </w:tcPr>
          <w:p w14:paraId="68D199CA" w14:textId="35456A51" w:rsidR="00A121F2" w:rsidRPr="00916B3A" w:rsidRDefault="00A121F2" w:rsidP="00A121F2">
            <w:pPr>
              <w:jc w:val="both"/>
              <w:rPr>
                <w:rFonts w:ascii="Times New Roman" w:hAnsi="Times New Roman" w:cs="Times New Roman"/>
                <w:sz w:val="28"/>
                <w:szCs w:val="28"/>
              </w:rPr>
            </w:pPr>
            <w:r w:rsidRPr="00916B3A">
              <w:rPr>
                <w:rFonts w:ascii="Times New Roman" w:hAnsi="Times New Roman" w:cs="Times New Roman"/>
                <w:sz w:val="28"/>
                <w:szCs w:val="28"/>
              </w:rPr>
              <w:t>Тактика</w:t>
            </w:r>
          </w:p>
        </w:tc>
      </w:tr>
      <w:tr w:rsidR="00F90BB7" w:rsidRPr="00916B3A" w14:paraId="3A67C9FF" w14:textId="77777777" w:rsidTr="005536C0">
        <w:tc>
          <w:tcPr>
            <w:tcW w:w="2106" w:type="dxa"/>
          </w:tcPr>
          <w:p w14:paraId="125891F4" w14:textId="65F16D21" w:rsidR="00A121F2" w:rsidRPr="00916B3A" w:rsidRDefault="00A121F2" w:rsidP="00A121F2">
            <w:pPr>
              <w:jc w:val="both"/>
              <w:rPr>
                <w:rFonts w:ascii="Times New Roman" w:hAnsi="Times New Roman" w:cs="Times New Roman"/>
                <w:sz w:val="28"/>
                <w:szCs w:val="28"/>
              </w:rPr>
            </w:pPr>
            <w:r w:rsidRPr="00916B3A">
              <w:rPr>
                <w:rFonts w:ascii="Times New Roman" w:hAnsi="Times New Roman" w:cs="Times New Roman"/>
                <w:sz w:val="28"/>
                <w:szCs w:val="28"/>
              </w:rPr>
              <w:t xml:space="preserve">Высокий </w:t>
            </w:r>
          </w:p>
        </w:tc>
        <w:tc>
          <w:tcPr>
            <w:tcW w:w="1995" w:type="dxa"/>
          </w:tcPr>
          <w:p w14:paraId="6AE3FA55" w14:textId="7862C38D" w:rsidR="00A121F2" w:rsidRPr="00916B3A" w:rsidRDefault="00A121F2" w:rsidP="00F90BB7">
            <w:pPr>
              <w:jc w:val="both"/>
              <w:rPr>
                <w:rFonts w:ascii="Times New Roman" w:hAnsi="Times New Roman" w:cs="Times New Roman"/>
                <w:sz w:val="28"/>
                <w:szCs w:val="28"/>
              </w:rPr>
            </w:pPr>
            <w:r w:rsidRPr="00916B3A">
              <w:rPr>
                <w:rFonts w:ascii="Times New Roman" w:hAnsi="Times New Roman" w:cs="Times New Roman"/>
                <w:sz w:val="28"/>
                <w:szCs w:val="28"/>
              </w:rPr>
              <w:t>Женщины</w:t>
            </w:r>
            <w:r w:rsidR="0006521B" w:rsidRPr="00916B3A">
              <w:rPr>
                <w:rFonts w:ascii="Times New Roman" w:hAnsi="Times New Roman" w:cs="Times New Roman"/>
                <w:sz w:val="28"/>
                <w:szCs w:val="28"/>
              </w:rPr>
              <w:t xml:space="preserve"> с РПБ</w:t>
            </w:r>
            <w:r w:rsidRPr="00916B3A">
              <w:rPr>
                <w:rFonts w:ascii="Times New Roman" w:hAnsi="Times New Roman" w:cs="Times New Roman"/>
                <w:sz w:val="28"/>
                <w:szCs w:val="28"/>
              </w:rPr>
              <w:t xml:space="preserve"> с нарушениями рецептивности эндометрия</w:t>
            </w:r>
          </w:p>
        </w:tc>
        <w:tc>
          <w:tcPr>
            <w:tcW w:w="2698" w:type="dxa"/>
          </w:tcPr>
          <w:p w14:paraId="1AD4C0AB" w14:textId="63EDBD23" w:rsidR="00A121F2" w:rsidRPr="00916B3A" w:rsidRDefault="00A121F2" w:rsidP="00A121F2">
            <w:pPr>
              <w:jc w:val="both"/>
              <w:rPr>
                <w:rFonts w:ascii="Times New Roman" w:hAnsi="Times New Roman" w:cs="Times New Roman"/>
                <w:sz w:val="28"/>
                <w:szCs w:val="28"/>
              </w:rPr>
            </w:pPr>
            <w:r w:rsidRPr="00916B3A">
              <w:rPr>
                <w:rFonts w:ascii="Times New Roman" w:hAnsi="Times New Roman" w:cs="Times New Roman"/>
                <w:sz w:val="28"/>
                <w:szCs w:val="28"/>
              </w:rPr>
              <w:t>Снижения экспрессия маркеров двух генов (C4BPA + CXCL1)</w:t>
            </w:r>
          </w:p>
          <w:p w14:paraId="47076DAA" w14:textId="06CAEAD2" w:rsidR="00F90BB7" w:rsidRPr="00916B3A" w:rsidRDefault="00F90BB7" w:rsidP="00A121F2">
            <w:pPr>
              <w:jc w:val="both"/>
              <w:rPr>
                <w:rFonts w:ascii="Times New Roman" w:hAnsi="Times New Roman" w:cs="Times New Roman"/>
                <w:sz w:val="28"/>
                <w:szCs w:val="28"/>
              </w:rPr>
            </w:pPr>
            <w:r w:rsidRPr="00916B3A">
              <w:rPr>
                <w:rFonts w:ascii="Times New Roman" w:hAnsi="Times New Roman" w:cs="Times New Roman"/>
                <w:iCs/>
                <w:color w:val="000000"/>
                <w:sz w:val="28"/>
                <w:szCs w:val="28"/>
              </w:rPr>
              <w:t>IL-15 значительно снижена</w:t>
            </w:r>
          </w:p>
        </w:tc>
        <w:tc>
          <w:tcPr>
            <w:tcW w:w="2829" w:type="dxa"/>
          </w:tcPr>
          <w:p w14:paraId="365A9727" w14:textId="034885BA" w:rsidR="00F90BB7" w:rsidRPr="00916B3A" w:rsidRDefault="00F90BB7" w:rsidP="00F90BB7">
            <w:pPr>
              <w:pStyle w:val="aff6"/>
              <w:ind w:left="0"/>
              <w:outlineLvl w:val="0"/>
            </w:pPr>
            <w:r w:rsidRPr="00916B3A">
              <w:t>Отложить\не рекомендовать ПЭ в следующем месяце</w:t>
            </w:r>
          </w:p>
          <w:p w14:paraId="0306E40F" w14:textId="6060383E" w:rsidR="00A121F2" w:rsidRPr="00916B3A" w:rsidRDefault="0006521B" w:rsidP="00C47DC0">
            <w:pPr>
              <w:pStyle w:val="aff6"/>
              <w:ind w:left="0"/>
              <w:outlineLvl w:val="0"/>
              <w:rPr>
                <w:szCs w:val="28"/>
              </w:rPr>
            </w:pPr>
            <w:r w:rsidRPr="00916B3A">
              <w:t>Обследование на тромбофилию</w:t>
            </w:r>
          </w:p>
        </w:tc>
      </w:tr>
      <w:tr w:rsidR="00F90BB7" w:rsidRPr="00916B3A" w14:paraId="14800FD5" w14:textId="77777777" w:rsidTr="005536C0">
        <w:tc>
          <w:tcPr>
            <w:tcW w:w="2106" w:type="dxa"/>
          </w:tcPr>
          <w:p w14:paraId="3ABD1E78" w14:textId="236FA9FD" w:rsidR="00A121F2" w:rsidRPr="00916B3A" w:rsidRDefault="00A121F2" w:rsidP="00A121F2">
            <w:pPr>
              <w:jc w:val="both"/>
              <w:rPr>
                <w:rFonts w:ascii="Times New Roman" w:hAnsi="Times New Roman" w:cs="Times New Roman"/>
                <w:sz w:val="28"/>
                <w:szCs w:val="28"/>
              </w:rPr>
            </w:pPr>
            <w:r w:rsidRPr="00916B3A">
              <w:rPr>
                <w:rFonts w:ascii="Times New Roman" w:hAnsi="Times New Roman" w:cs="Times New Roman"/>
                <w:sz w:val="28"/>
                <w:szCs w:val="28"/>
              </w:rPr>
              <w:t>Средний</w:t>
            </w:r>
          </w:p>
        </w:tc>
        <w:tc>
          <w:tcPr>
            <w:tcW w:w="1995" w:type="dxa"/>
          </w:tcPr>
          <w:p w14:paraId="0446C27B" w14:textId="7D3E549B" w:rsidR="00A121F2" w:rsidRPr="00916B3A" w:rsidRDefault="00F90BB7" w:rsidP="00F90BB7">
            <w:pPr>
              <w:jc w:val="both"/>
              <w:rPr>
                <w:rFonts w:ascii="Times New Roman" w:hAnsi="Times New Roman" w:cs="Times New Roman"/>
                <w:sz w:val="28"/>
                <w:szCs w:val="28"/>
              </w:rPr>
            </w:pPr>
            <w:r w:rsidRPr="00916B3A">
              <w:rPr>
                <w:rFonts w:ascii="Times New Roman" w:hAnsi="Times New Roman" w:cs="Times New Roman"/>
                <w:sz w:val="28"/>
                <w:szCs w:val="28"/>
              </w:rPr>
              <w:t>Женщины</w:t>
            </w:r>
            <w:r w:rsidR="0006521B" w:rsidRPr="00916B3A">
              <w:rPr>
                <w:rFonts w:ascii="Times New Roman" w:hAnsi="Times New Roman" w:cs="Times New Roman"/>
                <w:sz w:val="28"/>
                <w:szCs w:val="28"/>
              </w:rPr>
              <w:t xml:space="preserve"> с РНИ</w:t>
            </w:r>
          </w:p>
        </w:tc>
        <w:tc>
          <w:tcPr>
            <w:tcW w:w="2698" w:type="dxa"/>
          </w:tcPr>
          <w:p w14:paraId="51B6397B" w14:textId="1A12F27F" w:rsidR="00F90BB7" w:rsidRPr="00916B3A" w:rsidRDefault="00F90BB7" w:rsidP="00F90BB7">
            <w:pPr>
              <w:jc w:val="both"/>
              <w:rPr>
                <w:rFonts w:ascii="Times New Roman" w:hAnsi="Times New Roman" w:cs="Times New Roman"/>
                <w:sz w:val="28"/>
                <w:szCs w:val="28"/>
              </w:rPr>
            </w:pPr>
            <w:r w:rsidRPr="00916B3A">
              <w:rPr>
                <w:rFonts w:ascii="Times New Roman" w:hAnsi="Times New Roman" w:cs="Times New Roman"/>
                <w:sz w:val="28"/>
                <w:szCs w:val="28"/>
              </w:rPr>
              <w:t>Снижения экспрессия маркеров двух генов (C4BPA + CXCL1)</w:t>
            </w:r>
          </w:p>
          <w:p w14:paraId="299F96D7" w14:textId="5DBF4FAC" w:rsidR="00A121F2" w:rsidRPr="00916B3A" w:rsidRDefault="00F90BB7" w:rsidP="00F90BB7">
            <w:pPr>
              <w:jc w:val="both"/>
              <w:rPr>
                <w:rFonts w:ascii="Times New Roman" w:hAnsi="Times New Roman" w:cs="Times New Roman"/>
                <w:sz w:val="28"/>
                <w:szCs w:val="28"/>
              </w:rPr>
            </w:pPr>
            <w:r w:rsidRPr="00916B3A">
              <w:rPr>
                <w:rFonts w:ascii="Times New Roman" w:hAnsi="Times New Roman" w:cs="Times New Roman"/>
                <w:iCs/>
                <w:color w:val="000000"/>
                <w:sz w:val="28"/>
                <w:szCs w:val="28"/>
              </w:rPr>
              <w:t>IL-15 в норме или несколько снижена</w:t>
            </w:r>
          </w:p>
        </w:tc>
        <w:tc>
          <w:tcPr>
            <w:tcW w:w="2829" w:type="dxa"/>
          </w:tcPr>
          <w:p w14:paraId="7D9F7B1B" w14:textId="77777777" w:rsidR="00F90BB7" w:rsidRPr="00916B3A" w:rsidRDefault="00F90BB7" w:rsidP="00F90BB7">
            <w:pPr>
              <w:pStyle w:val="aff6"/>
              <w:ind w:left="0"/>
              <w:outlineLvl w:val="0"/>
            </w:pPr>
            <w:r w:rsidRPr="00916B3A">
              <w:t>Отложить\не рекомендовать ПЭ в следующем месяце</w:t>
            </w:r>
          </w:p>
          <w:p w14:paraId="6A6A8BBF" w14:textId="71F835E6" w:rsidR="00A121F2" w:rsidRPr="00916B3A" w:rsidRDefault="00F90BB7" w:rsidP="00A121F2">
            <w:pPr>
              <w:jc w:val="both"/>
              <w:rPr>
                <w:rFonts w:ascii="Times New Roman" w:hAnsi="Times New Roman" w:cs="Times New Roman"/>
                <w:sz w:val="28"/>
                <w:szCs w:val="28"/>
              </w:rPr>
            </w:pPr>
            <w:r w:rsidRPr="00916B3A">
              <w:rPr>
                <w:rFonts w:ascii="Times New Roman" w:hAnsi="Times New Roman" w:cs="Times New Roman"/>
                <w:sz w:val="28"/>
                <w:szCs w:val="28"/>
              </w:rPr>
              <w:t>Индивидуальный подход</w:t>
            </w:r>
          </w:p>
        </w:tc>
      </w:tr>
      <w:tr w:rsidR="00F90BB7" w:rsidRPr="00916B3A" w14:paraId="59628E19" w14:textId="77777777" w:rsidTr="005536C0">
        <w:tc>
          <w:tcPr>
            <w:tcW w:w="2106" w:type="dxa"/>
          </w:tcPr>
          <w:p w14:paraId="0FEC1202" w14:textId="372AF87F" w:rsidR="00A121F2" w:rsidRPr="00916B3A" w:rsidRDefault="00A121F2" w:rsidP="00A121F2">
            <w:pPr>
              <w:jc w:val="both"/>
              <w:rPr>
                <w:rFonts w:ascii="Times New Roman" w:hAnsi="Times New Roman" w:cs="Times New Roman"/>
                <w:sz w:val="28"/>
                <w:szCs w:val="28"/>
              </w:rPr>
            </w:pPr>
            <w:r w:rsidRPr="00916B3A">
              <w:rPr>
                <w:rFonts w:ascii="Times New Roman" w:hAnsi="Times New Roman" w:cs="Times New Roman"/>
                <w:sz w:val="28"/>
                <w:szCs w:val="28"/>
              </w:rPr>
              <w:t>Низкий</w:t>
            </w:r>
          </w:p>
        </w:tc>
        <w:tc>
          <w:tcPr>
            <w:tcW w:w="1995" w:type="dxa"/>
          </w:tcPr>
          <w:p w14:paraId="6E7B8FF8" w14:textId="4DCC8022" w:rsidR="00A121F2" w:rsidRPr="00916B3A" w:rsidRDefault="00F90BB7" w:rsidP="00A121F2">
            <w:pPr>
              <w:jc w:val="both"/>
              <w:rPr>
                <w:rFonts w:ascii="Times New Roman" w:hAnsi="Times New Roman" w:cs="Times New Roman"/>
                <w:sz w:val="28"/>
                <w:szCs w:val="28"/>
              </w:rPr>
            </w:pPr>
            <w:r w:rsidRPr="00916B3A">
              <w:rPr>
                <w:rFonts w:ascii="Times New Roman" w:hAnsi="Times New Roman" w:cs="Times New Roman"/>
                <w:sz w:val="28"/>
                <w:szCs w:val="28"/>
              </w:rPr>
              <w:t>Женщины фертильного возраста</w:t>
            </w:r>
          </w:p>
        </w:tc>
        <w:tc>
          <w:tcPr>
            <w:tcW w:w="2698" w:type="dxa"/>
          </w:tcPr>
          <w:p w14:paraId="154F149B" w14:textId="46AFC8DB" w:rsidR="00A121F2" w:rsidRPr="00916B3A" w:rsidRDefault="00F90BB7" w:rsidP="00A121F2">
            <w:pPr>
              <w:jc w:val="both"/>
              <w:rPr>
                <w:rFonts w:ascii="Times New Roman" w:hAnsi="Times New Roman" w:cs="Times New Roman"/>
                <w:sz w:val="28"/>
                <w:szCs w:val="28"/>
              </w:rPr>
            </w:pPr>
            <w:r w:rsidRPr="00916B3A">
              <w:rPr>
                <w:rFonts w:ascii="Times New Roman" w:hAnsi="Times New Roman" w:cs="Times New Roman"/>
                <w:sz w:val="28"/>
                <w:szCs w:val="28"/>
              </w:rPr>
              <w:t>Отсутствие отклоненении иммуногогентического анализа</w:t>
            </w:r>
          </w:p>
        </w:tc>
        <w:tc>
          <w:tcPr>
            <w:tcW w:w="2829" w:type="dxa"/>
          </w:tcPr>
          <w:p w14:paraId="15D64D5C" w14:textId="165752A6" w:rsidR="00A121F2" w:rsidRPr="00916B3A" w:rsidRDefault="00F90BB7" w:rsidP="00A121F2">
            <w:pPr>
              <w:jc w:val="both"/>
              <w:rPr>
                <w:rFonts w:ascii="Times New Roman" w:hAnsi="Times New Roman" w:cs="Times New Roman"/>
                <w:sz w:val="28"/>
                <w:szCs w:val="28"/>
              </w:rPr>
            </w:pPr>
            <w:r w:rsidRPr="00916B3A">
              <w:rPr>
                <w:rFonts w:ascii="Times New Roman" w:hAnsi="Times New Roman" w:cs="Times New Roman"/>
                <w:sz w:val="28"/>
                <w:szCs w:val="28"/>
              </w:rPr>
              <w:t>В обследовании не нуждается</w:t>
            </w:r>
          </w:p>
        </w:tc>
      </w:tr>
      <w:tr w:rsidR="005536C0" w:rsidRPr="00916B3A" w14:paraId="67F9723A" w14:textId="77777777" w:rsidTr="00293A56">
        <w:tc>
          <w:tcPr>
            <w:tcW w:w="9628" w:type="dxa"/>
            <w:gridSpan w:val="4"/>
          </w:tcPr>
          <w:p w14:paraId="51BD5883" w14:textId="68FF6518" w:rsidR="005536C0" w:rsidRPr="005536C0" w:rsidRDefault="005536C0" w:rsidP="005536C0">
            <w:pPr>
              <w:pStyle w:val="af7"/>
              <w:tabs>
                <w:tab w:val="left" w:pos="0"/>
              </w:tabs>
              <w:rPr>
                <w:rFonts w:ascii="Times New Roman" w:eastAsia="Batang" w:hAnsi="Times New Roman" w:cs="Times New Roman"/>
                <w:sz w:val="28"/>
                <w:szCs w:val="28"/>
                <w:lang w:eastAsia="ko-KR"/>
              </w:rPr>
            </w:pPr>
            <w:r w:rsidRPr="005536C0">
              <w:rPr>
                <w:rFonts w:ascii="Times New Roman" w:eastAsia="Batang" w:hAnsi="Times New Roman" w:cs="Times New Roman"/>
                <w:sz w:val="28"/>
                <w:szCs w:val="28"/>
                <w:lang w:eastAsia="ko-KR"/>
              </w:rPr>
              <w:t>Примечание РПБ – рецидив потери беременности (</w:t>
            </w:r>
            <w:r w:rsidRPr="005536C0">
              <w:rPr>
                <w:rFonts w:ascii="Times New Roman" w:eastAsia="Batang" w:hAnsi="Times New Roman" w:cs="Times New Roman"/>
                <w:sz w:val="28"/>
                <w:szCs w:val="28"/>
                <w:lang w:val="en-US" w:eastAsia="ko-KR"/>
              </w:rPr>
              <w:t>RPL</w:t>
            </w:r>
            <w:r w:rsidRPr="005536C0">
              <w:rPr>
                <w:rFonts w:ascii="Times New Roman" w:eastAsia="Batang" w:hAnsi="Times New Roman" w:cs="Times New Roman"/>
                <w:sz w:val="28"/>
                <w:szCs w:val="28"/>
                <w:lang w:eastAsia="ko-KR"/>
              </w:rPr>
              <w:t xml:space="preserve"> – </w:t>
            </w:r>
            <w:r w:rsidRPr="005536C0">
              <w:rPr>
                <w:rFonts w:ascii="Times New Roman" w:eastAsia="Batang" w:hAnsi="Times New Roman" w:cs="Times New Roman"/>
                <w:sz w:val="28"/>
                <w:szCs w:val="28"/>
                <w:lang w:val="en-US" w:eastAsia="ko-KR"/>
              </w:rPr>
              <w:t>recurrent</w:t>
            </w:r>
            <w:r w:rsidRPr="005536C0">
              <w:rPr>
                <w:rFonts w:ascii="Times New Roman" w:eastAsia="Batang" w:hAnsi="Times New Roman" w:cs="Times New Roman"/>
                <w:sz w:val="28"/>
                <w:szCs w:val="28"/>
                <w:lang w:eastAsia="ko-KR"/>
              </w:rPr>
              <w:t xml:space="preserve"> </w:t>
            </w:r>
            <w:r w:rsidRPr="005536C0">
              <w:rPr>
                <w:rFonts w:ascii="Times New Roman" w:eastAsia="Batang" w:hAnsi="Times New Roman" w:cs="Times New Roman"/>
                <w:sz w:val="28"/>
                <w:szCs w:val="28"/>
                <w:lang w:val="en-US" w:eastAsia="ko-KR"/>
              </w:rPr>
              <w:t>pregnancy</w:t>
            </w:r>
            <w:r w:rsidRPr="005536C0">
              <w:rPr>
                <w:rFonts w:ascii="Times New Roman" w:eastAsia="Batang" w:hAnsi="Times New Roman" w:cs="Times New Roman"/>
                <w:sz w:val="28"/>
                <w:szCs w:val="28"/>
                <w:lang w:eastAsia="ko-KR"/>
              </w:rPr>
              <w:t xml:space="preserve"> </w:t>
            </w:r>
            <w:r w:rsidRPr="005536C0">
              <w:rPr>
                <w:rFonts w:ascii="Times New Roman" w:eastAsia="Batang" w:hAnsi="Times New Roman" w:cs="Times New Roman"/>
                <w:sz w:val="28"/>
                <w:szCs w:val="28"/>
                <w:lang w:val="en-US" w:eastAsia="ko-KR"/>
              </w:rPr>
              <w:t>loss</w:t>
            </w:r>
            <w:r w:rsidRPr="005536C0">
              <w:rPr>
                <w:rFonts w:ascii="Times New Roman" w:eastAsia="Batang" w:hAnsi="Times New Roman" w:cs="Times New Roman"/>
                <w:sz w:val="28"/>
                <w:szCs w:val="28"/>
                <w:lang w:eastAsia="ko-KR"/>
              </w:rPr>
              <w:t>),</w:t>
            </w:r>
            <w:r>
              <w:rPr>
                <w:rFonts w:ascii="Times New Roman" w:eastAsia="Batang" w:hAnsi="Times New Roman" w:cs="Times New Roman"/>
                <w:sz w:val="28"/>
                <w:szCs w:val="28"/>
                <w:lang w:eastAsia="ko-KR"/>
              </w:rPr>
              <w:t xml:space="preserve"> </w:t>
            </w:r>
            <w:r w:rsidRPr="005536C0">
              <w:rPr>
                <w:rFonts w:ascii="Times New Roman" w:eastAsia="Batang" w:hAnsi="Times New Roman" w:cs="Times New Roman"/>
                <w:sz w:val="28"/>
                <w:szCs w:val="28"/>
                <w:lang w:eastAsia="ko-KR"/>
              </w:rPr>
              <w:t>РНИ – рецидив неудач имплантации (</w:t>
            </w:r>
            <w:r w:rsidRPr="005536C0">
              <w:rPr>
                <w:rFonts w:ascii="Times New Roman" w:eastAsia="Batang" w:hAnsi="Times New Roman" w:cs="Times New Roman"/>
                <w:sz w:val="28"/>
                <w:szCs w:val="28"/>
                <w:lang w:val="en-US" w:eastAsia="ko-KR"/>
              </w:rPr>
              <w:t>RIF</w:t>
            </w:r>
            <w:r w:rsidRPr="005536C0">
              <w:rPr>
                <w:rFonts w:ascii="Times New Roman" w:eastAsia="Batang" w:hAnsi="Times New Roman" w:cs="Times New Roman"/>
                <w:sz w:val="28"/>
                <w:szCs w:val="28"/>
                <w:lang w:eastAsia="ko-KR"/>
              </w:rPr>
              <w:t xml:space="preserve"> – </w:t>
            </w:r>
            <w:r w:rsidRPr="005536C0">
              <w:rPr>
                <w:rFonts w:ascii="Times New Roman" w:eastAsia="Batang" w:hAnsi="Times New Roman" w:cs="Times New Roman"/>
                <w:sz w:val="28"/>
                <w:szCs w:val="28"/>
                <w:lang w:val="en-US" w:eastAsia="ko-KR"/>
              </w:rPr>
              <w:t>recurrent</w:t>
            </w:r>
            <w:r w:rsidRPr="005536C0">
              <w:rPr>
                <w:rFonts w:ascii="Times New Roman" w:eastAsia="Batang" w:hAnsi="Times New Roman" w:cs="Times New Roman"/>
                <w:sz w:val="28"/>
                <w:szCs w:val="28"/>
                <w:lang w:eastAsia="ko-KR"/>
              </w:rPr>
              <w:t xml:space="preserve"> </w:t>
            </w:r>
            <w:r w:rsidRPr="005536C0">
              <w:rPr>
                <w:rFonts w:ascii="Times New Roman" w:eastAsia="Batang" w:hAnsi="Times New Roman" w:cs="Times New Roman"/>
                <w:sz w:val="28"/>
                <w:szCs w:val="28"/>
                <w:lang w:val="en-US" w:eastAsia="ko-KR"/>
              </w:rPr>
              <w:t>implantation</w:t>
            </w:r>
            <w:r w:rsidRPr="005536C0">
              <w:rPr>
                <w:rFonts w:ascii="Times New Roman" w:eastAsia="Batang" w:hAnsi="Times New Roman" w:cs="Times New Roman"/>
                <w:sz w:val="28"/>
                <w:szCs w:val="28"/>
                <w:lang w:eastAsia="ko-KR"/>
              </w:rPr>
              <w:t xml:space="preserve"> </w:t>
            </w:r>
            <w:r w:rsidRPr="005536C0">
              <w:rPr>
                <w:rFonts w:ascii="Times New Roman" w:eastAsia="Batang" w:hAnsi="Times New Roman" w:cs="Times New Roman"/>
                <w:sz w:val="28"/>
                <w:szCs w:val="28"/>
                <w:lang w:val="en-US" w:eastAsia="ko-KR"/>
              </w:rPr>
              <w:t>failure</w:t>
            </w:r>
            <w:r w:rsidRPr="005536C0">
              <w:rPr>
                <w:rFonts w:ascii="Times New Roman" w:eastAsia="Batang" w:hAnsi="Times New Roman" w:cs="Times New Roman"/>
                <w:sz w:val="28"/>
                <w:szCs w:val="28"/>
                <w:lang w:eastAsia="ko-KR"/>
              </w:rPr>
              <w:t>).</w:t>
            </w:r>
          </w:p>
        </w:tc>
      </w:tr>
    </w:tbl>
    <w:p w14:paraId="3F3247A1" w14:textId="77777777" w:rsidR="005536C0" w:rsidRDefault="005536C0" w:rsidP="004908BA">
      <w:pPr>
        <w:spacing w:after="0" w:line="240" w:lineRule="auto"/>
        <w:ind w:firstLine="567"/>
        <w:jc w:val="both"/>
        <w:rPr>
          <w:rFonts w:ascii="Times New Roman" w:hAnsi="Times New Roman" w:cs="Times New Roman"/>
          <w:sz w:val="28"/>
          <w:szCs w:val="28"/>
        </w:rPr>
      </w:pPr>
    </w:p>
    <w:p w14:paraId="527A8849" w14:textId="77777777" w:rsidR="00807117" w:rsidRPr="00916B3A" w:rsidRDefault="00807117" w:rsidP="00807117">
      <w:pPr>
        <w:pStyle w:val="a6"/>
        <w:numPr>
          <w:ilvl w:val="0"/>
          <w:numId w:val="44"/>
        </w:numPr>
        <w:tabs>
          <w:tab w:val="left" w:pos="1134"/>
        </w:tabs>
        <w:spacing w:after="0" w:line="240" w:lineRule="auto"/>
        <w:ind w:left="0" w:firstLine="709"/>
        <w:jc w:val="both"/>
        <w:rPr>
          <w:rFonts w:ascii="Times New Roman" w:hAnsi="Times New Roman" w:cs="Times New Roman"/>
          <w:sz w:val="28"/>
          <w:szCs w:val="28"/>
        </w:rPr>
      </w:pPr>
      <w:r w:rsidRPr="00916B3A">
        <w:rPr>
          <w:rFonts w:ascii="Times New Roman" w:hAnsi="Times New Roman" w:cs="Times New Roman"/>
          <w:iCs/>
          <w:color w:val="000000"/>
          <w:sz w:val="28"/>
          <w:szCs w:val="28"/>
        </w:rPr>
        <w:t>При рецидивах неудач имплантации и тонком эндометрии экспрессия генов IL-15 была значительно снижена по сравнению с пациентками с рецидивами потери беременности (log2-кратное изменение = 0,92, p = 0,023 для IL-15, log2-кратное изменение = 1,24, p = 0,046 для</w:t>
      </w:r>
      <w:r>
        <w:rPr>
          <w:rFonts w:ascii="Times New Roman" w:hAnsi="Times New Roman" w:cs="Times New Roman"/>
          <w:iCs/>
          <w:color w:val="000000"/>
          <w:sz w:val="28"/>
          <w:szCs w:val="28"/>
        </w:rPr>
        <w:t>.</w:t>
      </w:r>
    </w:p>
    <w:p w14:paraId="158FB2DA" w14:textId="28D6456E" w:rsidR="00C92BEF" w:rsidRPr="00916B3A" w:rsidRDefault="00C92BEF" w:rsidP="004908BA">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Основываясь на совокупности статистически значимых маркеров, был</w:t>
      </w:r>
      <w:r w:rsidR="00C1089E" w:rsidRPr="00916B3A">
        <w:rPr>
          <w:rFonts w:ascii="Times New Roman" w:hAnsi="Times New Roman" w:cs="Times New Roman"/>
          <w:sz w:val="28"/>
          <w:szCs w:val="28"/>
        </w:rPr>
        <w:t xml:space="preserve"> разработан алгоритм</w:t>
      </w:r>
      <w:r w:rsidRPr="00916B3A">
        <w:rPr>
          <w:rFonts w:ascii="Times New Roman" w:hAnsi="Times New Roman" w:cs="Times New Roman"/>
          <w:sz w:val="28"/>
          <w:szCs w:val="28"/>
        </w:rPr>
        <w:t xml:space="preserve">, позволяющая прогнозировать вероятность успешной имплантации в циклах экстракорпорального оплодотворения с переносом эмбрионов, посредством применения </w:t>
      </w:r>
      <w:r w:rsidR="00C1089E" w:rsidRPr="00916B3A">
        <w:rPr>
          <w:rFonts w:ascii="Times New Roman" w:hAnsi="Times New Roman" w:cs="Times New Roman"/>
          <w:sz w:val="28"/>
          <w:szCs w:val="28"/>
        </w:rPr>
        <w:t>данного метода</w:t>
      </w:r>
      <w:r w:rsidRPr="00916B3A">
        <w:rPr>
          <w:rFonts w:ascii="Times New Roman" w:hAnsi="Times New Roman" w:cs="Times New Roman"/>
          <w:sz w:val="28"/>
          <w:szCs w:val="28"/>
        </w:rPr>
        <w:t>. С целью построения оп</w:t>
      </w:r>
      <w:r w:rsidR="00C1089E" w:rsidRPr="00916B3A">
        <w:rPr>
          <w:rFonts w:ascii="Times New Roman" w:hAnsi="Times New Roman" w:cs="Times New Roman"/>
          <w:sz w:val="28"/>
          <w:szCs w:val="28"/>
        </w:rPr>
        <w:t>тимального прогностического алгоритма</w:t>
      </w:r>
      <w:r w:rsidRPr="00916B3A">
        <w:rPr>
          <w:rFonts w:ascii="Times New Roman" w:hAnsi="Times New Roman" w:cs="Times New Roman"/>
          <w:sz w:val="28"/>
          <w:szCs w:val="28"/>
        </w:rPr>
        <w:t>, характеризующейся максимальной эффективностью в отношении предсказания успешности имплантации, был задействован метод пошагового отбора предикторных переменных с последующим расчетом скорректированного отношения шансов и учетом потенциального влияния друг</w:t>
      </w:r>
      <w:r w:rsidR="0006521B" w:rsidRPr="00916B3A">
        <w:rPr>
          <w:rFonts w:ascii="Times New Roman" w:hAnsi="Times New Roman" w:cs="Times New Roman"/>
          <w:sz w:val="28"/>
          <w:szCs w:val="28"/>
        </w:rPr>
        <w:t>их факторов, включенных в алгоритм</w:t>
      </w:r>
      <w:r w:rsidRPr="00916B3A">
        <w:rPr>
          <w:rFonts w:ascii="Times New Roman" w:hAnsi="Times New Roman" w:cs="Times New Roman"/>
          <w:sz w:val="28"/>
          <w:szCs w:val="28"/>
        </w:rPr>
        <w:t>. По итогам реализации данного методологического подхода в фина</w:t>
      </w:r>
      <w:r w:rsidR="0006521B" w:rsidRPr="00916B3A">
        <w:rPr>
          <w:rFonts w:ascii="Times New Roman" w:hAnsi="Times New Roman" w:cs="Times New Roman"/>
          <w:sz w:val="28"/>
          <w:szCs w:val="28"/>
        </w:rPr>
        <w:t>льную версию прогностического алгоритма</w:t>
      </w:r>
      <w:r w:rsidR="007A7038" w:rsidRPr="00916B3A">
        <w:rPr>
          <w:rFonts w:ascii="Times New Roman" w:hAnsi="Times New Roman" w:cs="Times New Roman"/>
          <w:sz w:val="28"/>
          <w:szCs w:val="28"/>
        </w:rPr>
        <w:t xml:space="preserve"> были включены 2</w:t>
      </w:r>
      <w:r w:rsidRPr="00916B3A">
        <w:rPr>
          <w:rFonts w:ascii="Times New Roman" w:hAnsi="Times New Roman" w:cs="Times New Roman"/>
          <w:sz w:val="28"/>
          <w:szCs w:val="28"/>
        </w:rPr>
        <w:t xml:space="preserve"> маркера: «</w:t>
      </w:r>
      <w:r w:rsidR="007A7038" w:rsidRPr="00916B3A">
        <w:rPr>
          <w:rFonts w:ascii="Times New Roman" w:hAnsi="Times New Roman" w:cs="Times New Roman"/>
          <w:sz w:val="28"/>
          <w:szCs w:val="28"/>
        </w:rPr>
        <w:t xml:space="preserve">снижении </w:t>
      </w:r>
      <w:r w:rsidR="007A7038" w:rsidRPr="00916B3A">
        <w:rPr>
          <w:rFonts w:ascii="Times New Roman" w:hAnsi="Times New Roman" w:cs="Times New Roman"/>
          <w:iCs/>
          <w:color w:val="000000"/>
          <w:sz w:val="28"/>
          <w:szCs w:val="28"/>
        </w:rPr>
        <w:t>экспрессия CXCL1 (p=0,005) и C4BPA (p=0,03) генов эндометрия</w:t>
      </w:r>
      <w:r w:rsidRPr="00916B3A">
        <w:rPr>
          <w:rFonts w:ascii="Times New Roman" w:hAnsi="Times New Roman" w:cs="Times New Roman"/>
          <w:sz w:val="28"/>
          <w:szCs w:val="28"/>
        </w:rPr>
        <w:t xml:space="preserve">», «уровень экспрессии </w:t>
      </w:r>
      <w:r w:rsidR="007A7038" w:rsidRPr="00916B3A">
        <w:rPr>
          <w:rFonts w:ascii="Times New Roman" w:hAnsi="Times New Roman" w:cs="Times New Roman"/>
          <w:iCs/>
          <w:color w:val="000000"/>
          <w:sz w:val="28"/>
          <w:szCs w:val="28"/>
        </w:rPr>
        <w:t>IL-15</w:t>
      </w:r>
      <w:r w:rsidRPr="00916B3A">
        <w:rPr>
          <w:rFonts w:ascii="Times New Roman" w:hAnsi="Times New Roman" w:cs="Times New Roman"/>
          <w:sz w:val="28"/>
          <w:szCs w:val="28"/>
        </w:rPr>
        <w:t xml:space="preserve">». Суммарное количество клинических наблюдений, </w:t>
      </w:r>
      <w:r w:rsidR="005F44BA" w:rsidRPr="00916B3A">
        <w:rPr>
          <w:rFonts w:ascii="Times New Roman" w:hAnsi="Times New Roman" w:cs="Times New Roman"/>
          <w:sz w:val="28"/>
          <w:szCs w:val="28"/>
        </w:rPr>
        <w:t>вошедших в ана</w:t>
      </w:r>
      <w:r w:rsidR="007A7038" w:rsidRPr="00916B3A">
        <w:rPr>
          <w:rFonts w:ascii="Times New Roman" w:hAnsi="Times New Roman" w:cs="Times New Roman"/>
          <w:sz w:val="28"/>
          <w:szCs w:val="28"/>
        </w:rPr>
        <w:t>лиз, составило 53</w:t>
      </w:r>
      <w:r w:rsidRPr="00916B3A">
        <w:rPr>
          <w:rFonts w:ascii="Times New Roman" w:hAnsi="Times New Roman" w:cs="Times New Roman"/>
          <w:sz w:val="28"/>
          <w:szCs w:val="28"/>
        </w:rPr>
        <w:t xml:space="preserve"> случа</w:t>
      </w:r>
      <w:r w:rsidR="00C47DC0" w:rsidRPr="00916B3A">
        <w:rPr>
          <w:rFonts w:ascii="Times New Roman" w:hAnsi="Times New Roman" w:cs="Times New Roman"/>
          <w:sz w:val="28"/>
          <w:szCs w:val="28"/>
        </w:rPr>
        <w:t>я</w:t>
      </w:r>
      <w:r w:rsidRPr="00916B3A">
        <w:rPr>
          <w:rFonts w:ascii="Times New Roman" w:hAnsi="Times New Roman" w:cs="Times New Roman"/>
          <w:sz w:val="28"/>
          <w:szCs w:val="28"/>
        </w:rPr>
        <w:t>.</w:t>
      </w:r>
    </w:p>
    <w:p w14:paraId="2643A3F8" w14:textId="77777777" w:rsidR="00C47DC0" w:rsidRPr="00916B3A" w:rsidRDefault="00C47DC0" w:rsidP="004908BA">
      <w:pPr>
        <w:spacing w:after="0" w:line="240" w:lineRule="auto"/>
        <w:ind w:firstLine="567"/>
        <w:jc w:val="both"/>
        <w:rPr>
          <w:rFonts w:ascii="Times New Roman" w:hAnsi="Times New Roman" w:cs="Times New Roman"/>
          <w:sz w:val="28"/>
          <w:szCs w:val="28"/>
        </w:rPr>
      </w:pPr>
    </w:p>
    <w:p w14:paraId="0CE2A0BC" w14:textId="65CB974E" w:rsidR="00CE0497" w:rsidRPr="00916B3A" w:rsidRDefault="00E53493" w:rsidP="00807117">
      <w:pPr>
        <w:spacing w:after="0" w:line="240" w:lineRule="auto"/>
        <w:jc w:val="center"/>
        <w:rPr>
          <w:rFonts w:ascii="Times New Roman" w:hAnsi="Times New Roman" w:cs="Times New Roman"/>
          <w:sz w:val="28"/>
          <w:szCs w:val="28"/>
        </w:rPr>
      </w:pPr>
      <w:r w:rsidRPr="00916B3A">
        <w:rPr>
          <w:rFonts w:ascii="Times New Roman" w:hAnsi="Times New Roman" w:cs="Times New Roman"/>
          <w:noProof/>
          <w:sz w:val="24"/>
          <w:szCs w:val="24"/>
          <w:lang w:eastAsia="ru-RU"/>
        </w:rPr>
        <w:drawing>
          <wp:inline distT="0" distB="0" distL="0" distR="0" wp14:anchorId="770D770F" wp14:editId="3524BF8F">
            <wp:extent cx="5180632" cy="4635062"/>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8218" cy="4659743"/>
                    </a:xfrm>
                    <a:prstGeom prst="rect">
                      <a:avLst/>
                    </a:prstGeom>
                  </pic:spPr>
                </pic:pic>
              </a:graphicData>
            </a:graphic>
          </wp:inline>
        </w:drawing>
      </w:r>
    </w:p>
    <w:p w14:paraId="6A05AD8B" w14:textId="77777777" w:rsidR="00807117" w:rsidRDefault="00807117" w:rsidP="00FE21CC">
      <w:pPr>
        <w:pStyle w:val="aff6"/>
        <w:shd w:val="clear" w:color="auto" w:fill="FFFFFF" w:themeFill="background1"/>
        <w:spacing w:after="0"/>
        <w:ind w:left="0"/>
        <w:jc w:val="center"/>
        <w:outlineLvl w:val="0"/>
      </w:pPr>
    </w:p>
    <w:p w14:paraId="6B555653" w14:textId="6DBE8FC6" w:rsidR="00E53493" w:rsidRPr="00916B3A" w:rsidRDefault="00E53493" w:rsidP="00FE21CC">
      <w:pPr>
        <w:pStyle w:val="aff6"/>
        <w:shd w:val="clear" w:color="auto" w:fill="FFFFFF" w:themeFill="background1"/>
        <w:spacing w:after="0"/>
        <w:ind w:left="0"/>
        <w:jc w:val="center"/>
        <w:outlineLvl w:val="0"/>
      </w:pPr>
      <w:r w:rsidRPr="00916B3A">
        <w:t xml:space="preserve">Рисунок 10 – Алгоритм ведения пациенток с бесплодием, обусловленным </w:t>
      </w:r>
      <w:r w:rsidRPr="00916B3A">
        <w:rPr>
          <w:lang w:val="kk-KZ"/>
        </w:rPr>
        <w:t>тонким эндометрием</w:t>
      </w:r>
      <w:r w:rsidRPr="00916B3A">
        <w:t xml:space="preserve"> и неудачными попытками переноса эмбрионов в анамнезе</w:t>
      </w:r>
    </w:p>
    <w:p w14:paraId="4C39DE73" w14:textId="77777777" w:rsidR="00481050" w:rsidRDefault="00481050" w:rsidP="005F44BA">
      <w:pPr>
        <w:spacing w:after="0" w:line="240" w:lineRule="auto"/>
        <w:ind w:firstLine="567"/>
        <w:jc w:val="both"/>
        <w:rPr>
          <w:rFonts w:ascii="Times New Roman" w:hAnsi="Times New Roman" w:cs="Times New Roman"/>
          <w:b/>
          <w:sz w:val="28"/>
          <w:szCs w:val="28"/>
        </w:rPr>
      </w:pPr>
    </w:p>
    <w:p w14:paraId="4A794355" w14:textId="43AFD98D" w:rsidR="00CE0497" w:rsidRPr="00916B3A" w:rsidRDefault="00CE0497" w:rsidP="005536C0">
      <w:pPr>
        <w:spacing w:after="0" w:line="240" w:lineRule="auto"/>
        <w:ind w:firstLine="567"/>
        <w:jc w:val="both"/>
        <w:rPr>
          <w:rFonts w:ascii="Times New Roman" w:hAnsi="Times New Roman" w:cs="Times New Roman"/>
          <w:b/>
          <w:sz w:val="28"/>
          <w:szCs w:val="28"/>
        </w:rPr>
      </w:pPr>
      <w:r w:rsidRPr="00916B3A">
        <w:rPr>
          <w:rFonts w:ascii="Times New Roman" w:hAnsi="Times New Roman" w:cs="Times New Roman"/>
          <w:b/>
          <w:sz w:val="28"/>
          <w:szCs w:val="28"/>
        </w:rPr>
        <w:t>4.2 Обсуждение результатов исследования</w:t>
      </w:r>
    </w:p>
    <w:p w14:paraId="372BEC89" w14:textId="40278154" w:rsidR="009C1BD3" w:rsidRPr="00916B3A" w:rsidRDefault="009C1BD3" w:rsidP="005536C0">
      <w:pPr>
        <w:spacing w:after="0" w:line="240" w:lineRule="auto"/>
        <w:ind w:firstLine="567"/>
        <w:jc w:val="both"/>
        <w:rPr>
          <w:rFonts w:ascii="Times New Roman" w:hAnsi="Times New Roman" w:cs="Times New Roman"/>
          <w:sz w:val="28"/>
          <w:szCs w:val="28"/>
        </w:rPr>
      </w:pPr>
      <w:r w:rsidRPr="00916B3A">
        <w:rPr>
          <w:rFonts w:ascii="Times New Roman" w:hAnsi="Times New Roman" w:cs="Times New Roman"/>
          <w:sz w:val="28"/>
          <w:szCs w:val="28"/>
        </w:rPr>
        <w:t xml:space="preserve">Анализ факторов риска развития рецидивов потери беременности и неудач имплантации показал, </w:t>
      </w:r>
      <w:r w:rsidRPr="00916B3A">
        <w:rPr>
          <w:rFonts w:ascii="Times New Roman" w:hAnsi="Times New Roman" w:cs="Times New Roman"/>
          <w:bCs/>
          <w:color w:val="231F20"/>
          <w:spacing w:val="-6"/>
          <w:sz w:val="28"/>
          <w:szCs w:val="28"/>
          <w:lang w:val="kk-KZ"/>
        </w:rPr>
        <w:t xml:space="preserve">что нарушения </w:t>
      </w:r>
      <w:r w:rsidR="00717719" w:rsidRPr="00916B3A">
        <w:rPr>
          <w:rFonts w:ascii="Times New Roman" w:hAnsi="Times New Roman" w:cs="Times New Roman"/>
          <w:bCs/>
          <w:color w:val="231F20"/>
          <w:spacing w:val="-6"/>
          <w:sz w:val="28"/>
          <w:szCs w:val="28"/>
          <w:lang w:val="kk-KZ"/>
        </w:rPr>
        <w:t>рецептивности существенно</w:t>
      </w:r>
      <w:r w:rsidRPr="00916B3A">
        <w:rPr>
          <w:rFonts w:ascii="Times New Roman" w:hAnsi="Times New Roman" w:cs="Times New Roman"/>
          <w:bCs/>
          <w:color w:val="231F20"/>
          <w:spacing w:val="-6"/>
          <w:sz w:val="28"/>
          <w:szCs w:val="28"/>
          <w:lang w:val="kk-KZ"/>
        </w:rPr>
        <w:t xml:space="preserve"> влияют на частоту наступления беременности и рождения живых детей в программах ВРТ. </w:t>
      </w:r>
    </w:p>
    <w:p w14:paraId="18A55E4A" w14:textId="4FDA0958" w:rsidR="00962E5C" w:rsidRPr="00916B3A" w:rsidRDefault="00962E5C" w:rsidP="005536C0">
      <w:pPr>
        <w:spacing w:after="0" w:line="240" w:lineRule="auto"/>
        <w:ind w:firstLine="567"/>
        <w:jc w:val="both"/>
        <w:rPr>
          <w:rFonts w:ascii="Times New Roman" w:hAnsi="Times New Roman" w:cs="Times New Roman"/>
          <w:sz w:val="28"/>
          <w:szCs w:val="28"/>
        </w:rPr>
      </w:pPr>
      <w:r w:rsidRPr="00916B3A">
        <w:rPr>
          <w:rFonts w:ascii="Times New Roman" w:eastAsia="Arial Unicode MS" w:hAnsi="Times New Roman" w:cs="Times New Roman"/>
          <w:color w:val="000000"/>
          <w:sz w:val="28"/>
          <w:szCs w:val="28"/>
          <w:u w:color="000000"/>
          <w:bdr w:val="nil"/>
        </w:rPr>
        <w:t>Внедрение Государственной программы «</w:t>
      </w:r>
      <w:r w:rsidRPr="00916B3A">
        <w:rPr>
          <w:rFonts w:ascii="Times New Roman" w:eastAsia="Arial Unicode MS" w:hAnsi="Times New Roman" w:cs="Times New Roman"/>
          <w:color w:val="000000"/>
          <w:sz w:val="28"/>
          <w:szCs w:val="28"/>
          <w:u w:color="000000"/>
          <w:bdr w:val="nil"/>
          <w:lang w:val="kk-KZ"/>
        </w:rPr>
        <w:t>Ансаған сәби</w:t>
      </w:r>
      <w:r w:rsidRPr="00916B3A">
        <w:rPr>
          <w:rFonts w:ascii="Times New Roman" w:eastAsia="Arial Unicode MS" w:hAnsi="Times New Roman" w:cs="Times New Roman"/>
          <w:color w:val="000000"/>
          <w:sz w:val="28"/>
          <w:szCs w:val="28"/>
          <w:u w:color="000000"/>
          <w:bdr w:val="nil"/>
        </w:rPr>
        <w:t>» с повышением квот на процедуру ЭКО позволило расширить доступ к медицинской помощи супружеским парам.  В 2021 году увеличилась обращаемость пациенток с более благоприятным анамнезом, позволяющим увеличить шансы на успешность процедуры ЭКО, к таким факторам относятся - более молодой возраст, наличие трубного фактора как причины бесплодия.  Однако, несмотря на вышеперечисленные благоприятные факторы, результативность ЭКО колеблется на уровне 29-30%, что на 19,5% ниже среднереспубликанского уровня (48,5%)</w:t>
      </w:r>
      <w:r w:rsidRPr="00916B3A">
        <w:rPr>
          <w:rFonts w:ascii="Times New Roman" w:eastAsia="Arial Unicode MS" w:hAnsi="Times New Roman" w:cs="Times New Roman"/>
          <w:color w:val="000000"/>
          <w:sz w:val="28"/>
          <w:szCs w:val="28"/>
          <w:u w:color="000000"/>
          <w:bdr w:val="nil"/>
        </w:rPr>
        <w:fldChar w:fldCharType="begin" w:fldLock="1"/>
      </w:r>
      <w:r w:rsidR="008C6800">
        <w:rPr>
          <w:rFonts w:ascii="Times New Roman" w:eastAsia="Arial Unicode MS" w:hAnsi="Times New Roman" w:cs="Times New Roman"/>
          <w:color w:val="000000"/>
          <w:sz w:val="28"/>
          <w:szCs w:val="28"/>
          <w:u w:color="000000"/>
          <w:bdr w:val="nil"/>
        </w:rPr>
        <w:instrText>ADDIN CSL_CITATION {"citationItems":[{"id":"ITEM-1","itemData":{"DOI":"10.37800/rm.3.2022.7-14","ISSN":"2303-9949","abstract":"Актуальность: Статья содержит сводные данные о проведенных в 2019 г. программах вспомогательных репродуктивных технологий (ВРТ) в клиниках Казахстана, занимающихся лечением бесплодия. Цель исследования - проанализировать структуру и исходы зарегистрированных циклов ВРТ, проведенных в Республике Казахстан в течение 2019 г. с 1 января по 31 декабря. Методы: Проведен дескриптивный анализ данных из отчетов, зарегистрированных Казахстанской Ассоциации Репродуктивной Медицины (КАРМ) за период с 1 января по 31 декабря 2019 г. Отчеты включали в себя данные о циклах ЭКО, ИКСИ, криопереносах эмбрионов, суррогатного материнства, преимплантационных генетических тестов и донорства яйцеклеток. Результаты: В общей сложности за 2019 г. были зарегистрированы 15,552 циклов лечения с помощью ВРТ, в результате которых родились 4042 новорожденных. Доступность лечения с помощью ВРТ составила 835,1 циклов на 1 млн населения. Заключение: Таким образом, по данным регистра в 2019 г. число программ ВРТ увеличилось на 13,7%. Сбор данных был проведен добровольно, в регистре приняли участие 18 клиник, что составило 78,2%, от числа работавших в стране на 31 декабря 2019 г., а доля полученных данных составила 95%.","author":[{"dropping-particle":"","family":"Локшин","given":"В.Н.","non-dropping-particle":"","parse-names":false,"suffix":""},{"dropping-particle":"","family":"Сулейменова","given":"М.Д.","non-dropping-particle":"","parse-names":false,"suffix":""},{"dropping-particle":"","family":"Карибаева","given":"Ш.К.","non-dropping-particle":"","parse-names":false,"suffix":""},{"dropping-particle":"","family":"Джусбалиева","given":"Т.М.","non-dropping-particle":"","parse-names":false,"suffix":""},{"dropping-particle":"","family":"Байкошкарова","given":"Б.С.","non-dropping-particle":"","parse-names":false,"suffix":""},{"dropping-particle":"","family":"Отарбаев","given":"М.К.","non-dropping-particle":"","parse-names":false,"suffix":""},{"dropping-particle":"","family":"Ахметова","given":"А.А.","non-dropping-particle":"","parse-names":false,"suffix":""},{"dropping-particle":"","family":"Покотило","given":"Л.И.","non-dropping-particle":"","parse-names":false,"suffix":""},{"dropping-particle":"","family":"Макишева","given":"А.Т.","non-dropping-particle":"","parse-names":false,"suffix":""},{"dropping-particle":"","family":"Тарарака","given":"К.С.","non-dropping-particle":"","parse-names":false,"suffix":""},{"dropping-particle":"","family":"Тарарака","given":"С.С.","non-dropping-particle":"","parse-names":false,"suffix":""},{"dropping-particle":"","family":"Чалова","given":"Л.Р.","non-dropping-particle":"","parse-names":false,"suffix":""},{"dropping-particle":"","family":"Ким","given":"В.В.","non-dropping-particle":"","parse-names":false,"suffix":""},{"dropping-particle":"","family":"Молбаев","given":"А.Т.","non-dropping-particle":"","parse-names":false,"suffix":""},{"dropping-particle":"","family":"Имтосими","given":"Д.Г.","non-dropping-particle":"","parse-names":false,"suffix":""},{"dropping-particle":"","family":"Лапина","given":"Е.В.","non-dropping-particle":"","parse-names":false,"suffix":""}],"container-title":"Reproductive Medicine","id":"ITEM-1","issue":"3(52)","issued":{"date-parts":[["2022"]]},"page":"7-14","title":"Вспомогательные Репродуктивные Технологии В Казахстане За 2019 Год: Данные Национального Регистра","type":"article-journal","volume":"3"},"uris":["http://www.mendeley.com/documents/?uuid=2129e4f1-e63b-4db7-817d-7e7b308de5b5"]}],"mendeley":{"formattedCitation":"[18]","plainTextFormattedCitation":"[18]","previouslyFormattedCitation":"(18)"},"properties":{"noteIndex":0},"schema":"https://github.com/citation-style-language/schema/raw/master/csl-citation.json"}</w:instrText>
      </w:r>
      <w:r w:rsidRPr="00916B3A">
        <w:rPr>
          <w:rFonts w:ascii="Times New Roman" w:eastAsia="Arial Unicode MS" w:hAnsi="Times New Roman" w:cs="Times New Roman"/>
          <w:color w:val="000000"/>
          <w:sz w:val="28"/>
          <w:szCs w:val="28"/>
          <w:u w:color="000000"/>
          <w:bdr w:val="nil"/>
        </w:rPr>
        <w:fldChar w:fldCharType="separate"/>
      </w:r>
      <w:r w:rsidR="008C6800" w:rsidRPr="008C6800">
        <w:rPr>
          <w:rFonts w:ascii="Times New Roman" w:eastAsia="Arial Unicode MS" w:hAnsi="Times New Roman" w:cs="Times New Roman"/>
          <w:noProof/>
          <w:color w:val="000000"/>
          <w:sz w:val="28"/>
          <w:szCs w:val="28"/>
          <w:u w:color="000000"/>
          <w:bdr w:val="nil"/>
        </w:rPr>
        <w:t>[18</w:t>
      </w:r>
      <w:r w:rsidR="001231A3">
        <w:rPr>
          <w:rFonts w:ascii="Times New Roman" w:eastAsia="Arial Unicode MS" w:hAnsi="Times New Roman" w:cs="Times New Roman"/>
          <w:noProof/>
          <w:color w:val="000000"/>
          <w:sz w:val="28"/>
          <w:szCs w:val="28"/>
          <w:u w:color="000000"/>
          <w:bdr w:val="nil"/>
        </w:rPr>
        <w:t>, с. 7</w:t>
      </w:r>
      <w:r w:rsidR="008C6800" w:rsidRPr="008C6800">
        <w:rPr>
          <w:rFonts w:ascii="Times New Roman" w:eastAsia="Arial Unicode MS" w:hAnsi="Times New Roman" w:cs="Times New Roman"/>
          <w:noProof/>
          <w:color w:val="000000"/>
          <w:sz w:val="28"/>
          <w:szCs w:val="28"/>
          <w:u w:color="000000"/>
          <w:bdr w:val="nil"/>
        </w:rPr>
        <w:t>]</w:t>
      </w:r>
      <w:r w:rsidRPr="00916B3A">
        <w:rPr>
          <w:rFonts w:ascii="Times New Roman" w:eastAsia="Arial Unicode MS" w:hAnsi="Times New Roman" w:cs="Times New Roman"/>
          <w:color w:val="000000"/>
          <w:sz w:val="28"/>
          <w:szCs w:val="28"/>
          <w:u w:color="000000"/>
          <w:bdr w:val="nil"/>
        </w:rPr>
        <w:fldChar w:fldCharType="end"/>
      </w:r>
      <w:r w:rsidRPr="00916B3A">
        <w:rPr>
          <w:rFonts w:ascii="Times New Roman" w:eastAsia="Arial Unicode MS" w:hAnsi="Times New Roman" w:cs="Times New Roman"/>
          <w:color w:val="000000"/>
          <w:sz w:val="28"/>
          <w:szCs w:val="28"/>
          <w:u w:color="000000"/>
          <w:bdr w:val="nil"/>
        </w:rPr>
        <w:t xml:space="preserve">. Это связано с проблемой недообследования пациенток перед вступлением в процедуру ЭКО. Среди причин потерь беременности после ЭКО особое значение имеют тромбофилии, в первую очередь, приобретенные, связанные с носительством антител к ХГЧ, антифосфолипидным синдромом или же транзиторным носительством антифосфолипидных антител </w:t>
      </w:r>
      <w:r w:rsidRPr="00916B3A">
        <w:rPr>
          <w:rFonts w:ascii="Times New Roman" w:eastAsia="Arial Unicode MS" w:hAnsi="Times New Roman" w:cs="Times New Roman"/>
          <w:color w:val="000000"/>
          <w:sz w:val="28"/>
          <w:szCs w:val="28"/>
          <w:u w:color="000000"/>
          <w:bdr w:val="nil"/>
        </w:rPr>
        <w:fldChar w:fldCharType="begin" w:fldLock="1"/>
      </w:r>
      <w:r w:rsidR="001231A3">
        <w:rPr>
          <w:rFonts w:ascii="Times New Roman" w:eastAsia="Arial Unicode MS" w:hAnsi="Times New Roman" w:cs="Times New Roman"/>
          <w:color w:val="000000"/>
          <w:sz w:val="28"/>
          <w:szCs w:val="28"/>
          <w:u w:color="000000"/>
          <w:bdr w:val="nil"/>
        </w:rPr>
        <w:instrText>ADDIN CSL_CITATION {"citationItems":[{"id":"ITEM-1","itemData":{"DOI":"10.1097/BOR.0000000000000926","ISBN":"0000000000000","ISSN":"15316963","PMID":"36580355","abstract":"Purpose of reviewAntiphospholipid syndrome (APS) is an acquired thrombo-inflammatory disease associated with diverse clinical manifestations in the setting of persistently circulating antiphospholipid antibodies (aPL). This review summarizes recent developments in our understanding of the pathogenesis of APS and its various clinical manifestations with a focus on the activation of endothelial cells, complement, and neutrophils.Recent findingsElucidating the pathophysiology that leads to the diverse array of clinical manifestations of APS is an area of active exploration. Here, we highlight recent studies that have explored various impacts of endothelial activation and injury in APS, including the promotion of circulating endothelial cells and extracellular vesicles; the association between complement activity and different APS phenotypes, including pregnancy loss; and the relationship between neutrophil extracellular traps (NETs) and high-risk aPL profiles in thrombotic APS. We also call attention to recent work that proposes approaches to mitigating these pathologic changes as potential treatment strategies for APS. Lastly, we highlight promising future directions in APS research, such as multiomics approaches to molecularly stratifying APS patients.SummaryThe identification of novel aspects of pathogenesis and more nuanced approaches to phenotyping patients will hopefully pave the way for developing safer and more effective patient-specific therapeutic strategies for APS.","author":[{"dropping-particle":"","family":"Ambati","given":"Amala","non-dropping-particle":"","parse-names":false,"suffix":""},{"dropping-particle":"","family":"Zuo","given":"Yu","non-dropping-particle":"","parse-names":false,"suffix":""},{"dropping-particle":"","family":"Knight","given":"Jason S.","non-dropping-particle":"","parse-names":false,"suffix":""}],"container-title":"Current Opinion in Rheumatology","id":"ITEM-1","issue":"2","issued":{"date-parts":[["2023"]]},"page":"89-97","title":"An update on inflammation in antiphospholipid syndrome","type":"article-journal","volume":"35"},"uris":["http://www.mendeley.com/documents/?uuid=7398f00e-1599-4112-a889-596c8eab27c6"]}],"mendeley":{"formattedCitation":"[125]","manualFormatting":"[125,126]","plainTextFormattedCitation":"[125]","previouslyFormattedCitation":"(125)"},"properties":{"noteIndex":0},"schema":"https://github.com/citation-style-language/schema/raw/master/csl-citation.json"}</w:instrText>
      </w:r>
      <w:r w:rsidRPr="00916B3A">
        <w:rPr>
          <w:rFonts w:ascii="Times New Roman" w:eastAsia="Arial Unicode MS" w:hAnsi="Times New Roman" w:cs="Times New Roman"/>
          <w:color w:val="000000"/>
          <w:sz w:val="28"/>
          <w:szCs w:val="28"/>
          <w:u w:color="000000"/>
          <w:bdr w:val="nil"/>
        </w:rPr>
        <w:fldChar w:fldCharType="separate"/>
      </w:r>
      <w:r w:rsidR="008C6800" w:rsidRPr="008C6800">
        <w:rPr>
          <w:rFonts w:ascii="Times New Roman" w:eastAsia="Arial Unicode MS" w:hAnsi="Times New Roman" w:cs="Times New Roman"/>
          <w:noProof/>
          <w:color w:val="000000"/>
          <w:sz w:val="28"/>
          <w:szCs w:val="28"/>
          <w:u w:color="000000"/>
          <w:bdr w:val="nil"/>
        </w:rPr>
        <w:t>[125</w:t>
      </w:r>
      <w:r w:rsidR="001231A3">
        <w:rPr>
          <w:rFonts w:ascii="Times New Roman" w:eastAsia="Arial Unicode MS" w:hAnsi="Times New Roman" w:cs="Times New Roman"/>
          <w:noProof/>
          <w:color w:val="000000"/>
          <w:sz w:val="28"/>
          <w:szCs w:val="28"/>
          <w:u w:color="000000"/>
          <w:bdr w:val="nil"/>
        </w:rPr>
        <w:t>,</w:t>
      </w:r>
      <w:r w:rsidR="001231A3" w:rsidRPr="008C6800">
        <w:rPr>
          <w:rFonts w:ascii="Times New Roman" w:eastAsia="Arial Unicode MS" w:hAnsi="Times New Roman" w:cs="Times New Roman"/>
          <w:noProof/>
          <w:color w:val="000000"/>
          <w:sz w:val="28"/>
          <w:szCs w:val="28"/>
          <w:u w:color="000000"/>
          <w:bdr w:val="nil"/>
        </w:rPr>
        <w:t>126</w:t>
      </w:r>
      <w:r w:rsidR="008C6800" w:rsidRPr="008C6800">
        <w:rPr>
          <w:rFonts w:ascii="Times New Roman" w:eastAsia="Arial Unicode MS" w:hAnsi="Times New Roman" w:cs="Times New Roman"/>
          <w:noProof/>
          <w:color w:val="000000"/>
          <w:sz w:val="28"/>
          <w:szCs w:val="28"/>
          <w:u w:color="000000"/>
          <w:bdr w:val="nil"/>
        </w:rPr>
        <w:t>]</w:t>
      </w:r>
      <w:r w:rsidRPr="00916B3A">
        <w:rPr>
          <w:rFonts w:ascii="Times New Roman" w:eastAsia="Arial Unicode MS" w:hAnsi="Times New Roman" w:cs="Times New Roman"/>
          <w:color w:val="000000"/>
          <w:sz w:val="28"/>
          <w:szCs w:val="28"/>
          <w:u w:color="000000"/>
          <w:bdr w:val="nil"/>
        </w:rPr>
        <w:fldChar w:fldCharType="end"/>
      </w:r>
      <w:r w:rsidRPr="00916B3A">
        <w:rPr>
          <w:rFonts w:ascii="Times New Roman" w:eastAsia="Arial Unicode MS" w:hAnsi="Times New Roman" w:cs="Times New Roman"/>
          <w:color w:val="000000"/>
          <w:sz w:val="28"/>
          <w:szCs w:val="28"/>
          <w:u w:color="000000"/>
          <w:bdr w:val="nil"/>
        </w:rPr>
        <w:t xml:space="preserve">.  </w:t>
      </w:r>
    </w:p>
    <w:p w14:paraId="1B1EFAED" w14:textId="77777777" w:rsidR="00962E5C" w:rsidRPr="00916B3A" w:rsidRDefault="00962E5C" w:rsidP="00FE21CC">
      <w:pPr>
        <w:spacing w:after="0" w:line="240" w:lineRule="auto"/>
        <w:ind w:firstLine="426"/>
        <w:jc w:val="both"/>
        <w:rPr>
          <w:rFonts w:ascii="Times New Roman" w:eastAsia="Arial Unicode MS" w:hAnsi="Times New Roman" w:cs="Times New Roman"/>
          <w:color w:val="000000"/>
          <w:sz w:val="28"/>
          <w:szCs w:val="28"/>
          <w:u w:color="000000"/>
          <w:bdr w:val="nil"/>
        </w:rPr>
      </w:pPr>
      <w:r w:rsidRPr="00916B3A">
        <w:rPr>
          <w:rFonts w:ascii="Times New Roman" w:eastAsia="Arial Unicode MS" w:hAnsi="Times New Roman" w:cs="Times New Roman"/>
          <w:color w:val="000000"/>
          <w:sz w:val="28"/>
          <w:szCs w:val="28"/>
          <w:u w:color="000000"/>
          <w:bdr w:val="nil"/>
        </w:rPr>
        <w:t xml:space="preserve">Согласно результатам систематического обзора, у женщин с более низкой толщиной эндометрия частота наступления беременности и рождения живых детей была ниже, чем у женщин с более высокой толщиной, независимо от того, был ли проведен свежий или замороженный цикл. </w:t>
      </w:r>
    </w:p>
    <w:p w14:paraId="0E8D18DD" w14:textId="77777777" w:rsidR="00962E5C" w:rsidRPr="00916B3A" w:rsidRDefault="00962E5C" w:rsidP="00FE21CC">
      <w:pPr>
        <w:spacing w:after="0" w:line="240" w:lineRule="auto"/>
        <w:ind w:firstLine="426"/>
        <w:jc w:val="both"/>
        <w:rPr>
          <w:rFonts w:ascii="Times New Roman" w:hAnsi="Times New Roman" w:cs="Times New Roman"/>
          <w:bCs/>
          <w:color w:val="000000" w:themeColor="text1"/>
          <w:sz w:val="28"/>
          <w:szCs w:val="28"/>
        </w:rPr>
      </w:pPr>
      <w:r w:rsidRPr="00916B3A">
        <w:rPr>
          <w:rFonts w:ascii="Times New Roman" w:hAnsi="Times New Roman" w:cs="Times New Roman"/>
          <w:bCs/>
          <w:color w:val="000000" w:themeColor="text1"/>
          <w:sz w:val="28"/>
          <w:szCs w:val="28"/>
        </w:rPr>
        <w:t xml:space="preserve">В ходе ретроспективного анализа 279 женщин, прошедших процедуру ЭКО-ИКСИ, мы отметили, что толщина эндометрия значительно влияет на вероятность наступления беременности. Результаты логистического регрессионного анализа показали, что среди множества факторов, влияющих на наступление беременности, толщина эндометрия неизменно оказывается одним из наиболее значимых. У пациенток 1-й и 2-й групп вероятность наступления беременности была ниже, чем у пациенток 3-й группы, у которых толщина эндометрия на день сдачи ХГЧ была равна или превышала 7 мм. Полученные данные свидетельствуют о том, что оптимальная толщина эндометрия, как показано в группе 3, может быть связана с улучшением исходов беременности при процедуре ЭКО-ИКСИ. </w:t>
      </w:r>
    </w:p>
    <w:p w14:paraId="55FF83B1" w14:textId="15F82F84" w:rsidR="00962E5C" w:rsidRPr="00916B3A" w:rsidRDefault="00962E5C" w:rsidP="00FE21CC">
      <w:pPr>
        <w:pStyle w:val="a9"/>
        <w:shd w:val="clear" w:color="auto" w:fill="FFFFFF"/>
        <w:spacing w:before="0" w:beforeAutospacing="0" w:after="0" w:afterAutospacing="0"/>
        <w:ind w:firstLine="426"/>
        <w:jc w:val="both"/>
        <w:rPr>
          <w:bCs/>
          <w:color w:val="000000" w:themeColor="text1"/>
          <w:sz w:val="28"/>
          <w:szCs w:val="28"/>
        </w:rPr>
      </w:pPr>
      <w:r w:rsidRPr="00916B3A">
        <w:rPr>
          <w:rFonts w:eastAsia="Arial Unicode MS"/>
          <w:color w:val="000000" w:themeColor="text1"/>
          <w:sz w:val="28"/>
          <w:szCs w:val="28"/>
          <w:u w:color="000000"/>
          <w:bdr w:val="nil"/>
        </w:rPr>
        <w:t xml:space="preserve">Адекватная толщина эндометрия имеет решающее значение для успешной имплантации и развития эмбриона. Наблюдаемая связь между толщиной эндометрия и наступлением беременности подчеркивает необходимость тщательного мониторинга и оптимизации состояния эндометрия во время циклов ЭКО-ИКСИ. Несмотря на то, что это выходит за рамки настоящего исследования, стратегии сохранения фертильности, такие как витрификация ооцитов, становятся все более важными для женщин, которые ищут щадящие методы лечения, чтобы сохранить свой репродуктивный потенциал </w:t>
      </w:r>
      <w:r w:rsidRPr="00916B3A">
        <w:rPr>
          <w:rFonts w:eastAsia="Arial Unicode MS"/>
          <w:color w:val="000000"/>
          <w:sz w:val="28"/>
          <w:szCs w:val="28"/>
          <w:u w:color="000000"/>
          <w:bdr w:val="nil"/>
        </w:rPr>
        <w:fldChar w:fldCharType="begin" w:fldLock="1"/>
      </w:r>
      <w:r w:rsidR="008C6800">
        <w:rPr>
          <w:rFonts w:eastAsia="Arial Unicode MS"/>
          <w:color w:val="000000"/>
          <w:sz w:val="28"/>
          <w:szCs w:val="28"/>
          <w:u w:color="000000"/>
          <w:bdr w:val="nil"/>
        </w:rPr>
        <w:instrText>ADDIN CSL_CITATION {"citationItems":[{"id":"ITEM-1","itemData":{"DOI":"10.26355/eurrev_202202_28092","ISSN":"22840729","PMID":"35253158","author":[{"dropping-particle":"","family":"Gullo","given":"Giuseppe","non-dropping-particle":"","parse-names":false,"suffix":""},{"dropping-particle":"","family":"Perino","given":"A.","non-dropping-particle":"","parse-names":false,"suffix":""},{"dropping-particle":"","family":"Cucinella","given":"G.","non-dropping-particle":"","parse-names":false,"suffix":""}],"container-title":"European Review for Medical and Pharmacological Sciences","id":"ITEM-1","issue":"4","issued":{"date-parts":[["2022"]]},"page":"1065-1067","title":"Open vs. closed vitrification system: Which one is safer?","type":"article-journal","volume":"26"},"uris":["http://www.mendeley.com/documents/?uuid=c23fbbb6-4fa6-411e-a2d3-23a693062e6a"]}],"mendeley":{"formattedCitation":"[127]","plainTextFormattedCitation":"[127]","previouslyFormattedCitation":"(127)"},"properties":{"noteIndex":0},"schema":"https://github.com/citation-style-language/schema/raw/master/csl-citation.json"}</w:instrText>
      </w:r>
      <w:r w:rsidRPr="00916B3A">
        <w:rPr>
          <w:rFonts w:eastAsia="Arial Unicode MS"/>
          <w:color w:val="000000"/>
          <w:sz w:val="28"/>
          <w:szCs w:val="28"/>
          <w:u w:color="000000"/>
          <w:bdr w:val="nil"/>
        </w:rPr>
        <w:fldChar w:fldCharType="separate"/>
      </w:r>
      <w:r w:rsidR="008C6800" w:rsidRPr="008C6800">
        <w:rPr>
          <w:rFonts w:eastAsia="Arial Unicode MS"/>
          <w:noProof/>
          <w:color w:val="000000"/>
          <w:sz w:val="28"/>
          <w:szCs w:val="28"/>
          <w:u w:color="000000"/>
          <w:bdr w:val="nil"/>
        </w:rPr>
        <w:t>[127]</w:t>
      </w:r>
      <w:r w:rsidRPr="00916B3A">
        <w:rPr>
          <w:rFonts w:eastAsia="Arial Unicode MS"/>
          <w:color w:val="000000"/>
          <w:sz w:val="28"/>
          <w:szCs w:val="28"/>
          <w:u w:color="000000"/>
          <w:bdr w:val="nil"/>
        </w:rPr>
        <w:fldChar w:fldCharType="end"/>
      </w:r>
      <w:r w:rsidRPr="00916B3A">
        <w:rPr>
          <w:rFonts w:eastAsia="Arial Unicode MS"/>
          <w:color w:val="000000"/>
          <w:sz w:val="28"/>
          <w:szCs w:val="28"/>
          <w:u w:color="000000"/>
          <w:bdr w:val="nil"/>
        </w:rPr>
        <w:t xml:space="preserve">. </w:t>
      </w:r>
      <w:r w:rsidRPr="00916B3A">
        <w:rPr>
          <w:rFonts w:eastAsia="Arial Unicode MS"/>
          <w:color w:val="000000" w:themeColor="text1"/>
          <w:sz w:val="28"/>
          <w:szCs w:val="28"/>
          <w:u w:color="000000"/>
          <w:bdr w:val="nil"/>
        </w:rPr>
        <w:t xml:space="preserve"> Витрификация ооцитов дает женщинам возможность гарантировать будущие репродуктивные возможности, особенно если они проходят процедуру ЭКО-ИКСИ в пожилом возрасте или имеют ранее существовавшие проблемы с фертильностью, а также позволяет проводить неинвазивную пренатальную диагностику и отслеживать неонатальные исходы </w:t>
      </w:r>
      <w:r w:rsidRPr="00916B3A">
        <w:rPr>
          <w:rFonts w:eastAsia="Arial Unicode MS"/>
          <w:color w:val="000000"/>
          <w:sz w:val="28"/>
          <w:szCs w:val="28"/>
          <w:u w:color="000000"/>
          <w:bdr w:val="nil"/>
        </w:rPr>
        <w:fldChar w:fldCharType="begin" w:fldLock="1"/>
      </w:r>
      <w:r w:rsidR="008C6800">
        <w:rPr>
          <w:rFonts w:eastAsia="Arial Unicode MS"/>
          <w:color w:val="000000"/>
          <w:sz w:val="28"/>
          <w:szCs w:val="28"/>
          <w:u w:color="000000"/>
          <w:bdr w:val="nil"/>
        </w:rPr>
        <w:instrText>ADDIN CSL_CITATION {"citationItems":[{"id":"ITEM-1","itemData":{"DOI":"10.3390/jpm13010001","ISSN":"20754426","abstract":"Cell-free fetal DNA (cffDNA) analysis is a non-invasive prenatal diagnostic test with a fundamental role for the screening of chromosomic or monogenic pathologies of the fetus. Its administration is performed by fetal DNA detection in the mother’s blood from the fourth week of gestation. Given the great interest regarding its validation as a diagnostic tool, the authors have set out to undertake a critical appraisal based on a wide-ranging narrative review of 45 total studies centered around such techniques. Both chromosomopathies and monogenic diseases were taken into account and systematically discussed and elucidated. Not surprisingly, cell-free fetal DNA analysis for screening purposes is already rather well-established. At the same time, considerable interest in its diagnostic value has emerged from this literature review, which recommends the elaboration of appropriate validation studies, as well as a broad discourse, involving all stakeholders, to address the legal and ethical complexities that such techniques entail.","author":[{"dropping-particle":"","family":"Gullo","given":"Giuseppe","non-dropping-particle":"","parse-names":false,"suffix":""},{"dropping-particle":"","family":"Scaglione","given":"Marco","non-dropping-particle":"","parse-names":false,"suffix":""},{"dropping-particle":"","family":"Buzzaccarini","given":"Giovanni","non-dropping-particle":"","parse-names":false,"suffix":""},{"dropping-particle":"","family":"Laganà","given":"Antonio Simone","non-dropping-particle":"","parse-names":false,"suffix":""},{"dropping-particle":"","family":"Basile","given":"Giuseppe","non-dropping-particle":"","parse-names":false,"suffix":""},{"dropping-particle":"","family":"Chiantera","given":"Vito","non-dropping-particle":"","parse-names":false,"suffix":""},{"dropping-particle":"","family":"Cucinella","given":"Gaspare","non-dropping-particle":"","parse-names":false,"suffix":""},{"dropping-particle":"","family":"Zaami","given":"Simona","non-dropping-particle":"","parse-names":false,"suffix":""}],"container-title":"Journal of Personalized Medicine","id":"ITEM-1","issue":"1","issued":{"date-parts":[["2023"]]},"page":"1-18","title":"Cell-Free Fetal DNA and Non-Invasive Prenatal Diagnosis of Chromosomopathies and Pediatric Monogenic Diseases: A Critical Appraisal and Medicolegal Remarks","type":"article-journal","volume":"13"},"uris":["http://www.mendeley.com/documents/?uuid=1a7fb88c-6519-493c-ae4f-7160e9751389"]}],"mendeley":{"formattedCitation":"[128]","plainTextFormattedCitation":"[128]","previouslyFormattedCitation":"(128)"},"properties":{"noteIndex":0},"schema":"https://github.com/citation-style-language/schema/raw/master/csl-citation.json"}</w:instrText>
      </w:r>
      <w:r w:rsidRPr="00916B3A">
        <w:rPr>
          <w:rFonts w:eastAsia="Arial Unicode MS"/>
          <w:color w:val="000000"/>
          <w:sz w:val="28"/>
          <w:szCs w:val="28"/>
          <w:u w:color="000000"/>
          <w:bdr w:val="nil"/>
        </w:rPr>
        <w:fldChar w:fldCharType="separate"/>
      </w:r>
      <w:r w:rsidR="008C6800" w:rsidRPr="008C6800">
        <w:rPr>
          <w:rFonts w:eastAsia="Arial Unicode MS"/>
          <w:noProof/>
          <w:color w:val="000000"/>
          <w:sz w:val="28"/>
          <w:szCs w:val="28"/>
          <w:u w:color="000000"/>
          <w:bdr w:val="nil"/>
        </w:rPr>
        <w:t>[128]</w:t>
      </w:r>
      <w:r w:rsidRPr="00916B3A">
        <w:rPr>
          <w:rFonts w:eastAsia="Arial Unicode MS"/>
          <w:color w:val="000000"/>
          <w:sz w:val="28"/>
          <w:szCs w:val="28"/>
          <w:u w:color="000000"/>
          <w:bdr w:val="nil"/>
        </w:rPr>
        <w:fldChar w:fldCharType="end"/>
      </w:r>
      <w:r w:rsidRPr="00916B3A">
        <w:rPr>
          <w:rFonts w:eastAsia="Arial Unicode MS"/>
          <w:color w:val="000000"/>
          <w:sz w:val="28"/>
          <w:szCs w:val="28"/>
          <w:u w:color="000000"/>
          <w:bdr w:val="nil"/>
        </w:rPr>
        <w:t xml:space="preserve">. </w:t>
      </w:r>
      <w:r w:rsidRPr="00916B3A">
        <w:rPr>
          <w:rFonts w:eastAsia="Arial Unicode MS"/>
          <w:color w:val="000000" w:themeColor="text1"/>
          <w:sz w:val="28"/>
          <w:szCs w:val="28"/>
          <w:u w:color="000000"/>
          <w:bdr w:val="nil"/>
        </w:rPr>
        <w:t>Включение витрификации ооцитов в финансируемые государством пр</w:t>
      </w:r>
      <w:r w:rsidR="00273C23" w:rsidRPr="00916B3A">
        <w:rPr>
          <w:rFonts w:eastAsia="Arial Unicode MS"/>
          <w:color w:val="000000" w:themeColor="text1"/>
          <w:sz w:val="28"/>
          <w:szCs w:val="28"/>
          <w:u w:color="000000"/>
          <w:bdr w:val="nil"/>
        </w:rPr>
        <w:t>ограммы, такие как «А</w:t>
      </w:r>
      <w:r w:rsidR="00273C23" w:rsidRPr="00916B3A">
        <w:rPr>
          <w:rFonts w:eastAsia="Arial Unicode MS"/>
          <w:color w:val="000000" w:themeColor="text1"/>
          <w:sz w:val="28"/>
          <w:szCs w:val="28"/>
          <w:u w:color="000000"/>
          <w:bdr w:val="nil"/>
          <w:lang w:val="kk-KZ"/>
        </w:rPr>
        <w:t>ңсаған сәби</w:t>
      </w:r>
      <w:r w:rsidRPr="00916B3A">
        <w:rPr>
          <w:rFonts w:eastAsia="Arial Unicode MS"/>
          <w:color w:val="000000" w:themeColor="text1"/>
          <w:sz w:val="28"/>
          <w:szCs w:val="28"/>
          <w:u w:color="000000"/>
          <w:bdr w:val="nil"/>
        </w:rPr>
        <w:t xml:space="preserve">», которые облегчают доступ к ВРТ, потенциально может повысить показатели успешности ЭКО. </w:t>
      </w:r>
      <w:r w:rsidRPr="00916B3A">
        <w:rPr>
          <w:rFonts w:eastAsia="Arial Unicode MS"/>
          <w:color w:val="000000" w:themeColor="text1"/>
          <w:sz w:val="28"/>
          <w:szCs w:val="28"/>
          <w:u w:color="000000"/>
          <w:bdr w:val="nil"/>
          <w:lang w:eastAsia="it-IT"/>
        </w:rPr>
        <w:t xml:space="preserve">Учет толщины эндометрия в качестве ключевого предиктора исхода беременности у предварительно отобранных пациенток, проходящих процедуру ЭКО-ИКСИ, может повысить эффективность программы в плане минимизации факторов риска наступления и потери беременности. В частности, программа может использовать наши результаты для оптимизации критериев отбора пациентов, уточнения протоколов лечения и улучшения стратегий мониторинга для обеспечения оптимального состояния эндометрия во время циклов ЭКО-ИКСИ. </w:t>
      </w:r>
      <w:r w:rsidRPr="00916B3A">
        <w:rPr>
          <w:rFonts w:eastAsia="Arial Unicode MS"/>
          <w:color w:val="000000" w:themeColor="text1"/>
          <w:sz w:val="28"/>
          <w:szCs w:val="28"/>
          <w:u w:color="000000"/>
          <w:bdr w:val="nil"/>
        </w:rPr>
        <w:t>Н</w:t>
      </w:r>
      <w:r w:rsidRPr="00916B3A">
        <w:rPr>
          <w:bCs/>
          <w:color w:val="000000" w:themeColor="text1"/>
          <w:sz w:val="28"/>
          <w:szCs w:val="28"/>
        </w:rPr>
        <w:t>аше исследование показало, что толщина эндометрия является значимым предиктором наступления беременности у женщин, проходящих процедуру ЭКО-ИКСИ. Оптимальная толщина эндометрия, составляющая &lt;7 мм, ассоциируется с улучшением исхода беременности. Клиницистам следует рассмотреть возможность мониторинга и оптимизации состояния эндометрия для повышения успешности циклов ЭКО-ИКСИ. Необходимы дальнейшие исследования для подтверждения наших выводов и изучения дополнительных факторов, влияющих на результаты ЭКО-ИКСИ.</w:t>
      </w:r>
    </w:p>
    <w:p w14:paraId="5CB45ED1" w14:textId="6FC25C2A" w:rsidR="00273C23" w:rsidRPr="00916B3A" w:rsidRDefault="00273C23" w:rsidP="00FE21CC">
      <w:pPr>
        <w:pStyle w:val="a9"/>
        <w:shd w:val="clear" w:color="auto" w:fill="FFFFFF"/>
        <w:spacing w:before="0" w:beforeAutospacing="0" w:after="0" w:afterAutospacing="0"/>
        <w:ind w:firstLine="426"/>
        <w:jc w:val="both"/>
        <w:rPr>
          <w:sz w:val="28"/>
          <w:szCs w:val="28"/>
        </w:rPr>
      </w:pPr>
      <w:r w:rsidRPr="00916B3A">
        <w:rPr>
          <w:sz w:val="28"/>
          <w:szCs w:val="28"/>
        </w:rPr>
        <w:t>При проведении ультразвукового исследования у большинства пациенток основной группы, помимо истончения эндометрия (что является критерием отбора для исследования — толщина М-эхо в день предполагаемого окна имплантации менее 7 мм), были выявлены также изменения его эхо-структуры. У 59,2% пациенток эндометрий оказался эхо-неоднородным, а у 40,8% структура эндометрия не соответствовала фазе менструального цикла.</w:t>
      </w:r>
    </w:p>
    <w:p w14:paraId="4A3A07CF" w14:textId="21ABCCD7" w:rsidR="00273C23" w:rsidRPr="00916B3A" w:rsidRDefault="00273C23" w:rsidP="00FE21CC">
      <w:pPr>
        <w:spacing w:after="0" w:line="240" w:lineRule="auto"/>
        <w:ind w:firstLine="426"/>
        <w:jc w:val="both"/>
        <w:rPr>
          <w:rFonts w:ascii="Times New Roman" w:eastAsia="Times New Roman" w:hAnsi="Times New Roman" w:cs="Times New Roman"/>
          <w:sz w:val="28"/>
          <w:szCs w:val="28"/>
          <w:lang w:eastAsia="ru-RU"/>
        </w:rPr>
      </w:pPr>
      <w:r w:rsidRPr="00916B3A">
        <w:rPr>
          <w:rFonts w:ascii="Times New Roman" w:eastAsia="Times New Roman" w:hAnsi="Times New Roman" w:cs="Times New Roman"/>
          <w:sz w:val="28"/>
          <w:szCs w:val="28"/>
          <w:lang w:eastAsia="ru-RU"/>
        </w:rPr>
        <w:t>Для прогноза имплантационной способности эндометрия наиболее важными являются показатели гемодинамики базальных и спиральных артерий. Однако для точной оценки потенциала эндометрия необходимо учитывать несколько ультразвуковых параметров, а также проводить комплексную оценку его рецептивности с использованием иммуногенетических маркеров имплантации</w:t>
      </w:r>
      <w:r w:rsidRPr="00916B3A">
        <w:rPr>
          <w:rFonts w:ascii="Times New Roman" w:eastAsia="Times New Roman" w:hAnsi="Times New Roman" w:cs="Times New Roman"/>
          <w:sz w:val="28"/>
          <w:szCs w:val="28"/>
          <w:lang w:eastAsia="ru-RU"/>
        </w:rPr>
        <w:fldChar w:fldCharType="begin" w:fldLock="1"/>
      </w:r>
      <w:r w:rsidR="008C6800">
        <w:rPr>
          <w:rFonts w:ascii="Times New Roman" w:eastAsia="Times New Roman" w:hAnsi="Times New Roman" w:cs="Times New Roman"/>
          <w:sz w:val="28"/>
          <w:szCs w:val="28"/>
          <w:lang w:eastAsia="ru-RU"/>
        </w:rPr>
        <w:instrText>ADDIN CSL_CITATION {"citationItems":[{"id":"ITEM-1","itemData":{"DOI":"10.1007/s13224-015-0742-5","ISSN":"09756434","abstract":"Purpose: To detect whether ultrasonographic parameters and Doppler analysis of uterine blood flow can be of value in the prediction of endometrial receptivity in infertile female patients undergoing embryo transfer. Methods: In this study, a total of 200 women with primary infertility undergoing embryo transfer were analyzed. Transvaginal ultrasonography was done on the 10th day of the menstrual cycle. To assess the uterine receptivity, we analyzed all the ultrasonographic and Doppler parameters. The slightly modified version of Applebaum Uterine Scoring System was used. This uterine scoring system included all the following parameters: endometrial thickness, endometrial morphology, endometrial blood flow within zone 3, myometrial echogenecity, uterine artery pulsatility index (PI), end diastolic blood flow, and myometrial blood flow internal to the arcuate vessels seen on gray-scale examination. Results: The pregnancy rates were higher in women with thick, distinct five-line endometrium and multifocal endometrial vascularity within zone 3. Absent endometrial flow, despite highest values for the other parameters, was associated with no conception. In our study, no pregnancy occurred with uterine PI values of more than 2.8. Absence or reversal of end diastolic blood flow was associated with no conception. A maximum score of 20 was associated with the pregnancy rate of 97.4 %, whereas scores of 13 or less resulted in no pregnancies. Conclusion: Uterine scoring system will help to perform embryo transfers in only favorable uteri and postpone or cancel those cycles in which poor uterine score is demonstrated.","author":[{"dropping-particle":"","family":"Khan","given":"Mohd Shoeb","non-dropping-particle":"","parse-names":false,"suffix":""},{"dropping-particle":"","family":"Shaikh","given":"Aneesa","non-dropping-particle":"","parse-names":false,"suffix":""},{"dropping-particle":"","family":"Ratnani","given":"Rekha","non-dropping-particle":"","parse-names":false,"suffix":""}],"container-title":"Journal of Obstetrics and Gynecology of India","id":"ITEM-1","issue":"1","issued":{"date-parts":[["2016"]]},"page":"377-382","publisher":"Springer India","title":"Ultrasonography and Doppler Study to Predict Uterine Receptivity in Infertile Patients Undergoing Embryo Transfer","type":"article-journal","volume":"66"},"uris":["http://www.mendeley.com/documents/?uuid=07aeaee4-4473-4bec-8601-9c412132b067"]}],"mendeley":{"formattedCitation":"[8]","plainTextFormattedCitation":"[8]","previouslyFormattedCitation":"(8)"},"properties":{"noteIndex":0},"schema":"https://github.com/citation-style-language/schema/raw/master/csl-citation.json"}</w:instrText>
      </w:r>
      <w:r w:rsidRPr="00916B3A">
        <w:rPr>
          <w:rFonts w:ascii="Times New Roman" w:eastAsia="Times New Roman" w:hAnsi="Times New Roman" w:cs="Times New Roman"/>
          <w:sz w:val="28"/>
          <w:szCs w:val="28"/>
          <w:lang w:eastAsia="ru-RU"/>
        </w:rPr>
        <w:fldChar w:fldCharType="separate"/>
      </w:r>
      <w:r w:rsidR="008C6800" w:rsidRPr="008C6800">
        <w:rPr>
          <w:rFonts w:ascii="Times New Roman" w:eastAsia="Times New Roman" w:hAnsi="Times New Roman" w:cs="Times New Roman"/>
          <w:noProof/>
          <w:sz w:val="28"/>
          <w:szCs w:val="28"/>
          <w:lang w:eastAsia="ru-RU"/>
        </w:rPr>
        <w:t>[8</w:t>
      </w:r>
      <w:r w:rsidR="001231A3">
        <w:rPr>
          <w:rFonts w:ascii="Times New Roman" w:eastAsia="Times New Roman" w:hAnsi="Times New Roman" w:cs="Times New Roman"/>
          <w:noProof/>
          <w:sz w:val="28"/>
          <w:szCs w:val="28"/>
          <w:lang w:eastAsia="ru-RU"/>
        </w:rPr>
        <w:t>, с. 378</w:t>
      </w:r>
      <w:r w:rsidR="008C6800" w:rsidRPr="008C6800">
        <w:rPr>
          <w:rFonts w:ascii="Times New Roman" w:eastAsia="Times New Roman" w:hAnsi="Times New Roman" w:cs="Times New Roman"/>
          <w:noProof/>
          <w:sz w:val="28"/>
          <w:szCs w:val="28"/>
          <w:lang w:eastAsia="ru-RU"/>
        </w:rPr>
        <w:t>]</w:t>
      </w:r>
      <w:r w:rsidRPr="00916B3A">
        <w:rPr>
          <w:rFonts w:ascii="Times New Roman" w:eastAsia="Times New Roman" w:hAnsi="Times New Roman" w:cs="Times New Roman"/>
          <w:sz w:val="28"/>
          <w:szCs w:val="28"/>
          <w:lang w:eastAsia="ru-RU"/>
        </w:rPr>
        <w:fldChar w:fldCharType="end"/>
      </w:r>
      <w:r w:rsidRPr="00916B3A">
        <w:rPr>
          <w:rFonts w:ascii="Times New Roman" w:eastAsia="Times New Roman" w:hAnsi="Times New Roman" w:cs="Times New Roman"/>
          <w:sz w:val="28"/>
          <w:szCs w:val="28"/>
          <w:lang w:eastAsia="ru-RU"/>
        </w:rPr>
        <w:t>.</w:t>
      </w:r>
    </w:p>
    <w:p w14:paraId="2F4A7461" w14:textId="64B64477" w:rsidR="00273C23" w:rsidRPr="00916B3A" w:rsidRDefault="00273C23" w:rsidP="00FE21CC">
      <w:pPr>
        <w:spacing w:after="0" w:line="240" w:lineRule="auto"/>
        <w:ind w:firstLine="426"/>
        <w:jc w:val="both"/>
        <w:rPr>
          <w:rFonts w:ascii="Times New Roman" w:eastAsia="Times New Roman" w:hAnsi="Times New Roman" w:cs="Times New Roman"/>
          <w:sz w:val="28"/>
          <w:szCs w:val="28"/>
          <w:lang w:eastAsia="ru-RU"/>
        </w:rPr>
      </w:pPr>
      <w:r w:rsidRPr="00916B3A">
        <w:rPr>
          <w:rFonts w:ascii="Times New Roman" w:eastAsia="Times New Roman" w:hAnsi="Times New Roman" w:cs="Times New Roman"/>
          <w:sz w:val="28"/>
          <w:szCs w:val="28"/>
          <w:lang w:eastAsia="ru-RU"/>
        </w:rPr>
        <w:t>В рамках исследования состояния эндометрия у пациенток с потерями беременности в анамнезе (основная группа, n=39) была проведена гистероскопия с биопсией и гистологическим анализом эндометрия. Во всех случаях была выявлена та или иная патология эндометрия. Наиболее часто встречалась картина хронического эндометрита с гиперплазией и полипами — у 23 женщин (60%). Это проявлялось неравномерной толщиной эндометрия, изменениями его окраски, гиперемией слизистой оболочки, точечными кровоизлияниями и усилением сосудистого рисунка. Гистологическое исследование показало диффузную или очаговую лимфоидную инфильтрацию стромы, её отек и присутствие плазматических клеток. Были зафиксированы эндоскопические различия между железистыми и фиброзными полипами, которые различались по форме, размерам и локализации. Фиброзные полипы чаще встречались в виде единичных образований бледного цвета, округлой формы, небольших размеров (до 0,5 см) и располагались в области дна матки и устьев маточных труб. Железистые полипы, как правило, также были одиночными, но несколько большего размера (от 0,5 до 1,0 см), с бледно-розовым или серо-розовым цветом и синюшно-багровой верхушкой</w:t>
      </w:r>
      <w:r w:rsidRPr="00916B3A">
        <w:rPr>
          <w:rFonts w:ascii="Times New Roman" w:eastAsia="Times New Roman" w:hAnsi="Times New Roman" w:cs="Times New Roman"/>
          <w:sz w:val="28"/>
          <w:szCs w:val="28"/>
          <w:lang w:eastAsia="ru-RU"/>
        </w:rPr>
        <w:fldChar w:fldCharType="begin" w:fldLock="1"/>
      </w:r>
      <w:r w:rsidR="008C6800">
        <w:rPr>
          <w:rFonts w:ascii="Times New Roman" w:eastAsia="Times New Roman" w:hAnsi="Times New Roman" w:cs="Times New Roman"/>
          <w:sz w:val="28"/>
          <w:szCs w:val="28"/>
          <w:lang w:eastAsia="ru-RU"/>
        </w:rPr>
        <w:instrText>ADDIN CSL_CITATION {"citationItems":[{"id":"ITEM-1","itemData":{"DOI":"10.1016/j.fertnstert.2008.01.029","ISSN":"00150282","PMID":"18328483","abstract":"Objective: To characterize pathophysiologic features of a \"thin\" endometrium. Design: A prospective observational study. Setting: University Hospital and City General Hospital. Patient(s): Patients with normal-thickness endometrium (Normal-Em group: endometrial thickness ≥8 mm; n = 57) and thin endometrium (Thin-Em group: endometrial thickness &lt;8 mm; n = 17). Main Outcome Measure(s): Blood flow impedance of the uterine radial artery (RA) was assessed as resistance index (RI) by transvaginal color-pulsed Doppler ultrasonography. The area of glandular epithelium, the number of blood vessels, and vascular endothelial growth factor (VEGF) expression were examined in the midluteal-phase endometrium. Result(s): The RA-RI in the Thin-Em group was significantly higher than in the Normal-Em group throughout the menstrual cycle. Endometrial thickness was significantly correlated with RA-RI. Growth of glandular epithelium, the number of blood vessels, and VEGF expression were significantly lower in the Thin-Em group than in the Normal-Em group. Conclusion(s): A \"thin\" endometrium was characterized by high blood flow impedance of RA, poor epithelial growth, decreased VEGF expression, and poor vascular development. © 2009 American Society for Reproductive Medicine.","author":[{"dropping-particle":"","family":"Miwa","given":"Ichiro","non-dropping-particle":"","parse-names":false,"suffix":""},{"dropping-particle":"","family":"Tamura","given":"Hiroshi","non-dropping-particle":"","parse-names":false,"suffix":""},{"dropping-particle":"","family":"Takasaki","given":"Akihisa","non-dropping-particle":"","parse-names":false,"suffix":""},{"dropping-particle":"","family":"Yamagata","given":"Yoshiaki","non-dropping-particle":"","parse-names":false,"suffix":""},{"dropping-particle":"","family":"Shimamura","given":"Katsunori","non-dropping-particle":"","parse-names":false,"suffix":""},{"dropping-particle":"","family":"Sugino","given":"Norihiro","non-dropping-particle":"","parse-names":false,"suffix":""}],"container-title":"Fertility and Sterility","id":"ITEM-1","issue":"4","issued":{"date-parts":[["2009"]]},"page":"998-1004","publisher":"Elsevier Ltd","title":"Pathophysiologic features of \"thin\" endometrium","type":"article-journal","volume":"91"},"uris":["http://www.mendeley.com/documents/?uuid=cc61638b-d4fd-425c-ac94-428388d2b182"]}],"mendeley":{"formattedCitation":"[42]","plainTextFormattedCitation":"[42]","previouslyFormattedCitation":"(42)"},"properties":{"noteIndex":0},"schema":"https://github.com/citation-style-language/schema/raw/master/csl-citation.json"}</w:instrText>
      </w:r>
      <w:r w:rsidRPr="00916B3A">
        <w:rPr>
          <w:rFonts w:ascii="Times New Roman" w:eastAsia="Times New Roman" w:hAnsi="Times New Roman" w:cs="Times New Roman"/>
          <w:sz w:val="28"/>
          <w:szCs w:val="28"/>
          <w:lang w:eastAsia="ru-RU"/>
        </w:rPr>
        <w:fldChar w:fldCharType="separate"/>
      </w:r>
      <w:r w:rsidR="008C6800" w:rsidRPr="008C6800">
        <w:rPr>
          <w:rFonts w:ascii="Times New Roman" w:eastAsia="Times New Roman" w:hAnsi="Times New Roman" w:cs="Times New Roman"/>
          <w:noProof/>
          <w:sz w:val="28"/>
          <w:szCs w:val="28"/>
          <w:lang w:eastAsia="ru-RU"/>
        </w:rPr>
        <w:t>[42</w:t>
      </w:r>
      <w:r w:rsidR="001231A3">
        <w:rPr>
          <w:rFonts w:ascii="Times New Roman" w:eastAsia="Times New Roman" w:hAnsi="Times New Roman" w:cs="Times New Roman"/>
          <w:noProof/>
          <w:sz w:val="28"/>
          <w:szCs w:val="28"/>
          <w:lang w:eastAsia="ru-RU"/>
        </w:rPr>
        <w:t>, с.999</w:t>
      </w:r>
      <w:r w:rsidR="008C6800" w:rsidRPr="008C6800">
        <w:rPr>
          <w:rFonts w:ascii="Times New Roman" w:eastAsia="Times New Roman" w:hAnsi="Times New Roman" w:cs="Times New Roman"/>
          <w:noProof/>
          <w:sz w:val="28"/>
          <w:szCs w:val="28"/>
          <w:lang w:eastAsia="ru-RU"/>
        </w:rPr>
        <w:t>]</w:t>
      </w:r>
      <w:r w:rsidRPr="00916B3A">
        <w:rPr>
          <w:rFonts w:ascii="Times New Roman" w:eastAsia="Times New Roman" w:hAnsi="Times New Roman" w:cs="Times New Roman"/>
          <w:sz w:val="28"/>
          <w:szCs w:val="28"/>
          <w:lang w:eastAsia="ru-RU"/>
        </w:rPr>
        <w:fldChar w:fldCharType="end"/>
      </w:r>
      <w:r w:rsidRPr="00916B3A">
        <w:rPr>
          <w:rFonts w:ascii="Times New Roman" w:eastAsia="Times New Roman" w:hAnsi="Times New Roman" w:cs="Times New Roman"/>
          <w:sz w:val="28"/>
          <w:szCs w:val="28"/>
          <w:lang w:eastAsia="ru-RU"/>
        </w:rPr>
        <w:t>.</w:t>
      </w:r>
    </w:p>
    <w:p w14:paraId="565F8175" w14:textId="5D7377E6" w:rsidR="00273C23" w:rsidRPr="00916B3A" w:rsidRDefault="00273C23" w:rsidP="00FE21CC">
      <w:pPr>
        <w:spacing w:after="0" w:line="240" w:lineRule="auto"/>
        <w:ind w:firstLine="426"/>
        <w:jc w:val="both"/>
        <w:rPr>
          <w:rFonts w:ascii="Times New Roman" w:eastAsia="Times New Roman" w:hAnsi="Times New Roman" w:cs="Times New Roman"/>
          <w:sz w:val="28"/>
          <w:szCs w:val="28"/>
          <w:lang w:eastAsia="ru-RU"/>
        </w:rPr>
      </w:pPr>
      <w:r w:rsidRPr="00916B3A">
        <w:rPr>
          <w:rFonts w:ascii="Times New Roman" w:eastAsia="Times New Roman" w:hAnsi="Times New Roman" w:cs="Times New Roman"/>
          <w:sz w:val="28"/>
          <w:szCs w:val="28"/>
          <w:lang w:eastAsia="ru-RU"/>
        </w:rPr>
        <w:t>Часто выявлявшейся патологией была гипоплазия эндометрия, обнаруженная у 15 пациенток (40%), где слизистая оболочка имела бледный, белесоватый оттенок, была неравномерной толщины, с преобладанием истонченного эндометрия.</w:t>
      </w:r>
    </w:p>
    <w:p w14:paraId="28F645A3" w14:textId="4BF57468" w:rsidR="00273C23" w:rsidRPr="00916B3A" w:rsidRDefault="00273C23" w:rsidP="00FE21CC">
      <w:pPr>
        <w:spacing w:after="0" w:line="240" w:lineRule="auto"/>
        <w:ind w:firstLine="426"/>
        <w:jc w:val="both"/>
        <w:rPr>
          <w:rFonts w:ascii="Times New Roman" w:eastAsia="Times New Roman" w:hAnsi="Times New Roman" w:cs="Times New Roman"/>
          <w:sz w:val="28"/>
          <w:szCs w:val="28"/>
          <w:lang w:eastAsia="ru-RU"/>
        </w:rPr>
      </w:pPr>
      <w:r w:rsidRPr="00916B3A">
        <w:rPr>
          <w:rFonts w:ascii="Times New Roman" w:eastAsia="Times New Roman" w:hAnsi="Times New Roman" w:cs="Times New Roman"/>
          <w:sz w:val="28"/>
          <w:szCs w:val="28"/>
          <w:lang w:eastAsia="ru-RU"/>
        </w:rPr>
        <w:t xml:space="preserve">У пациенток с рецидивами невынашивания беременности и синдромом «тонкого эндометрия» помимо истончения эндометрия (М-эхо 5,4±0,6 мм против 8,6±2,7 мм в группе сравнения) наблюдались эхографические изменения, такие как неоднородная эхогенность в 53,3% случаев и несоответствие эхоструктуры дню менструального цикла в 36,7% случаев. Исследование кровотока в сосудах матки методом ЦДК показало, что у пациенток основной группы аркуатные и радиальные артерии визуализировались в 80±7,4% и 83,3±6,9% случаев (в группе сравнения — 95±5,0% и 95±5,0% соответственно), при этом значительно реже визуализировались базальные (60±9,1% против 90,0±6,9%, </w:t>
      </w:r>
      <w:proofErr w:type="gramStart"/>
      <w:r w:rsidRPr="00916B3A">
        <w:rPr>
          <w:rFonts w:ascii="Times New Roman" w:eastAsia="Times New Roman" w:hAnsi="Times New Roman" w:cs="Times New Roman"/>
          <w:sz w:val="28"/>
          <w:szCs w:val="28"/>
          <w:lang w:eastAsia="ru-RU"/>
        </w:rPr>
        <w:t>p&lt;</w:t>
      </w:r>
      <w:proofErr w:type="gramEnd"/>
      <w:r w:rsidRPr="00916B3A">
        <w:rPr>
          <w:rFonts w:ascii="Times New Roman" w:eastAsia="Times New Roman" w:hAnsi="Times New Roman" w:cs="Times New Roman"/>
          <w:sz w:val="28"/>
          <w:szCs w:val="28"/>
          <w:lang w:eastAsia="ru-RU"/>
        </w:rPr>
        <w:t xml:space="preserve">0,05) и спиральные артерии (20±7,4% против 90,0±6,9%, p&lt;0,01). У пациенток с «тонким эндометрием» отмечены высокие значения сосудистого сопротивления в спиральных артериях: пульсационный индекс PI (1,43±0,04 против 2,0±0,09, </w:t>
      </w:r>
      <w:proofErr w:type="gramStart"/>
      <w:r w:rsidRPr="00916B3A">
        <w:rPr>
          <w:rFonts w:ascii="Times New Roman" w:eastAsia="Times New Roman" w:hAnsi="Times New Roman" w:cs="Times New Roman"/>
          <w:sz w:val="28"/>
          <w:szCs w:val="28"/>
          <w:lang w:eastAsia="ru-RU"/>
        </w:rPr>
        <w:t>p&lt;</w:t>
      </w:r>
      <w:proofErr w:type="gramEnd"/>
      <w:r w:rsidRPr="00916B3A">
        <w:rPr>
          <w:rFonts w:ascii="Times New Roman" w:eastAsia="Times New Roman" w:hAnsi="Times New Roman" w:cs="Times New Roman"/>
          <w:sz w:val="28"/>
          <w:szCs w:val="28"/>
          <w:lang w:eastAsia="ru-RU"/>
        </w:rPr>
        <w:t xml:space="preserve">0,05). Однако индекс резистентности RI (0,96±0,05 против 1,0±0,05) и </w:t>
      </w:r>
      <w:proofErr w:type="gramStart"/>
      <w:r w:rsidRPr="00916B3A">
        <w:rPr>
          <w:rFonts w:ascii="Times New Roman" w:eastAsia="Times New Roman" w:hAnsi="Times New Roman" w:cs="Times New Roman"/>
          <w:sz w:val="28"/>
          <w:szCs w:val="28"/>
          <w:lang w:eastAsia="ru-RU"/>
        </w:rPr>
        <w:t>систоло-диастолическое</w:t>
      </w:r>
      <w:proofErr w:type="gramEnd"/>
      <w:r w:rsidRPr="00916B3A">
        <w:rPr>
          <w:rFonts w:ascii="Times New Roman" w:eastAsia="Times New Roman" w:hAnsi="Times New Roman" w:cs="Times New Roman"/>
          <w:sz w:val="28"/>
          <w:szCs w:val="28"/>
          <w:lang w:eastAsia="ru-RU"/>
        </w:rPr>
        <w:t xml:space="preserve"> соотношение S/D в маточных (4,5±0,04 против 4,6±0,05) и аркуатных артериях (3,67±0,04 против 3,8±0,05) не имели различий с группой сравнения. Эти данные подчеркивают необходимость поиска дополнительных критериев для оценки рецептивности эндометрия.</w:t>
      </w:r>
    </w:p>
    <w:p w14:paraId="466BF9FD" w14:textId="7316F0C1" w:rsidR="00962E5C" w:rsidRPr="00916B3A" w:rsidRDefault="00962E5C" w:rsidP="00FE21CC">
      <w:pPr>
        <w:pStyle w:val="a9"/>
        <w:shd w:val="clear" w:color="auto" w:fill="FFFFFF"/>
        <w:spacing w:before="0" w:beforeAutospacing="0" w:after="0" w:afterAutospacing="0"/>
        <w:ind w:firstLine="426"/>
        <w:jc w:val="both"/>
        <w:rPr>
          <w:sz w:val="28"/>
          <w:szCs w:val="28"/>
        </w:rPr>
      </w:pPr>
      <w:r w:rsidRPr="00916B3A">
        <w:rPr>
          <w:sz w:val="28"/>
          <w:szCs w:val="28"/>
        </w:rPr>
        <w:t xml:space="preserve">Пациенты, страдающие тонким эндометрием, более подвержены нарушениям фертильности </w:t>
      </w:r>
      <w:r w:rsidRPr="00916B3A">
        <w:rPr>
          <w:sz w:val="28"/>
          <w:szCs w:val="28"/>
        </w:rPr>
        <w:fldChar w:fldCharType="begin" w:fldLock="1"/>
      </w:r>
      <w:r w:rsidR="008C6800">
        <w:rPr>
          <w:sz w:val="28"/>
          <w:szCs w:val="28"/>
        </w:rPr>
        <w:instrText>ADDIN CSL_CITATION {"citationItems":[{"id":"ITEM-1","itemData":{"DOI":"10.1097/MD.0000000000019111","ISBN":"0000000000","ISSN":"15365964","PMID":"32195931","abstract":"Background:Thin endometrium, defined as &lt;7 mm of the endometrial thickness around ovulation period, had been identified as a negative factor on pregnancy rate of infertile women. It was considered to be the toughest part in treatment of infertility, because there was a lack of significant effect, although many drugs had been already used. Icariin was one of the major bioactive pharmaceutical constituent extracted from the Chinese herb \"Ying Yang Huo,\" in the genus of Epimedium, and some randomized controlled trials reported its application for thin endometrium. There is no systematic review focusing on the effective of icariin in treating infertile women with thin endometrium, so our review aims to explore it.Methods:The bibliographic database and electronic library will be systematically searched online, such as MEDLINE, EMBASE, Web of Science, Clinicaltrails.org., China National Knowledge Infrastructure Database (CNKI), Wan fang Database, China Biology Medicine Database (CBM), VIP Science Technology Periodical Database, and Cochrane Library. And the reference listed for potential literatures of included studies will be scanned additionally. Related randomized controlled trials (RCTs) will be collected and selected before January 4, 2020. Trials will be screened by independent reviewers, and the literature will be search in English or Chinese, with the search terms as \"Icariin,\" \"Epimedium,\" \"infertile women,\" \"female infertility,\" \"endometrium,\" \"pregnancy rate.\" The software for Systematic review and Meta-analysis is RevMan 5.3. The protocol and the systematic review will be reported according to the Preferred Reporting Items for Systematic Reviews and Meta-Analyses Protocols (PRISMA-P) statement.Result and conclusion:The efficacy of icariin to treat thin endometrium will be evaluated, and the conclusion will be published to help clinicians determine treatment strategy for infertile women with thin endometirum by providing medical evidence.Registration information:PROSPERO CRD42019148977.","author":[{"dropping-particle":"","family":"Du","given":"Juan","non-dropping-particle":"","parse-names":false,"suffix":""},{"dropping-particle":"","family":"Lu","given":"Hua","non-dropping-particle":"","parse-names":false,"suffix":""},{"dropping-particle":"","family":"Yu","given":"Xujun","non-dropping-particle":"","parse-names":false,"suffix":""},{"dropping-particle":"","family":"Dong","given":"Liang","non-dropping-particle":"","parse-names":false,"suffix":""},{"dropping-particle":"","family":"Mi","given":"Ling","non-dropping-particle":"","parse-names":false,"suffix":""},{"dropping-particle":"","family":"Wang","given":"Jinpeng","non-dropping-particle":"","parse-names":false,"suffix":""},{"dropping-particle":"","family":"Zheng","given":"Xia","non-dropping-particle":"","parse-names":false,"suffix":""},{"dropping-particle":"","family":"Feng","given":"Kai","non-dropping-particle":"","parse-names":false,"suffix":""}],"container-title":"Medicine (United States)","id":"ITEM-1","issue":"12","issued":{"date-parts":[["2020"]]},"title":"The effect of icariin for infertile women with thin endometrium: A protocol for systematic review","type":"article-journal","volume":"99"},"uris":["http://www.mendeley.com/documents/?uuid=ab84ad67-c052-4957-86a8-99c55e282e51"]}],"mendeley":{"formattedCitation":"[129]","plainTextFormattedCitation":"[129]","previouslyFormattedCitation":"(129)"},"properties":{"noteIndex":0},"schema":"https://github.com/citation-style-language/schema/raw/master/csl-citation.json"}</w:instrText>
      </w:r>
      <w:r w:rsidRPr="00916B3A">
        <w:rPr>
          <w:sz w:val="28"/>
          <w:szCs w:val="28"/>
        </w:rPr>
        <w:fldChar w:fldCharType="separate"/>
      </w:r>
      <w:r w:rsidR="008C6800" w:rsidRPr="008C6800">
        <w:rPr>
          <w:noProof/>
          <w:sz w:val="28"/>
          <w:szCs w:val="28"/>
        </w:rPr>
        <w:t>[129]</w:t>
      </w:r>
      <w:r w:rsidRPr="00916B3A">
        <w:rPr>
          <w:sz w:val="28"/>
          <w:szCs w:val="28"/>
        </w:rPr>
        <w:fldChar w:fldCharType="end"/>
      </w:r>
      <w:r w:rsidRPr="00916B3A">
        <w:rPr>
          <w:sz w:val="28"/>
          <w:szCs w:val="28"/>
        </w:rPr>
        <w:t xml:space="preserve">. РНИ, вызванный тонким эндометрием, может быть связан с аномальной активацией воспалительной среды вместе с аномально сниженной реакцией на окислительный стресс </w:t>
      </w:r>
      <w:r w:rsidRPr="00916B3A">
        <w:rPr>
          <w:sz w:val="28"/>
          <w:szCs w:val="28"/>
        </w:rPr>
        <w:fldChar w:fldCharType="begin" w:fldLock="1"/>
      </w:r>
      <w:r w:rsidR="008C6800">
        <w:rPr>
          <w:sz w:val="28"/>
          <w:szCs w:val="28"/>
        </w:rPr>
        <w:instrText>ADDIN CSL_CITATION {"citationItems":[{"id":"ITEM-1","itemData":{"DOI":"10.3389/fgene.2021.589408","ISSN":"16648021","abstract":"Although the thin endometrium (TE) has been widely recognized as a critical factor in implantation failure, the contribution of miRNA–mRNA regulatory network to the development of disease etiology remains to be further elucidated. This study performed an integrative analysis of the miRNA–mRNA expression profiles in the thin and adjacent normal endometrium of eight patients with intrauterine adhesion to construct the transcriptomic regulatory networks. A total of 1,093 differentially expressed genes (DEGs) and 72 differentially expressed miRNAs (DEMs) were identified in the thin adhesive endometrium of the TE group compared with the control adjacent normal endometrial cells. Gene Ontology (GO) and Kyoto Encyclopedia of Genes and Genomes (KEGG) pathway analyses showed that the DEGs and the target genes of DEM were significantly enriched in angiogenesis, cell growth regulation, and Wnt signaling pathway. Multiple hub genes (CAV1, MET, MAL2, has-mir-138, ARHGAP6, CLIC4, RRAS, AGFG1, has-mir-200, and has-mir-429) were identified by constructing the miRNA–mRNA regulatory networks. Furthermore, a miRNA–mRNA pathway function analysis was conducted, and the hub genes were enriched in the FoxO signaling pathway, cell growth regulation, inflammatory response regulation, and regulation of autophagy pathways. Our study is the first to perform integrated mRNA-seq and miRNA-seq analyses in the thin adhesive endometrium and the control adjacent normal endometrial cells. This study provides new insights into the molecular mechanisms underlying the formation of thin endometrium.","author":[{"dropping-particle":"","family":"Zong","given":"Lu","non-dropping-particle":"","parse-names":false,"suffix":""},{"dropping-particle":"","family":"Zheng","given":"Shengxia","non-dropping-particle":"","parse-names":false,"suffix":""},{"dropping-particle":"","family":"Meng","given":"Ye","non-dropping-particle":"","parse-names":false,"suffix":""},{"dropping-particle":"","family":"Tang","given":"Wenjuan","non-dropping-particle":"","parse-names":false,"suffix":""},{"dropping-particle":"","family":"Li","given":"Daojing","non-dropping-particle":"","parse-names":false,"suffix":""},{"dropping-particle":"","family":"Wang","given":"Zhenyun","non-dropping-particle":"","parse-names":false,"suffix":""},{"dropping-particle":"","family":"Tong","given":"Xianhong","non-dropping-particle":"","parse-names":false,"suffix":""},{"dropping-particle":"","family":"Xu","given":"Bo","non-dropping-particle":"","parse-names":false,"suffix":""}],"container-title":"Frontiers in Genetics","id":"ITEM-1","issue":"March","issued":{"date-parts":[["2021"]]},"page":"1-13","title":"Integrated Transcriptomic Analysis of the miRNA–mRNA Interaction Network in Thin Endometrium","type":"article-journal","volume":"12"},"uris":["http://www.mendeley.com/documents/?uuid=eaa16895-206e-4d9f-9126-cdf608712b95"]}],"mendeley":{"formattedCitation":"[130]","plainTextFormattedCitation":"[130]","previouslyFormattedCitation":"(130)"},"properties":{"noteIndex":0},"schema":"https://github.com/citation-style-language/schema/raw/master/csl-citation.json"}</w:instrText>
      </w:r>
      <w:r w:rsidRPr="00916B3A">
        <w:rPr>
          <w:sz w:val="28"/>
          <w:szCs w:val="28"/>
        </w:rPr>
        <w:fldChar w:fldCharType="separate"/>
      </w:r>
      <w:r w:rsidR="008C6800" w:rsidRPr="008C6800">
        <w:rPr>
          <w:noProof/>
          <w:sz w:val="28"/>
          <w:szCs w:val="28"/>
        </w:rPr>
        <w:t>[130]</w:t>
      </w:r>
      <w:r w:rsidRPr="00916B3A">
        <w:rPr>
          <w:sz w:val="28"/>
          <w:szCs w:val="28"/>
        </w:rPr>
        <w:fldChar w:fldCharType="end"/>
      </w:r>
      <w:r w:rsidRPr="00916B3A">
        <w:rPr>
          <w:sz w:val="28"/>
          <w:szCs w:val="28"/>
        </w:rPr>
        <w:t>. В этом исследовании была изучена экспрессия генов у пациенток с РНИ и тонким эндометрием, а также у соответствующих эндометриальных тканей фертильных женщин, и мы выявили аномальную активацию воспалительной среды в тонком эндометрии. Было обнаружено, что экспрессия генов C4BPA и CXCL1 была значительно снижена у пациенток с РНИ и тонким эндометрием по сравнению с фертильными женщинами (p=0,030 и p=0,005 соответственно).</w:t>
      </w:r>
    </w:p>
    <w:p w14:paraId="37622CD6" w14:textId="537CB8C0" w:rsidR="00962E5C" w:rsidRPr="00916B3A" w:rsidRDefault="00962E5C" w:rsidP="00962E5C">
      <w:pPr>
        <w:pStyle w:val="a9"/>
        <w:shd w:val="clear" w:color="auto" w:fill="FFFFFF"/>
        <w:spacing w:before="0" w:beforeAutospacing="0" w:after="0" w:afterAutospacing="0"/>
        <w:ind w:firstLine="567"/>
        <w:jc w:val="both"/>
        <w:rPr>
          <w:sz w:val="28"/>
          <w:szCs w:val="28"/>
        </w:rPr>
      </w:pPr>
      <w:r w:rsidRPr="00916B3A">
        <w:rPr>
          <w:sz w:val="28"/>
          <w:szCs w:val="28"/>
        </w:rPr>
        <w:t>В нашем исследовании снижение экспрессии гена CXC motif chemokine ligand 1 (CXCL1) указывает на активацию каскада провоспалительных сигналов у пациенток с РНИ и тонким эндометрием. В то же время не было выявлено значимых различий в концентрациях экспрессии генов C4BPA, IL15, HAND2, VEGFB, CXCL1 между группами. Наши результаты косвенно указывают на то, что в тонком эндометрии наблюдается «молчаливый эндометрий». Патологии, которые напрямую затрагивают слизистую оболочку матки, включая тонкий эндометрий, могут провоцировать рефрактерный эндометрий, характеризующийся отсутствием пролиферации и аномальной толщиной. При исследовании межклеточной коммуникации в тонком эндометрии с помощью CellChat было показано, что количество и сила взаимодействий между стромальными клетками и пролиферирующими стромальными клетками были снижены</w:t>
      </w:r>
      <w:r w:rsidRPr="00916B3A">
        <w:rPr>
          <w:sz w:val="28"/>
          <w:szCs w:val="28"/>
        </w:rPr>
        <w:fldChar w:fldCharType="begin" w:fldLock="1"/>
      </w:r>
      <w:r w:rsidR="008C6800">
        <w:rPr>
          <w:sz w:val="28"/>
          <w:szCs w:val="28"/>
        </w:rPr>
        <w:instrText>ADDIN CSL_CITATION {"citationItems":[{"id":"ITEM-1","itemData":{"DOI":"10.3389/fgene.2021.589408","ISSN":"16648021","abstract":"Although the thin endometrium (TE) has been widely recognized as a critical factor in implantation failure, the contribution of miRNA–mRNA regulatory network to the development of disease etiology remains to be further elucidated. This study performed an integrative analysis of the miRNA–mRNA expression profiles in the thin and adjacent normal endometrium of eight patients with intrauterine adhesion to construct the transcriptomic regulatory networks. A total of 1,093 differentially expressed genes (DEGs) and 72 differentially expressed miRNAs (DEMs) were identified in the thin adhesive endometrium of the TE group compared with the control adjacent normal endometrial cells. Gene Ontology (GO) and Kyoto Encyclopedia of Genes and Genomes (KEGG) pathway analyses showed that the DEGs and the target genes of DEM were significantly enriched in angiogenesis, cell growth regulation, and Wnt signaling pathway. Multiple hub genes (CAV1, MET, MAL2, has-mir-138, ARHGAP6, CLIC4, RRAS, AGFG1, has-mir-200, and has-mir-429) were identified by constructing the miRNA–mRNA regulatory networks. Furthermore, a miRNA–mRNA pathway function analysis was conducted, and the hub genes were enriched in the FoxO signaling pathway, cell growth regulation, inflammatory response regulation, and regulation of autophagy pathways. Our study is the first to perform integrated mRNA-seq and miRNA-seq analyses in the thin adhesive endometrium and the control adjacent normal endometrial cells. This study provides new insights into the molecular mechanisms underlying the formation of thin endometrium.","author":[{"dropping-particle":"","family":"Zong","given":"Lu","non-dropping-particle":"","parse-names":false,"suffix":""},{"dropping-particle":"","family":"Zheng","given":"Shengxia","non-dropping-particle":"","parse-names":false,"suffix":""},{"dropping-particle":"","family":"Meng","given":"Ye","non-dropping-particle":"","parse-names":false,"suffix":""},{"dropping-particle":"","family":"Tang","given":"Wenjuan","non-dropping-particle":"","parse-names":false,"suffix":""},{"dropping-particle":"","family":"Li","given":"Daojing","non-dropping-particle":"","parse-names":false,"suffix":""},{"dropping-particle":"","family":"Wang","given":"Zhenyun","non-dropping-particle":"","parse-names":false,"suffix":""},{"dropping-particle":"","family":"Tong","given":"Xianhong","non-dropping-particle":"","parse-names":false,"suffix":""},{"dropping-particle":"","family":"Xu","given":"Bo","non-dropping-particle":"","parse-names":false,"suffix":""}],"container-title":"Frontiers in Genetics","id":"ITEM-1","issue":"March","issued":{"date-parts":[["2021"]]},"page":"1-13","title":"Integrated Transcriptomic Analysis of the miRNA–mRNA Interaction Network in Thin Endometrium","type":"article-journal","volume":"12"},"uris":["http://www.mendeley.com/documents/?uuid=eaa16895-206e-4d9f-9126-cdf608712b95"]}],"mendeley":{"formattedCitation":"[130]","plainTextFormattedCitation":"[130]","previouslyFormattedCitation":"(130)"},"properties":{"noteIndex":0},"schema":"https://github.com/citation-style-language/schema/raw/master/csl-citation.json"}</w:instrText>
      </w:r>
      <w:r w:rsidRPr="00916B3A">
        <w:rPr>
          <w:sz w:val="28"/>
          <w:szCs w:val="28"/>
        </w:rPr>
        <w:fldChar w:fldCharType="separate"/>
      </w:r>
      <w:r w:rsidR="008C6800" w:rsidRPr="008C6800">
        <w:rPr>
          <w:noProof/>
          <w:sz w:val="28"/>
          <w:szCs w:val="28"/>
        </w:rPr>
        <w:t>[130]</w:t>
      </w:r>
      <w:r w:rsidRPr="00916B3A">
        <w:rPr>
          <w:sz w:val="28"/>
          <w:szCs w:val="28"/>
        </w:rPr>
        <w:fldChar w:fldCharType="end"/>
      </w:r>
      <w:r w:rsidRPr="00916B3A">
        <w:rPr>
          <w:sz w:val="28"/>
          <w:szCs w:val="28"/>
        </w:rPr>
        <w:t xml:space="preserve">. В поздней пролиферативной фазе у женщин с тонким эндометрием и сниженной экспрессией PDZ-связывающей киназы в стромальных клетках эндометрия была выявлена подавленная пролиферация клеток, чему способствовало наличие аберрантно провоспалительной среды </w:t>
      </w:r>
      <w:r w:rsidRPr="00916B3A">
        <w:rPr>
          <w:sz w:val="28"/>
          <w:szCs w:val="28"/>
        </w:rPr>
        <w:fldChar w:fldCharType="begin" w:fldLock="1"/>
      </w:r>
      <w:r w:rsidR="008C6800">
        <w:rPr>
          <w:sz w:val="28"/>
          <w:szCs w:val="28"/>
        </w:rPr>
        <w:instrText>ADDIN CSL_CITATION {"citationItems":[{"id":"ITEM-1","itemData":{"DOI":"10.1186/s12958-022-00903-8","ISSN":"14777827","PMID":"35105354","abstract":"Background: Thin endometrium (TE) is a challenging clinical issue in the reproductive medicine characterized by inadequate endometrial thickness, poor response to estrogen and no effective treatments currently. At present, the precise pathogenesis of thin endometria remains to be elucidated. We aimed to explore the related molecular mechanism of TE by comparing the transcriptome profiles of late-proliferative phase endometria between TE and matched controls. Methods: We performed a bulk RNA-Seq (RNA-sequencing) of endometrial tissues in the late-proliferative phase in 7 TE and 7 matched controls for the first time. Differential gene expression analysis, gene ontology enrichment analysis and protein-protein interactions (PPIs) network analysis were performed. Immunohistochemistry was used for molecular expression and localization in endometria. Human endometrial stromal cells (HESCs) were isolated and cultured for verifying the functions of hub gene. Results: Integrative data mining of our RNA-seq data in endometria revealed that most genes related to cell division and cell cycle were significantly inhibited, while inflammation activation, immune response and reactive oxygen species associated genes were upregulated in TE. PBK was identified as a hub of PPIs network, and its expression level was decreased by 2.43-fold in endometria of TE patients, particularly reduced in the stromal cells, which was paralleled by the decreased expression of Ki67. In vitro experiments showed that the depletion of PBK reduced the proliferation of HESCs by 50% and increased the apoptosis of HESCs by 1 time, meanwhile PBK expression was inhibited by oxidative stress (reduced by 76.2%), hypoxia (reduced by 51.9%) and inflammatory factors (reduced by approximately 50%). These results suggested that the insufficient expression of PBK was involved in the poor endometrial thickness in TE. Conclusions: The endometrial transcriptome in late-proliferative phase showed suppressed cell proliferation in women with thin endometria and decreased expression of PBK in human endometrial stromal cells (HESCs), to which inflammation and reactive oxygen species contributed.","author":[{"dropping-particle":"","family":"Zhu","given":"Qi","non-dropping-particle":"","parse-names":false,"suffix":""},{"dropping-particle":"","family":"Yao","given":"Simin","non-dropping-particle":"","parse-names":false,"suffix":""},{"dropping-particle":"","family":"Dong","given":"Yishan","non-dropping-particle":"","parse-names":false,"suffix":""},{"dropping-particle":"","family":"Liu","given":"Dan","non-dropping-particle":"","parse-names":false,"suffix":""},{"dropping-particle":"","family":"Wang","given":"Huiyan","non-dropping-particle":"","parse-names":false,"suffix":""},{"dropping-particle":"","family":"Jiang","given":"Peipei","non-dropping-particle":"","parse-names":false,"suffix":""},{"dropping-particle":"","family":"Dai","given":"Chenyan","non-dropping-particle":"","parse-names":false,"suffix":""},{"dropping-particle":"","family":"Lv","given":"Haining","non-dropping-particle":"","parse-names":false,"suffix":""},{"dropping-particle":"","family":"Cao","given":"Chenrui","non-dropping-particle":"","parse-names":false,"suffix":""},{"dropping-particle":"","family":"Zhou","given":"Zhenhua","non-dropping-particle":"","parse-names":false,"suffix":""},{"dropping-particle":"","family":"Wang","given":"Limin","non-dropping-particle":"","parse-names":false,"suffix":""},{"dropping-particle":"","family":"Gou","given":"Wenjing","non-dropping-particle":"","parse-names":false,"suffix":""},{"dropping-particle":"","family":"Zhang","given":"Xiwen","non-dropping-particle":"","parse-names":false,"suffix":""},{"dropping-particle":"","family":"Zhao","given":"Guangfeng","non-dropping-particle":"","parse-names":false,"suffix":""},{"dropping-particle":"","family":"Hu","given":"Yali","non-dropping-particle":"","parse-names":false,"suffix":""}],"container-title":"Reproductive Biology and Endocrinology","id":"ITEM-1","issue":"1","issued":{"date-parts":[["2022"]]},"page":"1-13","publisher":"BioMed Central","title":"Down-regulation of PBK inhibits proliferation of human endometrial stromal cells in thin endometrium","type":"article-journal","volume":"20"},"uris":["http://www.mendeley.com/documents/?uuid=06260ad2-2643-49a2-9258-9418477cf8e6"]}],"mendeley":{"formattedCitation":"[131]","plainTextFormattedCitation":"[131]","previouslyFormattedCitation":"(131)"},"properties":{"noteIndex":0},"schema":"https://github.com/citation-style-language/schema/raw/master/csl-citation.json"}</w:instrText>
      </w:r>
      <w:r w:rsidRPr="00916B3A">
        <w:rPr>
          <w:sz w:val="28"/>
          <w:szCs w:val="28"/>
        </w:rPr>
        <w:fldChar w:fldCharType="separate"/>
      </w:r>
      <w:r w:rsidR="008C6800" w:rsidRPr="008C6800">
        <w:rPr>
          <w:noProof/>
          <w:sz w:val="28"/>
          <w:szCs w:val="28"/>
        </w:rPr>
        <w:t>[131]</w:t>
      </w:r>
      <w:r w:rsidRPr="00916B3A">
        <w:rPr>
          <w:sz w:val="28"/>
          <w:szCs w:val="28"/>
        </w:rPr>
        <w:fldChar w:fldCharType="end"/>
      </w:r>
      <w:r w:rsidRPr="00916B3A">
        <w:rPr>
          <w:sz w:val="28"/>
          <w:szCs w:val="28"/>
        </w:rPr>
        <w:t>.</w:t>
      </w:r>
    </w:p>
    <w:p w14:paraId="4C5EE3FC" w14:textId="77777777" w:rsidR="00962E5C" w:rsidRPr="00916B3A" w:rsidRDefault="00962E5C" w:rsidP="00962E5C">
      <w:pPr>
        <w:pStyle w:val="a9"/>
        <w:shd w:val="clear" w:color="auto" w:fill="FFFFFF"/>
        <w:spacing w:before="0" w:beforeAutospacing="0" w:after="0" w:afterAutospacing="0"/>
        <w:ind w:firstLine="567"/>
        <w:jc w:val="both"/>
        <w:rPr>
          <w:sz w:val="28"/>
          <w:szCs w:val="28"/>
        </w:rPr>
      </w:pPr>
      <w:r w:rsidRPr="00916B3A">
        <w:rPr>
          <w:sz w:val="28"/>
          <w:szCs w:val="28"/>
        </w:rPr>
        <w:t>Изучение клеточных и молекулярно-генетических механизмов регуляции генов иммуного ответа у пациентов с нарушениями рецептивности эндометрия позволят улучшить исходы программ ВРТ.</w:t>
      </w:r>
    </w:p>
    <w:p w14:paraId="6F5D1701" w14:textId="411A6195" w:rsidR="00962E5C" w:rsidRPr="00916B3A" w:rsidRDefault="00962E5C" w:rsidP="00962E5C">
      <w:pPr>
        <w:pStyle w:val="a9"/>
        <w:shd w:val="clear" w:color="auto" w:fill="FFFFFF"/>
        <w:spacing w:before="0" w:beforeAutospacing="0" w:after="0" w:afterAutospacing="0"/>
        <w:ind w:firstLine="567"/>
        <w:jc w:val="both"/>
        <w:rPr>
          <w:sz w:val="28"/>
          <w:szCs w:val="28"/>
        </w:rPr>
      </w:pPr>
      <w:r w:rsidRPr="00916B3A">
        <w:rPr>
          <w:sz w:val="28"/>
          <w:szCs w:val="28"/>
        </w:rPr>
        <w:t>В нашем исследовании у пациенток с РНИ и тонким эндометрием были показаны значимые (</w:t>
      </w:r>
      <w:proofErr w:type="gramStart"/>
      <w:r w:rsidRPr="00916B3A">
        <w:rPr>
          <w:sz w:val="28"/>
          <w:szCs w:val="28"/>
        </w:rPr>
        <w:t>p&lt;</w:t>
      </w:r>
      <w:proofErr w:type="gramEnd"/>
      <w:r w:rsidRPr="00916B3A">
        <w:rPr>
          <w:sz w:val="28"/>
          <w:szCs w:val="28"/>
        </w:rPr>
        <w:t>0,05) обратные умеренные корреляции. Было отмечено, что снижение уровня гена HAND2 было связано с повышением уровней ТТГ и фибриногена, а у фертильных женщин снижение уровня гена HAND2 было связано с повышением ИМТ. Транскрипт 2, экспрессируемый производными сердца и нервного гребня (HAND2), регулирует интерлейкин 15 (IL-15), ключевой иммунный фактор, необходимый для активации и выживания естественных киллеров матки, кратковременно индуцирует иммунотолерантность. Во время секреторной фазы уровни HAND2 и IL-15 значительно повышаются в здоровом человеческом эндометрии</w:t>
      </w:r>
      <w:r w:rsidRPr="00916B3A">
        <w:rPr>
          <w:sz w:val="28"/>
          <w:szCs w:val="28"/>
        </w:rPr>
        <w:fldChar w:fldCharType="begin" w:fldLock="1"/>
      </w:r>
      <w:r w:rsidR="008C6800">
        <w:rPr>
          <w:sz w:val="28"/>
          <w:szCs w:val="28"/>
        </w:rPr>
        <w:instrText>ADDIN CSL_CITATION {"citationItems":[{"id":"ITEM-1","itemData":{"DOI":"10.1074/jbc.ra120.012753","ISSN":"1083351X","PMID":"32444497","abstract":"Cyclic changes of the human endometrium, such as proliferation, secretion, and decidualization, occur during regular menstrual cycles. Heart– and neural crest derivatives–expressed transcript 2 (HAND2) is a key transcription factor in progestin-induced decidualization of human endometrial stromal cells (ESCs). It has been suggested that HAND2 regulates interleukin 15 (IL15), a key immune factor required for the activation and survival of uterine natural killer (uNK) cells. Activated uNK cells can promote spiral artery remodeling and secrete cytokines to induce immunotolerance. To date, no studies have evaluated the transcription factors that regulate IL15 expression in human ESCs. In the present study, we examined whether HAND2 controls IL15 transcriptional regulation in human ESCs. Quantitative RT-PCR and histological analyses revealed that HAND2 and IL15 levels increase considerably in the secretory phase of human endometrium tissues. Results from ChIP-quantitative PCR suggested that HAND2 binds to a putative HAND2 motif, which we identified in the upstream region of the human IL15 gene through in silico analysis. Using a luciferase reporter assay, we found that the upstream region of the human IL15 gene up-regulates reporter gene activities in response to estradiol and a progestin representative (medroxyprogesterone) in ESCs. The upstream region of the human IL15 gene also exhibited increasing responsiveness to transfection with a HAND2 expression vector. Of note, deletion and substitution variants of the putative HAND2 motif in the upstream region of IL15 did not respond to HAND2 transfection. These findings confirm that HAND2 directly up-regulates human IL15 transcription in ESCs.","author":[{"dropping-particle":"","family":"Murata","given":"Hiromi","non-dropping-particle":"","parse-names":false,"suffix":""},{"dropping-particle":"","family":"Tanaka","given":"Susumu","non-dropping-particle":"","parse-names":false,"suffix":""},{"dropping-particle":"","family":"Tsuzuki-Nakao","given":"Tomoko","non-dropping-particle":"","parse-names":false,"suffix":""},{"dropping-particle":"","family":"Kido","given":"Takeharu","non-dropping-particle":"","parse-names":false,"suffix":""},{"dropping-particle":"","family":"Kakita-Kobayashi","given":"Maiko","non-dropping-particle":"","parse-names":false,"suffix":""},{"dropping-particle":"","family":"Kida","given":"Naoko","non-dropping-particle":"","parse-names":false,"suffix":""},{"dropping-particle":"","family":"Hisamatsu","given":"Yoji","non-dropping-particle":"","parse-names":false,"suffix":""},{"dropping-particle":"","family":"Tsubokura","given":"Hiroaki","non-dropping-particle":"","parse-names":false,"suffix":""},{"dropping-particle":"","family":"Hashimoto","given":"Yoshiko","non-dropping-particle":"","parse-names":false,"suffix":""},{"dropping-particle":"","family":"Kitada","given":"Masaaki","non-dropping-particle":"","parse-names":false,"suffix":""},{"dropping-particle":"","family":"Okada","given":"Hidetaka","non-dropping-particle":"","parse-names":false,"suffix":""}],"container-title":"Journal of Biological Chemistry","id":"ITEM-1","issue":"28","issued":{"date-parts":[["2020"]]},"page":"9596-9605","publisher":"Â© 2020 Murata et al.","title":"The transcription factor HAND2 up-regulates transcription of the IL15 gene in human endometrial stromal cells","type":"article-journal","volume":"295"},"uris":["http://www.mendeley.com/documents/?uuid=e206c388-cd1c-42fc-b4f3-14e733892d7c"]}],"mendeley":{"formattedCitation":"[97]","plainTextFormattedCitation":"[97]","previouslyFormattedCitation":"(97)"},"properties":{"noteIndex":0},"schema":"https://github.com/citation-style-language/schema/raw/master/csl-citation.json"}</w:instrText>
      </w:r>
      <w:r w:rsidRPr="00916B3A">
        <w:rPr>
          <w:sz w:val="28"/>
          <w:szCs w:val="28"/>
        </w:rPr>
        <w:fldChar w:fldCharType="separate"/>
      </w:r>
      <w:r w:rsidR="008C6800" w:rsidRPr="008C6800">
        <w:rPr>
          <w:noProof/>
          <w:sz w:val="28"/>
          <w:szCs w:val="28"/>
        </w:rPr>
        <w:t>[97]</w:t>
      </w:r>
      <w:r w:rsidRPr="00916B3A">
        <w:rPr>
          <w:sz w:val="28"/>
          <w:szCs w:val="28"/>
        </w:rPr>
        <w:fldChar w:fldCharType="end"/>
      </w:r>
      <w:r w:rsidRPr="00916B3A">
        <w:rPr>
          <w:sz w:val="28"/>
          <w:szCs w:val="28"/>
        </w:rPr>
        <w:t xml:space="preserve">. Те же тенденции наблюдались в VEGFB с уровнями ТТГ и пролактина. Было показано, что VEGF-B является фактором выживания для эндотелиальных клеток сосудов </w:t>
      </w:r>
      <w:r w:rsidRPr="00916B3A">
        <w:rPr>
          <w:sz w:val="28"/>
          <w:szCs w:val="28"/>
        </w:rPr>
        <w:fldChar w:fldCharType="begin" w:fldLock="1"/>
      </w:r>
      <w:r w:rsidR="008C6800">
        <w:rPr>
          <w:sz w:val="28"/>
          <w:szCs w:val="28"/>
        </w:rPr>
        <w:instrText>ADDIN CSL_CITATION {"citationItems":[{"id":"ITEM-1","itemData":{"DOI":"10.1016/j.molmed.2011.11.006","ISSN":"1471-4914","author":[{"dropping-particle":"","family":"Li","given":"Xuri","non-dropping-particle":"","parse-names":false,"suffix":""},{"dropping-particle":"","family":"Kumar","given":"Anil","non-dropping-particle":"","parse-names":false,"suffix":""},{"dropping-particle":"","family":"Zhang","given":"Fan","non-dropping-particle":"","parse-names":false,"suffix":""},{"dropping-particle":"","family":"Lee","given":"Chunsik","non-dropping-particle":"","parse-names":false,"suffix":""},{"dropping-particle":"","family":"Tang","given":"Zhongshu","non-dropping-particle":"","parse-names":false,"suffix":""}],"container-title":"Trends in Molecular Medicine","id":"ITEM-1","issue":"2","issued":{"date-parts":[["2012","2","1"]]},"note":"doi: 10.1016/j.molmed.2011.11.006","page":"119-127","publisher":"Elsevier","title":"Complicated life, complicated VEGF-B","type":"article-journal","volume":"18"},"uris":["http://www.mendeley.com/documents/?uuid=209489d0-ec1a-48a3-85ae-ff5c8163f465"]}],"mendeley":{"formattedCitation":"[98]","plainTextFormattedCitation":"[98]","previouslyFormattedCitation":"(98)"},"properties":{"noteIndex":0},"schema":"https://github.com/citation-style-language/schema/raw/master/csl-citation.json"}</w:instrText>
      </w:r>
      <w:r w:rsidRPr="00916B3A">
        <w:rPr>
          <w:sz w:val="28"/>
          <w:szCs w:val="28"/>
        </w:rPr>
        <w:fldChar w:fldCharType="separate"/>
      </w:r>
      <w:r w:rsidR="008C6800" w:rsidRPr="008C6800">
        <w:rPr>
          <w:noProof/>
          <w:sz w:val="28"/>
          <w:szCs w:val="28"/>
        </w:rPr>
        <w:t>[98]</w:t>
      </w:r>
      <w:r w:rsidRPr="00916B3A">
        <w:rPr>
          <w:sz w:val="28"/>
          <w:szCs w:val="28"/>
        </w:rPr>
        <w:fldChar w:fldCharType="end"/>
      </w:r>
      <w:r w:rsidRPr="00916B3A">
        <w:rPr>
          <w:sz w:val="28"/>
          <w:szCs w:val="28"/>
        </w:rPr>
        <w:t>. Эти данные подтвердили, что популяция РНИ крайне неоднородна, и были выявлены многочисленные факторы риска РНИ, факторы образа жизни, включая ИМТ, факторы матки и яичников (эндометриоз, полипы, аденомиоз, поликистозный синдром), тромбофилию</w:t>
      </w:r>
      <w:r w:rsidRPr="00916B3A">
        <w:rPr>
          <w:sz w:val="28"/>
          <w:szCs w:val="28"/>
        </w:rPr>
        <w:fldChar w:fldCharType="begin" w:fldLock="1"/>
      </w:r>
      <w:r w:rsidR="008C6800">
        <w:rPr>
          <w:sz w:val="28"/>
          <w:szCs w:val="28"/>
        </w:rPr>
        <w:instrText>ADDIN CSL_CITATION {"citationItems":[{"id":"ITEM-1","itemData":{"DOI":"10.1186/s12958-018-0414-2","ISSN":"14777827","PMID":"30518389","abstract":"Recurrent implantation failure (RIF) refers to cases in which women have had three failed in vitro fertilization (IVF) attempts with good quality embryos. The definition should also take advanced maternal age and embryo stage into consideration. The failure of embryo implantation can be a consequence of uterine, male, or embryo factors, or the specific type of IVF protocol. These cases should be investigated to determine the most likely etiologies of the condition, as this is a complex problem with several variables. There are multiple risk factors for recurrent implantation failure including advanced maternal age, smoking status of both parents, elevated body mass index, and stress levels. Immunological factors such as cytokine levels and presence of specific autoantibodies should be examined, as well as any infectious organisms in the uterus leading to chronic endometritis. Uterine pathologies such as polyps and myomas as well as congenital anatomical anomalies should be ruled out. Sperm analysis, pre-implantation genetic screening and endometrial receptivity should be considered and evaluated, and IVF protocols should be tailored to specific patients or patient populations. Treatment approaches should be directed toward individual patient cases. In addition, we suggest considering a new initial step in approach to patients with RIF, individualized planned activities to activate the brain's reward system in attempt to improve immunological balance in the body.","author":[{"dropping-particle":"","family":"Bashiri","given":"Asher","non-dropping-particle":"","parse-names":false,"suffix":""},{"dropping-particle":"","family":"Halper","given":"Katherine Ida","non-dropping-particle":"","parse-names":false,"suffix":""},{"dropping-particle":"","family":"Orvieto","given":"Raoul","non-dropping-particle":"","parse-names":false,"suffix":""}],"container-title":"Reproductive Biology and Endocrinology","id":"ITEM-1","issue":"1","issued":{"date-parts":[["2018"]]},"page":"1-18","publisher":"Reproductive Biology and Endocrinology","title":"Recurrent Implantation Failure-update overview on etiology, diagnosis, treatment and future directions","type":"article-journal","volume":"16"},"uris":["http://www.mendeley.com/documents/?uuid=2e12a81d-db93-45f3-92a5-f6c4e419aaf3"]}],"mendeley":{"formattedCitation":"[132]","plainTextFormattedCitation":"[132]","previouslyFormattedCitation":"(132)"},"properties":{"noteIndex":0},"schema":"https://github.com/citation-style-language/schema/raw/master/csl-citation.json"}</w:instrText>
      </w:r>
      <w:r w:rsidRPr="00916B3A">
        <w:rPr>
          <w:sz w:val="28"/>
          <w:szCs w:val="28"/>
        </w:rPr>
        <w:fldChar w:fldCharType="separate"/>
      </w:r>
      <w:r w:rsidR="008C6800" w:rsidRPr="008C6800">
        <w:rPr>
          <w:noProof/>
          <w:sz w:val="28"/>
          <w:szCs w:val="28"/>
        </w:rPr>
        <w:t>[132]</w:t>
      </w:r>
      <w:r w:rsidRPr="00916B3A">
        <w:rPr>
          <w:sz w:val="28"/>
          <w:szCs w:val="28"/>
        </w:rPr>
        <w:fldChar w:fldCharType="end"/>
      </w:r>
      <w:r w:rsidRPr="00916B3A">
        <w:rPr>
          <w:sz w:val="28"/>
          <w:szCs w:val="28"/>
        </w:rPr>
        <w:t xml:space="preserve">. Следующие исследования должны быть выполнены с учетом этих факторов в зависимости от клинических форм. Рецептивность эндометрия характеризуется сложной динамикой интерактивных сетей и регуляторных функций в различных аспектах процесса имплантации, а высокая изменчивость фенотипа между людьми подразумевает их как центральных привратников восприимчивости для имплантации эмбриона </w:t>
      </w:r>
      <w:r w:rsidRPr="00916B3A">
        <w:rPr>
          <w:sz w:val="28"/>
          <w:szCs w:val="28"/>
        </w:rPr>
        <w:fldChar w:fldCharType="begin" w:fldLock="1"/>
      </w:r>
      <w:r w:rsidR="008C6800">
        <w:rPr>
          <w:sz w:val="28"/>
          <w:szCs w:val="28"/>
        </w:rPr>
        <w:instrText>ADDIN CSL_CITATION {"citationItems":[{"id":"ITEM-1","itemData":{"DOI":"10.1016/j.fertnstert.2022.04.023","ISSN":"15565653","PMID":"35618356","abstract":"Immune cells are essential for endometrial receptivity to embryo implantation and early placental development. They exert tissue-remodeling and immune regulatory roles—acting to promote epithelial attachment competence, regulate the differentiation of decidual cells, remodel the uterine vasculature, control and resolve inflammatory activation, and suppress destructive immunity to paternally inherited alloantigens. From a biological perspective, the endometrial immune response exerts a form of “quality control”—it promotes implantation success when conditions are favorable but constrains receptivity when physiological circumstances are not ideal. Women with recurrent implantation failure and recurrent miscarriage may exhibit altered numbers or disturbed function of certain uterine immune cell populations—most notably uterine natural killer cells and regulatory T cells. Preclinical and animal studies indicate that deficiencies or aberrant activation states in these cells can be causal in the pathophysiological mechanisms of infertility. Immune cells are, therefore, targets for diagnostic evaluation and therapeutic intervention. However, current diagnostic tests are overly simplistic and have limited clinical utility. To be more informative, they need to account for the full complexity and reflect the range of perturbations that can occur in uterine immune cell phenotypes and networks. Moreover, safe and effective interventions to modulate these cells are in their infancy, and personalized approaches matched to specific diagnostic criteria will be needed. Here we summarize current biological understanding and identify knowledge gaps to be resolved before the promise of therapies to target the uterine immune response can be fully realized.","author":[{"dropping-particle":"","family":"Robertson","given":"Sarah A.","non-dropping-particle":"","parse-names":false,"suffix":""},{"dropping-particle":"","family":"Moldenhauer","given":"Lachlan M.","non-dropping-particle":"","parse-names":false,"suffix":""},{"dropping-particle":"","family":"Green","given":"Ella S.","non-dropping-particle":"","parse-names":false,"suffix":""},{"dropping-particle":"","family":"Care","given":"Alison S.","non-dropping-particle":"","parse-names":false,"suffix":""},{"dropping-particle":"","family":"Hull","given":"M. Louise","non-dropping-particle":"","parse-names":false,"suffix":""}],"container-title":"Fertility and Sterility","id":"ITEM-1","issue":"6","issued":{"date-parts":[["2022"]]},"page":"1107-1120","publisher":"American Society for Reproductive Medicine","title":"Immune determinants of endometrial receptivity: a biological perspective","type":"article-journal","volume":"117"},"uris":["http://www.mendeley.com/documents/?uuid=9bd39b2d-b4bc-40d5-8054-1cc56d0b0d66"]}],"mendeley":{"formattedCitation":"[133]","plainTextFormattedCitation":"[133]","previouslyFormattedCitation":"(133)"},"properties":{"noteIndex":0},"schema":"https://github.com/citation-style-language/schema/raw/master/csl-citation.json"}</w:instrText>
      </w:r>
      <w:r w:rsidRPr="00916B3A">
        <w:rPr>
          <w:sz w:val="28"/>
          <w:szCs w:val="28"/>
        </w:rPr>
        <w:fldChar w:fldCharType="separate"/>
      </w:r>
      <w:r w:rsidR="008C6800" w:rsidRPr="008C6800">
        <w:rPr>
          <w:noProof/>
          <w:sz w:val="28"/>
          <w:szCs w:val="28"/>
        </w:rPr>
        <w:t>[133]</w:t>
      </w:r>
      <w:r w:rsidRPr="00916B3A">
        <w:rPr>
          <w:sz w:val="28"/>
          <w:szCs w:val="28"/>
        </w:rPr>
        <w:fldChar w:fldCharType="end"/>
      </w:r>
      <w:r w:rsidRPr="00916B3A">
        <w:rPr>
          <w:sz w:val="28"/>
          <w:szCs w:val="28"/>
        </w:rPr>
        <w:t>. Однако наши исследования показали прогностический потенциал комбинации генов C4BPA + CXCL1 для прогнозирования РНИ. Наше исследование выявило дифференциальную экспрессию генов C4BPA и CXCL1 у пациенток с РИФ и тонким эндометрием по сравнению с эндометрием фертильных женщин. Эти данные позволили нам оценить прогностическую ценность комбинированной модели для прогнозирования неудач имплантации в зависимости от толщины эндометрия. Данные также предоставляют потенциальные терапевтические цели для лечения тонкого эндометрия у пациенток, проходящих программы ВРТ.</w:t>
      </w:r>
    </w:p>
    <w:p w14:paraId="6148871C" w14:textId="3059936E" w:rsidR="00962E5C" w:rsidRPr="00916B3A" w:rsidRDefault="00962E5C" w:rsidP="00962E5C">
      <w:pPr>
        <w:pStyle w:val="a9"/>
        <w:shd w:val="clear" w:color="auto" w:fill="FFFFFF"/>
        <w:spacing w:before="0" w:beforeAutospacing="0" w:after="0" w:afterAutospacing="0"/>
        <w:ind w:firstLine="567"/>
        <w:jc w:val="both"/>
        <w:rPr>
          <w:sz w:val="28"/>
          <w:szCs w:val="28"/>
        </w:rPr>
      </w:pPr>
      <w:r w:rsidRPr="00916B3A">
        <w:rPr>
          <w:sz w:val="28"/>
          <w:szCs w:val="28"/>
        </w:rPr>
        <w:t xml:space="preserve">В этом исследовании были изучены экспрессии генов у пациенток с РНИ и тонким эндометрием, а также соответствующие эндометриальные ткани от пациенток с РПБ. Мы выявили аномальную активацию воспалительной среды в тонком эндометрии. Изменения иммунного ответа на уровне эндометрия были статистически значимо нарушены в группе РНИ. Экспрессия генов </w:t>
      </w:r>
      <w:r w:rsidRPr="00916B3A">
        <w:rPr>
          <w:i/>
          <w:iCs/>
          <w:sz w:val="28"/>
          <w:szCs w:val="28"/>
        </w:rPr>
        <w:t>IL-15</w:t>
      </w:r>
      <w:r w:rsidRPr="00916B3A">
        <w:rPr>
          <w:sz w:val="28"/>
          <w:szCs w:val="28"/>
        </w:rPr>
        <w:t xml:space="preserve">, </w:t>
      </w:r>
      <w:r w:rsidRPr="00916B3A">
        <w:rPr>
          <w:i/>
          <w:iCs/>
          <w:sz w:val="28"/>
          <w:szCs w:val="28"/>
        </w:rPr>
        <w:t xml:space="preserve">INFG </w:t>
      </w:r>
      <w:r w:rsidRPr="00916B3A">
        <w:rPr>
          <w:sz w:val="28"/>
          <w:szCs w:val="28"/>
        </w:rPr>
        <w:t xml:space="preserve">и </w:t>
      </w:r>
      <w:r w:rsidRPr="00916B3A">
        <w:rPr>
          <w:i/>
          <w:iCs/>
          <w:sz w:val="28"/>
          <w:szCs w:val="28"/>
        </w:rPr>
        <w:t xml:space="preserve">HPRT1 </w:t>
      </w:r>
      <w:r w:rsidRPr="00916B3A">
        <w:rPr>
          <w:sz w:val="28"/>
          <w:szCs w:val="28"/>
        </w:rPr>
        <w:t>была значительно снижена у пациенток с РНИ и тонким эндометрием по сравнению с пациентками с RPL (</w:t>
      </w:r>
      <w:r w:rsidRPr="00916B3A">
        <w:rPr>
          <w:i/>
          <w:sz w:val="28"/>
          <w:szCs w:val="28"/>
        </w:rPr>
        <w:t xml:space="preserve">p </w:t>
      </w:r>
      <w:r w:rsidRPr="00916B3A">
        <w:rPr>
          <w:sz w:val="28"/>
          <w:szCs w:val="28"/>
        </w:rPr>
        <w:t>=</w:t>
      </w:r>
      <w:r w:rsidRPr="00916B3A">
        <w:rPr>
          <w:i/>
          <w:sz w:val="28"/>
          <w:szCs w:val="28"/>
        </w:rPr>
        <w:t xml:space="preserve"> </w:t>
      </w:r>
      <w:r w:rsidRPr="00916B3A">
        <w:rPr>
          <w:sz w:val="28"/>
          <w:szCs w:val="28"/>
        </w:rPr>
        <w:t xml:space="preserve">0,023, </w:t>
      </w:r>
      <w:r w:rsidRPr="00916B3A">
        <w:rPr>
          <w:i/>
          <w:sz w:val="28"/>
          <w:szCs w:val="28"/>
        </w:rPr>
        <w:t xml:space="preserve">р </w:t>
      </w:r>
      <w:r w:rsidRPr="00916B3A">
        <w:rPr>
          <w:sz w:val="28"/>
          <w:szCs w:val="28"/>
        </w:rPr>
        <w:t>=</w:t>
      </w:r>
      <w:r w:rsidRPr="00916B3A">
        <w:rPr>
          <w:i/>
          <w:sz w:val="28"/>
          <w:szCs w:val="28"/>
        </w:rPr>
        <w:t xml:space="preserve"> </w:t>
      </w:r>
      <w:r w:rsidRPr="00916B3A">
        <w:rPr>
          <w:sz w:val="28"/>
          <w:szCs w:val="28"/>
        </w:rPr>
        <w:t xml:space="preserve">0,046 и </w:t>
      </w:r>
      <w:r w:rsidRPr="00916B3A">
        <w:rPr>
          <w:i/>
          <w:sz w:val="28"/>
          <w:szCs w:val="28"/>
        </w:rPr>
        <w:t xml:space="preserve">р </w:t>
      </w:r>
      <w:r w:rsidRPr="00916B3A">
        <w:rPr>
          <w:sz w:val="28"/>
          <w:szCs w:val="28"/>
        </w:rPr>
        <w:t>=</w:t>
      </w:r>
      <w:r w:rsidRPr="00916B3A">
        <w:rPr>
          <w:i/>
          <w:sz w:val="28"/>
          <w:szCs w:val="28"/>
        </w:rPr>
        <w:t xml:space="preserve"> </w:t>
      </w:r>
      <w:r w:rsidRPr="00916B3A">
        <w:rPr>
          <w:sz w:val="28"/>
          <w:szCs w:val="28"/>
        </w:rPr>
        <w:t>0,046 соответственно).</w:t>
      </w:r>
    </w:p>
    <w:p w14:paraId="36741FDA" w14:textId="222506B9" w:rsidR="00962E5C" w:rsidRPr="00916B3A" w:rsidRDefault="00962E5C" w:rsidP="00962E5C">
      <w:pPr>
        <w:pStyle w:val="a9"/>
        <w:shd w:val="clear" w:color="auto" w:fill="FFFFFF"/>
        <w:spacing w:before="0" w:beforeAutospacing="0" w:after="0" w:afterAutospacing="0"/>
        <w:ind w:firstLine="567"/>
        <w:jc w:val="both"/>
        <w:rPr>
          <w:sz w:val="28"/>
          <w:szCs w:val="28"/>
        </w:rPr>
      </w:pPr>
      <w:r w:rsidRPr="00916B3A">
        <w:rPr>
          <w:sz w:val="28"/>
          <w:szCs w:val="28"/>
        </w:rPr>
        <w:t xml:space="preserve">IL-15 является ключевым иммунным фактором, необходимым для активации и выживания естественных клеток-киллеров матки (uNK). Активированные клетки uNK могут способствовать ремоделированию спиральной артерии и секретировать цитокины для индукции иммунотолерантности. Экспрессия </w:t>
      </w:r>
      <w:r w:rsidRPr="00916B3A">
        <w:rPr>
          <w:i/>
          <w:iCs/>
          <w:sz w:val="28"/>
          <w:szCs w:val="28"/>
        </w:rPr>
        <w:t xml:space="preserve">IL-15 </w:t>
      </w:r>
      <w:r w:rsidRPr="00916B3A">
        <w:rPr>
          <w:sz w:val="28"/>
          <w:szCs w:val="28"/>
        </w:rPr>
        <w:t xml:space="preserve">отличается у пациенток с РНИ по сравнению с фертильными контрольными группами и коррелирует с локальным набором uNK (CD56+) и ангиогенезом. Более того, уровни мРНК </w:t>
      </w:r>
      <w:r w:rsidRPr="00916B3A">
        <w:rPr>
          <w:i/>
          <w:iCs/>
          <w:sz w:val="28"/>
          <w:szCs w:val="28"/>
        </w:rPr>
        <w:t xml:space="preserve">IL-15 </w:t>
      </w:r>
      <w:r w:rsidRPr="00916B3A">
        <w:rPr>
          <w:sz w:val="28"/>
          <w:szCs w:val="28"/>
        </w:rPr>
        <w:t xml:space="preserve">в эндометрии средней лютеиновой фазы положительно коррелировали с клетками uNK CD56+ (r = 0,392; </w:t>
      </w:r>
      <w:r w:rsidRPr="00916B3A">
        <w:rPr>
          <w:i/>
          <w:sz w:val="28"/>
          <w:szCs w:val="28"/>
        </w:rPr>
        <w:t xml:space="preserve">p </w:t>
      </w:r>
      <w:r w:rsidRPr="00916B3A">
        <w:rPr>
          <w:sz w:val="28"/>
          <w:szCs w:val="28"/>
        </w:rPr>
        <w:t>= 0,008).</w:t>
      </w:r>
    </w:p>
    <w:p w14:paraId="1FF6D081" w14:textId="77777777" w:rsidR="00962E5C" w:rsidRPr="00916B3A" w:rsidRDefault="00962E5C" w:rsidP="00962E5C">
      <w:pPr>
        <w:pStyle w:val="a9"/>
        <w:shd w:val="clear" w:color="auto" w:fill="FFFFFF"/>
        <w:spacing w:before="0" w:beforeAutospacing="0" w:after="0" w:afterAutospacing="0"/>
        <w:ind w:firstLine="567"/>
        <w:jc w:val="both"/>
        <w:rPr>
          <w:sz w:val="28"/>
          <w:szCs w:val="28"/>
        </w:rPr>
      </w:pPr>
      <w:r w:rsidRPr="00916B3A">
        <w:rPr>
          <w:sz w:val="28"/>
          <w:szCs w:val="28"/>
        </w:rPr>
        <w:t>История рецидивирующих инфекций у женщин с РНИ и РПБ может привести к кумулятивным иммунным изменениям. Кроме того, повторные инфекции могут способствовать развитию аутоиммунитета, что приводит к неадекватным реакциям как на эмбриональные, так и на материнские ткани. Устранение инфекций и восстановление сбалансированного иммунного ответа могут иметь решающее значение для улучшения результатов у женщин с РНИ и РПБ. Это указывает на значимый патогенетический механизм неудач имплантации, связанный с инфекцией, что необходимо учитывать при реабилитации больных с РНИ.</w:t>
      </w:r>
    </w:p>
    <w:p w14:paraId="5AA9A454" w14:textId="5CA192C1" w:rsidR="00962E5C" w:rsidRPr="00916B3A" w:rsidRDefault="00962E5C" w:rsidP="00962E5C">
      <w:pPr>
        <w:pStyle w:val="a9"/>
        <w:shd w:val="clear" w:color="auto" w:fill="FFFFFF"/>
        <w:spacing w:before="0" w:beforeAutospacing="0" w:after="0" w:afterAutospacing="0"/>
        <w:ind w:firstLine="567"/>
        <w:jc w:val="both"/>
        <w:rPr>
          <w:sz w:val="28"/>
          <w:szCs w:val="28"/>
        </w:rPr>
      </w:pPr>
      <w:r w:rsidRPr="00916B3A">
        <w:rPr>
          <w:sz w:val="28"/>
          <w:szCs w:val="28"/>
        </w:rPr>
        <w:t>Это исследование показало, что у пациентов с РНИ и РПБ наблюдались значительные (</w:t>
      </w:r>
      <w:proofErr w:type="gramStart"/>
      <w:r w:rsidRPr="00916B3A">
        <w:rPr>
          <w:i/>
          <w:sz w:val="28"/>
          <w:szCs w:val="28"/>
        </w:rPr>
        <w:t>p</w:t>
      </w:r>
      <w:r w:rsidRPr="00916B3A">
        <w:rPr>
          <w:sz w:val="28"/>
          <w:szCs w:val="28"/>
        </w:rPr>
        <w:t>&lt;</w:t>
      </w:r>
      <w:proofErr w:type="gramEnd"/>
      <w:r w:rsidRPr="00916B3A">
        <w:rPr>
          <w:sz w:val="28"/>
          <w:szCs w:val="28"/>
        </w:rPr>
        <w:t>0,05) обратные умеренные корреляции. У пациентов с РНИ значимые обратные умеренные корреляции наблюдались между HAND2 и ТТГ, HAND2 и фибриногеном, VEGFB и пролактином, а также VEGFB и ТТГ. У пациентов с РПБ значимые обратные умеренные корреляции были обнаружены между CXCL1 и протромбиновым временем и между MMP10 и активированным частичным тромбопластиновым временем, а также прямая умеренная корреляция была обнаружена между CXCL1 и активированным частичным тромбопластиновым временем. Таким образом, снижение уровней вышеуказанных генов было связано с повышением уровней гормонов гипофиза и активацией системы гемостаза.</w:t>
      </w:r>
    </w:p>
    <w:p w14:paraId="3911FE96" w14:textId="691C8A8D" w:rsidR="00962E5C" w:rsidRPr="00916B3A" w:rsidRDefault="00962E5C" w:rsidP="00962E5C">
      <w:pPr>
        <w:pStyle w:val="a9"/>
        <w:shd w:val="clear" w:color="auto" w:fill="FFFFFF"/>
        <w:spacing w:before="0" w:beforeAutospacing="0" w:after="0" w:afterAutospacing="0"/>
        <w:ind w:firstLine="567"/>
        <w:jc w:val="both"/>
        <w:rPr>
          <w:sz w:val="28"/>
          <w:szCs w:val="28"/>
        </w:rPr>
      </w:pPr>
      <w:r w:rsidRPr="00916B3A">
        <w:rPr>
          <w:sz w:val="28"/>
          <w:szCs w:val="28"/>
        </w:rPr>
        <w:t xml:space="preserve">Это исследование подтвердило, что популяции РНИ и РПБ крайне неоднородны. Несмотря на сходство факторов риска, экспрессия генов различается. Однако были показаны прогностические потенциалы генов </w:t>
      </w:r>
      <w:r w:rsidRPr="00916B3A">
        <w:rPr>
          <w:i/>
          <w:iCs/>
          <w:sz w:val="28"/>
          <w:szCs w:val="28"/>
        </w:rPr>
        <w:t xml:space="preserve">IL-15 </w:t>
      </w:r>
      <w:r w:rsidRPr="00916B3A">
        <w:rPr>
          <w:sz w:val="28"/>
          <w:szCs w:val="28"/>
        </w:rPr>
        <w:t xml:space="preserve">и их комбинаций для разработки терапевтических подходов у женщин с РНИ и тонким эндометрием. Мы оценили способность предикции неудачи ЭКО, отслеживая уровни транскриптов трех генов. Транскрипты сами по себе показали скромные результаты в области порога между «удовлетворительно» и «плохо» (с AUC приблизительно 0,7); однако комбинация IL15+ HPRT1 достигла порога «хорошего» классификатора (AUC = 0,8). </w:t>
      </w:r>
    </w:p>
    <w:p w14:paraId="629351E0" w14:textId="54E23120" w:rsidR="00273C23" w:rsidRPr="00916B3A" w:rsidRDefault="00273C23" w:rsidP="00262982">
      <w:pPr>
        <w:pStyle w:val="aff6"/>
        <w:shd w:val="clear" w:color="auto" w:fill="FFFFFF" w:themeFill="background1"/>
        <w:spacing w:after="0"/>
        <w:ind w:left="0"/>
        <w:outlineLvl w:val="0"/>
        <w:rPr>
          <w:b/>
          <w:szCs w:val="28"/>
          <w:lang w:eastAsia="uk-UA"/>
        </w:rPr>
      </w:pPr>
    </w:p>
    <w:p w14:paraId="499BD3F9" w14:textId="07EC08D2" w:rsidR="006E1A7E" w:rsidRPr="00916B3A" w:rsidRDefault="006E1A7E" w:rsidP="005536C0">
      <w:pPr>
        <w:pStyle w:val="aff6"/>
        <w:shd w:val="clear" w:color="auto" w:fill="FFFFFF" w:themeFill="background1"/>
        <w:spacing w:after="0"/>
        <w:ind w:left="0"/>
        <w:jc w:val="center"/>
        <w:outlineLvl w:val="0"/>
        <w:rPr>
          <w:b/>
          <w:szCs w:val="28"/>
          <w:lang w:eastAsia="uk-UA"/>
        </w:rPr>
      </w:pPr>
      <w:r w:rsidRPr="00916B3A">
        <w:rPr>
          <w:b/>
          <w:szCs w:val="28"/>
          <w:lang w:eastAsia="uk-UA"/>
        </w:rPr>
        <w:t>ЗАКЛЮЧЕНИЕ</w:t>
      </w:r>
    </w:p>
    <w:p w14:paraId="1F19F0A0" w14:textId="77777777" w:rsidR="00FF1C8D" w:rsidRPr="00916B3A" w:rsidRDefault="00FF1C8D" w:rsidP="00035A1D">
      <w:pPr>
        <w:pStyle w:val="aff6"/>
        <w:shd w:val="clear" w:color="auto" w:fill="FFFFFF" w:themeFill="background1"/>
        <w:spacing w:after="0"/>
        <w:ind w:firstLine="567"/>
        <w:jc w:val="center"/>
        <w:outlineLvl w:val="0"/>
        <w:rPr>
          <w:b/>
          <w:szCs w:val="28"/>
        </w:rPr>
      </w:pPr>
    </w:p>
    <w:p w14:paraId="053472AB" w14:textId="5E6F6D7B" w:rsidR="00035A1D" w:rsidRPr="00916B3A" w:rsidRDefault="00035A1D" w:rsidP="00035A1D">
      <w:pPr>
        <w:pStyle w:val="a9"/>
        <w:shd w:val="clear" w:color="auto" w:fill="FFFFFF"/>
        <w:spacing w:before="0" w:beforeAutospacing="0" w:after="0" w:afterAutospacing="0"/>
        <w:ind w:firstLine="567"/>
        <w:jc w:val="both"/>
        <w:rPr>
          <w:bCs/>
          <w:color w:val="000000" w:themeColor="text1"/>
          <w:sz w:val="28"/>
          <w:szCs w:val="28"/>
        </w:rPr>
      </w:pPr>
      <w:r w:rsidRPr="00916B3A">
        <w:rPr>
          <w:sz w:val="28"/>
          <w:szCs w:val="28"/>
        </w:rPr>
        <w:t>Анализ факторов риска рецидивов потери беременности и неудачных имплантаций показал, что оптимальная толщина эндометрия имеет ключевое значение для успешной имплантации и дальнейшего развития эмбриона. Обнаруженная связь между толщиной эндометрия и наступлением беременности подчеркивает важность тщательного мониторинга и коррекции состояния эндометрия в процессе циклов ЭКО-ИКСИ. Хотя это не является основной темой данного исследования, стратегии сохранения фертильности, такие как витрификация ооцитов, приобретают всё большее значение для женщин, желающих использовать менее инвазивные методы лечения для сохранения репродуктивного потенциала</w:t>
      </w:r>
      <w:r w:rsidRPr="00916B3A">
        <w:rPr>
          <w:rFonts w:eastAsia="Arial Unicode MS"/>
          <w:color w:val="000000"/>
          <w:sz w:val="28"/>
          <w:szCs w:val="28"/>
          <w:u w:color="000000"/>
          <w:bdr w:val="nil"/>
        </w:rPr>
        <w:t xml:space="preserve"> </w:t>
      </w:r>
      <w:r w:rsidRPr="00916B3A">
        <w:rPr>
          <w:rFonts w:eastAsia="Arial Unicode MS"/>
          <w:color w:val="000000"/>
          <w:sz w:val="28"/>
          <w:szCs w:val="28"/>
          <w:u w:color="000000"/>
          <w:bdr w:val="nil"/>
        </w:rPr>
        <w:fldChar w:fldCharType="begin" w:fldLock="1"/>
      </w:r>
      <w:r w:rsidR="008C6800">
        <w:rPr>
          <w:rFonts w:eastAsia="Arial Unicode MS"/>
          <w:color w:val="000000"/>
          <w:sz w:val="28"/>
          <w:szCs w:val="28"/>
          <w:u w:color="000000"/>
          <w:bdr w:val="nil"/>
        </w:rPr>
        <w:instrText>ADDIN CSL_CITATION {"citationItems":[{"id":"ITEM-1","itemData":{"DOI":"10.26355/eurrev_202202_28092","ISSN":"22840729","PMID":"35253158","author":[{"dropping-particle":"","family":"Gullo","given":"Giuseppe","non-dropping-particle":"","parse-names":false,"suffix":""},{"dropping-particle":"","family":"Perino","given":"A.","non-dropping-particle":"","parse-names":false,"suffix":""},{"dropping-particle":"","family":"Cucinella","given":"G.","non-dropping-particle":"","parse-names":false,"suffix":""}],"container-title":"European Review for Medical and Pharmacological Sciences","id":"ITEM-1","issue":"4","issued":{"date-parts":[["2022"]]},"page":"1065-1067","title":"Open vs. closed vitrification system: Which one is safer?","type":"article-journal","volume":"26"},"uris":["http://www.mendeley.com/documents/?uuid=c23fbbb6-4fa6-411e-a2d3-23a693062e6a"]}],"mendeley":{"formattedCitation":"[127]","plainTextFormattedCitation":"[127]","previouslyFormattedCitation":"(127)"},"properties":{"noteIndex":0},"schema":"https://github.com/citation-style-language/schema/raw/master/csl-citation.json"}</w:instrText>
      </w:r>
      <w:r w:rsidRPr="00916B3A">
        <w:rPr>
          <w:rFonts w:eastAsia="Arial Unicode MS"/>
          <w:color w:val="000000"/>
          <w:sz w:val="28"/>
          <w:szCs w:val="28"/>
          <w:u w:color="000000"/>
          <w:bdr w:val="nil"/>
        </w:rPr>
        <w:fldChar w:fldCharType="separate"/>
      </w:r>
      <w:r w:rsidR="008C6800" w:rsidRPr="008C6800">
        <w:rPr>
          <w:rFonts w:eastAsia="Arial Unicode MS"/>
          <w:noProof/>
          <w:color w:val="000000"/>
          <w:sz w:val="28"/>
          <w:szCs w:val="28"/>
          <w:u w:color="000000"/>
          <w:bdr w:val="nil"/>
        </w:rPr>
        <w:t>[127</w:t>
      </w:r>
      <w:r w:rsidR="003235EC">
        <w:rPr>
          <w:rFonts w:eastAsia="Arial Unicode MS"/>
          <w:noProof/>
          <w:color w:val="000000"/>
          <w:sz w:val="28"/>
          <w:szCs w:val="28"/>
          <w:u w:color="000000"/>
          <w:bdr w:val="nil"/>
        </w:rPr>
        <w:t>, с. 1065</w:t>
      </w:r>
      <w:r w:rsidR="008C6800" w:rsidRPr="008C6800">
        <w:rPr>
          <w:rFonts w:eastAsia="Arial Unicode MS"/>
          <w:noProof/>
          <w:color w:val="000000"/>
          <w:sz w:val="28"/>
          <w:szCs w:val="28"/>
          <w:u w:color="000000"/>
          <w:bdr w:val="nil"/>
        </w:rPr>
        <w:t>]</w:t>
      </w:r>
      <w:r w:rsidRPr="00916B3A">
        <w:rPr>
          <w:rFonts w:eastAsia="Arial Unicode MS"/>
          <w:color w:val="000000"/>
          <w:sz w:val="28"/>
          <w:szCs w:val="28"/>
          <w:u w:color="000000"/>
          <w:bdr w:val="nil"/>
        </w:rPr>
        <w:fldChar w:fldCharType="end"/>
      </w:r>
      <w:r w:rsidRPr="00916B3A">
        <w:rPr>
          <w:rFonts w:eastAsia="Arial Unicode MS"/>
          <w:color w:val="000000"/>
          <w:sz w:val="28"/>
          <w:szCs w:val="28"/>
          <w:u w:color="000000"/>
          <w:bdr w:val="nil"/>
        </w:rPr>
        <w:t xml:space="preserve">. </w:t>
      </w:r>
      <w:r w:rsidRPr="00916B3A">
        <w:rPr>
          <w:rFonts w:eastAsia="Arial Unicode MS"/>
          <w:color w:val="000000" w:themeColor="text1"/>
          <w:sz w:val="28"/>
          <w:szCs w:val="28"/>
          <w:u w:color="000000"/>
          <w:bdr w:val="nil"/>
        </w:rPr>
        <w:t xml:space="preserve"> </w:t>
      </w:r>
      <w:r w:rsidRPr="00916B3A">
        <w:rPr>
          <w:sz w:val="28"/>
          <w:szCs w:val="28"/>
        </w:rPr>
        <w:t>Витрификация ооцитов предоставляет женщинам шанс сохранить свои репродуктивные возможности на будущее, особенно если они проходят процедуру ЭКО-ИКСИ в зрелом возрасте или имеют проблемы с фертильностью. Эта методика также позволяет проводить неинвазивную пренатальную диагностику и следить за результатами на неонатальном этапе.</w:t>
      </w:r>
      <w:r w:rsidRPr="00916B3A">
        <w:rPr>
          <w:rFonts w:eastAsia="Arial Unicode MS"/>
          <w:color w:val="000000"/>
          <w:sz w:val="28"/>
          <w:szCs w:val="28"/>
          <w:u w:color="000000"/>
          <w:bdr w:val="nil"/>
        </w:rPr>
        <w:t xml:space="preserve"> </w:t>
      </w:r>
      <w:r w:rsidRPr="00916B3A">
        <w:rPr>
          <w:rFonts w:eastAsia="Arial Unicode MS"/>
          <w:color w:val="000000"/>
          <w:sz w:val="28"/>
          <w:szCs w:val="28"/>
          <w:u w:color="000000"/>
          <w:bdr w:val="nil"/>
        </w:rPr>
        <w:fldChar w:fldCharType="begin" w:fldLock="1"/>
      </w:r>
      <w:r w:rsidR="008C6800">
        <w:rPr>
          <w:rFonts w:eastAsia="Arial Unicode MS"/>
          <w:color w:val="000000"/>
          <w:sz w:val="28"/>
          <w:szCs w:val="28"/>
          <w:u w:color="000000"/>
          <w:bdr w:val="nil"/>
        </w:rPr>
        <w:instrText>ADDIN CSL_CITATION {"citationItems":[{"id":"ITEM-1","itemData":{"DOI":"10.3390/jpm13010001","ISSN":"20754426","abstract":"Cell-free fetal DNA (cffDNA) analysis is a non-invasive prenatal diagnostic test with a fundamental role for the screening of chromosomic or monogenic pathologies of the fetus. Its administration is performed by fetal DNA detection in the mother’s blood from the fourth week of gestation. Given the great interest regarding its validation as a diagnostic tool, the authors have set out to undertake a critical appraisal based on a wide-ranging narrative review of 45 total studies centered around such techniques. Both chromosomopathies and monogenic diseases were taken into account and systematically discussed and elucidated. Not surprisingly, cell-free fetal DNA analysis for screening purposes is already rather well-established. At the same time, considerable interest in its diagnostic value has emerged from this literature review, which recommends the elaboration of appropriate validation studies, as well as a broad discourse, involving all stakeholders, to address the legal and ethical complexities that such techniques entail.","author":[{"dropping-particle":"","family":"Gullo","given":"Giuseppe","non-dropping-particle":"","parse-names":false,"suffix":""},{"dropping-particle":"","family":"Scaglione","given":"Marco","non-dropping-particle":"","parse-names":false,"suffix":""},{"dropping-particle":"","family":"Buzzaccarini","given":"Giovanni","non-dropping-particle":"","parse-names":false,"suffix":""},{"dropping-particle":"","family":"Laganà","given":"Antonio Simone","non-dropping-particle":"","parse-names":false,"suffix":""},{"dropping-particle":"","family":"Basile","given":"Giuseppe","non-dropping-particle":"","parse-names":false,"suffix":""},{"dropping-particle":"","family":"Chiantera","given":"Vito","non-dropping-particle":"","parse-names":false,"suffix":""},{"dropping-particle":"","family":"Cucinella","given":"Gaspare","non-dropping-particle":"","parse-names":false,"suffix":""},{"dropping-particle":"","family":"Zaami","given":"Simona","non-dropping-particle":"","parse-names":false,"suffix":""}],"container-title":"Journal of Personalized Medicine","id":"ITEM-1","issue":"1","issued":{"date-parts":[["2023"]]},"page":"1-18","title":"Cell-Free Fetal DNA and Non-Invasive Prenatal Diagnosis of Chromosomopathies and Pediatric Monogenic Diseases: A Critical Appraisal and Medicolegal Remarks","type":"article-journal","volume":"13"},"uris":["http://www.mendeley.com/documents/?uuid=1a7fb88c-6519-493c-ae4f-7160e9751389"]}],"mendeley":{"formattedCitation":"[128]","plainTextFormattedCitation":"[128]","previouslyFormattedCitation":"(128)"},"properties":{"noteIndex":0},"schema":"https://github.com/citation-style-language/schema/raw/master/csl-citation.json"}</w:instrText>
      </w:r>
      <w:r w:rsidRPr="00916B3A">
        <w:rPr>
          <w:rFonts w:eastAsia="Arial Unicode MS"/>
          <w:color w:val="000000"/>
          <w:sz w:val="28"/>
          <w:szCs w:val="28"/>
          <w:u w:color="000000"/>
          <w:bdr w:val="nil"/>
        </w:rPr>
        <w:fldChar w:fldCharType="separate"/>
      </w:r>
      <w:r w:rsidR="008C6800" w:rsidRPr="008C6800">
        <w:rPr>
          <w:rFonts w:eastAsia="Arial Unicode MS"/>
          <w:noProof/>
          <w:color w:val="000000"/>
          <w:sz w:val="28"/>
          <w:szCs w:val="28"/>
          <w:u w:color="000000"/>
          <w:bdr w:val="nil"/>
        </w:rPr>
        <w:t>[128</w:t>
      </w:r>
      <w:r w:rsidR="003235EC">
        <w:rPr>
          <w:rFonts w:eastAsia="Arial Unicode MS"/>
          <w:noProof/>
          <w:color w:val="000000"/>
          <w:sz w:val="28"/>
          <w:szCs w:val="28"/>
          <w:u w:color="000000"/>
          <w:bdr w:val="nil"/>
        </w:rPr>
        <w:t>, с. 4</w:t>
      </w:r>
      <w:r w:rsidR="008C6800" w:rsidRPr="008C6800">
        <w:rPr>
          <w:rFonts w:eastAsia="Arial Unicode MS"/>
          <w:noProof/>
          <w:color w:val="000000"/>
          <w:sz w:val="28"/>
          <w:szCs w:val="28"/>
          <w:u w:color="000000"/>
          <w:bdr w:val="nil"/>
        </w:rPr>
        <w:t>]</w:t>
      </w:r>
      <w:r w:rsidRPr="00916B3A">
        <w:rPr>
          <w:rFonts w:eastAsia="Arial Unicode MS"/>
          <w:color w:val="000000"/>
          <w:sz w:val="28"/>
          <w:szCs w:val="28"/>
          <w:u w:color="000000"/>
          <w:bdr w:val="nil"/>
        </w:rPr>
        <w:fldChar w:fldCharType="end"/>
      </w:r>
      <w:r w:rsidRPr="00916B3A">
        <w:rPr>
          <w:rFonts w:eastAsia="Arial Unicode MS"/>
          <w:color w:val="000000"/>
          <w:sz w:val="28"/>
          <w:szCs w:val="28"/>
          <w:u w:color="000000"/>
          <w:bdr w:val="nil"/>
        </w:rPr>
        <w:t xml:space="preserve">. </w:t>
      </w:r>
      <w:r w:rsidRPr="00916B3A">
        <w:rPr>
          <w:rFonts w:eastAsia="Arial Unicode MS"/>
          <w:color w:val="000000" w:themeColor="text1"/>
          <w:sz w:val="28"/>
          <w:szCs w:val="28"/>
          <w:u w:color="000000"/>
          <w:bdr w:val="nil"/>
        </w:rPr>
        <w:t>Включение витрификации ооцитов в финансируемые государством пр</w:t>
      </w:r>
      <w:r w:rsidR="00705F82" w:rsidRPr="00916B3A">
        <w:rPr>
          <w:rFonts w:eastAsia="Arial Unicode MS"/>
          <w:color w:val="000000" w:themeColor="text1"/>
          <w:sz w:val="28"/>
          <w:szCs w:val="28"/>
          <w:u w:color="000000"/>
          <w:bdr w:val="nil"/>
        </w:rPr>
        <w:t>ограммы, такие как «А</w:t>
      </w:r>
      <w:r w:rsidR="00705F82" w:rsidRPr="00916B3A">
        <w:rPr>
          <w:rFonts w:eastAsia="Arial Unicode MS"/>
          <w:color w:val="000000" w:themeColor="text1"/>
          <w:sz w:val="28"/>
          <w:szCs w:val="28"/>
          <w:u w:color="000000"/>
          <w:bdr w:val="nil"/>
          <w:lang w:val="kk-KZ"/>
        </w:rPr>
        <w:t>ңсаған сәби</w:t>
      </w:r>
      <w:r w:rsidRPr="00916B3A">
        <w:rPr>
          <w:rFonts w:eastAsia="Arial Unicode MS"/>
          <w:color w:val="000000" w:themeColor="text1"/>
          <w:sz w:val="28"/>
          <w:szCs w:val="28"/>
          <w:u w:color="000000"/>
          <w:bdr w:val="nil"/>
        </w:rPr>
        <w:t xml:space="preserve">», которые облегчают доступ к ВРТ, потенциально может повысить показатели успешности ЭКО. </w:t>
      </w:r>
      <w:r w:rsidRPr="00916B3A">
        <w:rPr>
          <w:rFonts w:eastAsia="Arial Unicode MS"/>
          <w:color w:val="000000" w:themeColor="text1"/>
          <w:sz w:val="28"/>
          <w:szCs w:val="28"/>
          <w:u w:color="000000"/>
          <w:bdr w:val="nil"/>
          <w:lang w:eastAsia="it-IT"/>
        </w:rPr>
        <w:t xml:space="preserve">Учет толщины эндометрия в качестве ключевого предиктора исхода беременности у предварительно отобранных пациенток, проходящих процедуру ЭКО-ИКСИ, может повысить эффективность программы в плане минимизации факторов риска наступления и потери беременности. В частности, программа может использовать наши результаты для оптимизации критериев отбора пациентов, уточнения протоколов лечения и улучшения стратегий мониторинга для обеспечения оптимального состояния эндометрия во время циклов ЭКО-ИКСИ. </w:t>
      </w:r>
      <w:r w:rsidRPr="00916B3A">
        <w:rPr>
          <w:rFonts w:eastAsia="Arial Unicode MS"/>
          <w:color w:val="000000" w:themeColor="text1"/>
          <w:sz w:val="28"/>
          <w:szCs w:val="28"/>
          <w:u w:color="000000"/>
          <w:bdr w:val="nil"/>
        </w:rPr>
        <w:t>Н</w:t>
      </w:r>
      <w:r w:rsidRPr="00916B3A">
        <w:rPr>
          <w:bCs/>
          <w:color w:val="000000" w:themeColor="text1"/>
          <w:sz w:val="28"/>
          <w:szCs w:val="28"/>
        </w:rPr>
        <w:t>аше исследование показало, что толщина эндометрия является значимым предиктором наступления беременности у женщин, проходящих процедуру ЭКО-ИКСИ. Оптимальная толщина эндометрия, составляющая &lt;7 мм, ассоциируется с улучшением исхода беременности. Клиницистам следует рассмотреть возможность мониторинга и оптимизации состояния эндометрия для повышения успешности циклов ЭКО-ИКСИ. Необходимы дальнейшие исследования для подтверждения наших выводов и изучения дополнительных факторов, влияющих на результаты ЭКО-ИКСИ.</w:t>
      </w:r>
    </w:p>
    <w:p w14:paraId="6008BEFA" w14:textId="397C1ACA" w:rsidR="00273C23" w:rsidRPr="00916B3A" w:rsidRDefault="00273C23" w:rsidP="00273C23">
      <w:pPr>
        <w:pStyle w:val="a9"/>
        <w:shd w:val="clear" w:color="auto" w:fill="FFFFFF"/>
        <w:spacing w:before="0" w:beforeAutospacing="0" w:after="0" w:afterAutospacing="0"/>
        <w:ind w:firstLine="567"/>
        <w:jc w:val="both"/>
        <w:rPr>
          <w:sz w:val="28"/>
          <w:szCs w:val="28"/>
        </w:rPr>
      </w:pPr>
      <w:r w:rsidRPr="00916B3A">
        <w:rPr>
          <w:sz w:val="28"/>
          <w:szCs w:val="28"/>
        </w:rPr>
        <w:t xml:space="preserve">При проведении ультразвукового исследования у большинства пациенток основной группы, помимо истончения эндометрия (что является критерием отбора для исследования </w:t>
      </w:r>
      <w:r w:rsidR="00CA7051" w:rsidRPr="00916B3A">
        <w:rPr>
          <w:sz w:val="28"/>
          <w:szCs w:val="28"/>
        </w:rPr>
        <w:t xml:space="preserve">- </w:t>
      </w:r>
      <w:r w:rsidRPr="00916B3A">
        <w:rPr>
          <w:sz w:val="28"/>
          <w:szCs w:val="28"/>
        </w:rPr>
        <w:t>толщина М-эхо в день предполагаемого окна имплантации менее 7 мм), были выявлены также изменения его эхо-структуры. У 59,2% пациенток эндометрий оказался эхо-неоднородным, а у 40,8% структура эндометрия не соответствовала фазе менструального цикла.</w:t>
      </w:r>
    </w:p>
    <w:p w14:paraId="71C9EF9F" w14:textId="6C8BC285" w:rsidR="00035A1D" w:rsidRPr="00916B3A" w:rsidRDefault="00035A1D" w:rsidP="00035A1D">
      <w:pPr>
        <w:spacing w:after="0" w:line="240" w:lineRule="auto"/>
        <w:ind w:firstLine="567"/>
        <w:contextualSpacing/>
        <w:jc w:val="both"/>
        <w:rPr>
          <w:rFonts w:ascii="Times New Roman" w:hAnsi="Times New Roman" w:cs="Times New Roman"/>
          <w:iCs/>
          <w:sz w:val="28"/>
          <w:szCs w:val="28"/>
        </w:rPr>
      </w:pPr>
      <w:r w:rsidRPr="00916B3A">
        <w:rPr>
          <w:rFonts w:ascii="Times New Roman" w:hAnsi="Times New Roman" w:cs="Times New Roman"/>
          <w:iCs/>
          <w:sz w:val="28"/>
          <w:szCs w:val="28"/>
        </w:rPr>
        <w:t>Полученные результаты позволяют прогнозировать риск отторжения в силу изменения количества исследованных соединений и рецепторов. С целью предотвращения таких рисков в перспективе целесообразно провести ряд клинических исследований эффективности стволовых клеток различной этиологии в регулировании процессов имплантации при синдроме тонкого эндометрия.</w:t>
      </w:r>
    </w:p>
    <w:p w14:paraId="20EA55C5" w14:textId="48EAC665" w:rsidR="006E1A7E" w:rsidRPr="00916B3A" w:rsidRDefault="006E1A7E" w:rsidP="00035A1D">
      <w:pPr>
        <w:spacing w:after="0" w:line="240" w:lineRule="auto"/>
        <w:ind w:firstLine="567"/>
        <w:contextualSpacing/>
        <w:jc w:val="both"/>
        <w:rPr>
          <w:rFonts w:ascii="Times New Roman" w:hAnsi="Times New Roman" w:cs="Times New Roman"/>
          <w:iCs/>
          <w:sz w:val="28"/>
          <w:szCs w:val="28"/>
        </w:rPr>
      </w:pPr>
      <w:r w:rsidRPr="00916B3A">
        <w:rPr>
          <w:rFonts w:ascii="Times New Roman" w:hAnsi="Times New Roman" w:cs="Times New Roman"/>
          <w:sz w:val="28"/>
          <w:szCs w:val="28"/>
        </w:rPr>
        <w:t>Изучение клеточных и молекулярно-генетических механизмов регуляции генов иммуного ответа у пациентов с нарушениями рецептивности эндометрия позволят улучшить исходы программ ВРТ.</w:t>
      </w:r>
    </w:p>
    <w:p w14:paraId="6E2C6019" w14:textId="04ADC4E2" w:rsidR="006E1A7E" w:rsidRPr="00916B3A" w:rsidRDefault="006E1A7E" w:rsidP="00D84F28">
      <w:pPr>
        <w:pStyle w:val="a9"/>
        <w:shd w:val="clear" w:color="auto" w:fill="FFFFFF"/>
        <w:spacing w:before="0" w:beforeAutospacing="0" w:after="0" w:afterAutospacing="0"/>
        <w:ind w:firstLine="567"/>
        <w:jc w:val="both"/>
        <w:rPr>
          <w:sz w:val="28"/>
          <w:szCs w:val="28"/>
        </w:rPr>
      </w:pPr>
      <w:r w:rsidRPr="00916B3A">
        <w:rPr>
          <w:sz w:val="28"/>
          <w:szCs w:val="28"/>
        </w:rPr>
        <w:t>В нашем исследовании у пациенток с РНИ и тонким эндометрием были показаны значимые (</w:t>
      </w:r>
      <w:bookmarkStart w:id="28" w:name="_GoBack"/>
      <w:bookmarkEnd w:id="28"/>
      <w:r w:rsidR="007465C5" w:rsidRPr="00916B3A">
        <w:rPr>
          <w:sz w:val="28"/>
          <w:szCs w:val="28"/>
        </w:rPr>
        <w:t>p &lt;</w:t>
      </w:r>
      <w:r w:rsidRPr="00916B3A">
        <w:rPr>
          <w:sz w:val="28"/>
          <w:szCs w:val="28"/>
        </w:rPr>
        <w:t>0,05) обратные умеренные корреляции. Было отмечено, что снижение уровня гена HAND2 было связано с повышением уровней ТТГ и фибриногена, а у фертильных женщин снижение уровня гена HAND2 было связано с повышением ИМТ. Транскрипт 2, экспрессируемый производными сердца и нервного гребня (HAND2), регулирует интерлейкин 15 (IL-15), ключевой иммунный фактор, необходимый для активации и выживания естественных киллеров матки, кратковременно индуцирует иммунотолерантность. Во время секреторной фазы уровни HAND2 и IL-15 значительно повышаются в здоровом человеческом эндометрии</w:t>
      </w:r>
      <w:r w:rsidR="00765C5F" w:rsidRPr="00916B3A">
        <w:rPr>
          <w:sz w:val="28"/>
          <w:szCs w:val="28"/>
        </w:rPr>
        <w:fldChar w:fldCharType="begin" w:fldLock="1"/>
      </w:r>
      <w:r w:rsidR="008C6800">
        <w:rPr>
          <w:sz w:val="28"/>
          <w:szCs w:val="28"/>
        </w:rPr>
        <w:instrText>ADDIN CSL_CITATION {"citationItems":[{"id":"ITEM-1","itemData":{"DOI":"10.1074/jbc.ra120.012753","ISSN":"1083351X","PMID":"32444497","abstract":"Cyclic changes of the human endometrium, such as proliferation, secretion, and decidualization, occur during regular menstrual cycles. Heart– and neural crest derivatives–expressed transcript 2 (HAND2) is a key transcription factor in progestin-induced decidualization of human endometrial stromal cells (ESCs). It has been suggested that HAND2 regulates interleukin 15 (IL15), a key immune factor required for the activation and survival of uterine natural killer (uNK) cells. Activated uNK cells can promote spiral artery remodeling and secrete cytokines to induce immunotolerance. To date, no studies have evaluated the transcription factors that regulate IL15 expression in human ESCs. In the present study, we examined whether HAND2 controls IL15 transcriptional regulation in human ESCs. Quantitative RT-PCR and histological analyses revealed that HAND2 and IL15 levels increase considerably in the secretory phase of human endometrium tissues. Results from ChIP-quantitative PCR suggested that HAND2 binds to a putative HAND2 motif, which we identified in the upstream region of the human IL15 gene through in silico analysis. Using a luciferase reporter assay, we found that the upstream region of the human IL15 gene up-regulates reporter gene activities in response to estradiol and a progestin representative (medroxyprogesterone) in ESCs. The upstream region of the human IL15 gene also exhibited increasing responsiveness to transfection with a HAND2 expression vector. Of note, deletion and substitution variants of the putative HAND2 motif in the upstream region of IL15 did not respond to HAND2 transfection. These findings confirm that HAND2 directly up-regulates human IL15 transcription in ESCs.","author":[{"dropping-particle":"","family":"Murata","given":"Hiromi","non-dropping-particle":"","parse-names":false,"suffix":""},{"dropping-particle":"","family":"Tanaka","given":"Susumu","non-dropping-particle":"","parse-names":false,"suffix":""},{"dropping-particle":"","family":"Tsuzuki-Nakao","given":"Tomoko","non-dropping-particle":"","parse-names":false,"suffix":""},{"dropping-particle":"","family":"Kido","given":"Takeharu","non-dropping-particle":"","parse-names":false,"suffix":""},{"dropping-particle":"","family":"Kakita-Kobayashi","given":"Maiko","non-dropping-particle":"","parse-names":false,"suffix":""},{"dropping-particle":"","family":"Kida","given":"Naoko","non-dropping-particle":"","parse-names":false,"suffix":""},{"dropping-particle":"","family":"Hisamatsu","given":"Yoji","non-dropping-particle":"","parse-names":false,"suffix":""},{"dropping-particle":"","family":"Tsubokura","given":"Hiroaki","non-dropping-particle":"","parse-names":false,"suffix":""},{"dropping-particle":"","family":"Hashimoto","given":"Yoshiko","non-dropping-particle":"","parse-names":false,"suffix":""},{"dropping-particle":"","family":"Kitada","given":"Masaaki","non-dropping-particle":"","parse-names":false,"suffix":""},{"dropping-particle":"","family":"Okada","given":"Hidetaka","non-dropping-particle":"","parse-names":false,"suffix":""}],"container-title":"Journal of Biological Chemistry","id":"ITEM-1","issue":"28","issued":{"date-parts":[["2020"]]},"page":"9596-9605","publisher":"Â© 2020 Murata et al.","title":"The transcription factor HAND2 up-regulates transcription of the IL15 gene in human endometrial stromal cells","type":"article-journal","volume":"295"},"uris":["http://www.mendeley.com/documents/?uuid=e206c388-cd1c-42fc-b4f3-14e733892d7c"]}],"mendeley":{"formattedCitation":"[97]","plainTextFormattedCitation":"[97]","previouslyFormattedCitation":"(97)"},"properties":{"noteIndex":0},"schema":"https://github.com/citation-style-language/schema/raw/master/csl-citation.json"}</w:instrText>
      </w:r>
      <w:r w:rsidR="00765C5F" w:rsidRPr="00916B3A">
        <w:rPr>
          <w:sz w:val="28"/>
          <w:szCs w:val="28"/>
        </w:rPr>
        <w:fldChar w:fldCharType="separate"/>
      </w:r>
      <w:r w:rsidR="008C6800" w:rsidRPr="008C6800">
        <w:rPr>
          <w:noProof/>
          <w:sz w:val="28"/>
          <w:szCs w:val="28"/>
        </w:rPr>
        <w:t>[97</w:t>
      </w:r>
      <w:r w:rsidR="00594CDB">
        <w:rPr>
          <w:noProof/>
          <w:sz w:val="28"/>
          <w:szCs w:val="28"/>
        </w:rPr>
        <w:t>, с. 9596</w:t>
      </w:r>
      <w:r w:rsidR="008C6800" w:rsidRPr="008C6800">
        <w:rPr>
          <w:noProof/>
          <w:sz w:val="28"/>
          <w:szCs w:val="28"/>
        </w:rPr>
        <w:t>]</w:t>
      </w:r>
      <w:r w:rsidR="00765C5F" w:rsidRPr="00916B3A">
        <w:rPr>
          <w:sz w:val="28"/>
          <w:szCs w:val="28"/>
        </w:rPr>
        <w:fldChar w:fldCharType="end"/>
      </w:r>
      <w:r w:rsidRPr="00916B3A">
        <w:rPr>
          <w:sz w:val="28"/>
          <w:szCs w:val="28"/>
        </w:rPr>
        <w:t xml:space="preserve">. Те же тенденции наблюдались в VEGFB с уровнями ТТГ и пролактина. Было показано, что VEGF-B является фактором выживания для эндотелиальных клеток сосудов </w:t>
      </w:r>
      <w:r w:rsidR="00765C5F" w:rsidRPr="00916B3A">
        <w:rPr>
          <w:sz w:val="28"/>
          <w:szCs w:val="28"/>
        </w:rPr>
        <w:fldChar w:fldCharType="begin" w:fldLock="1"/>
      </w:r>
      <w:r w:rsidR="008C6800">
        <w:rPr>
          <w:sz w:val="28"/>
          <w:szCs w:val="28"/>
        </w:rPr>
        <w:instrText>ADDIN CSL_CITATION {"citationItems":[{"id":"ITEM-1","itemData":{"DOI":"10.1016/j.molmed.2011.11.006","ISSN":"1471-4914","author":[{"dropping-particle":"","family":"Li","given":"Xuri","non-dropping-particle":"","parse-names":false,"suffix":""},{"dropping-particle":"","family":"Kumar","given":"Anil","non-dropping-particle":"","parse-names":false,"suffix":""},{"dropping-particle":"","family":"Zhang","given":"Fan","non-dropping-particle":"","parse-names":false,"suffix":""},{"dropping-particle":"","family":"Lee","given":"Chunsik","non-dropping-particle":"","parse-names":false,"suffix":""},{"dropping-particle":"","family":"Tang","given":"Zhongshu","non-dropping-particle":"","parse-names":false,"suffix":""}],"container-title":"Trends in Molecular Medicine","id":"ITEM-1","issue":"2","issued":{"date-parts":[["2012","2","1"]]},"note":"doi: 10.1016/j.molmed.2011.11.006","page":"119-127","publisher":"Elsevier","title":"Complicated life, complicated VEGF-B","type":"article-journal","volume":"18"},"uris":["http://www.mendeley.com/documents/?uuid=209489d0-ec1a-48a3-85ae-ff5c8163f465"]}],"mendeley":{"formattedCitation":"[98]","plainTextFormattedCitation":"[98]","previouslyFormattedCitation":"(98)"},"properties":{"noteIndex":0},"schema":"https://github.com/citation-style-language/schema/raw/master/csl-citation.json"}</w:instrText>
      </w:r>
      <w:r w:rsidR="00765C5F" w:rsidRPr="00916B3A">
        <w:rPr>
          <w:sz w:val="28"/>
          <w:szCs w:val="28"/>
        </w:rPr>
        <w:fldChar w:fldCharType="separate"/>
      </w:r>
      <w:r w:rsidR="008C6800" w:rsidRPr="008C6800">
        <w:rPr>
          <w:noProof/>
          <w:sz w:val="28"/>
          <w:szCs w:val="28"/>
        </w:rPr>
        <w:t>[98</w:t>
      </w:r>
      <w:r w:rsidR="00594CDB">
        <w:rPr>
          <w:noProof/>
          <w:sz w:val="28"/>
          <w:szCs w:val="28"/>
        </w:rPr>
        <w:t>, с. 119</w:t>
      </w:r>
      <w:r w:rsidR="008C6800" w:rsidRPr="008C6800">
        <w:rPr>
          <w:noProof/>
          <w:sz w:val="28"/>
          <w:szCs w:val="28"/>
        </w:rPr>
        <w:t>]</w:t>
      </w:r>
      <w:r w:rsidR="00765C5F" w:rsidRPr="00916B3A">
        <w:rPr>
          <w:sz w:val="28"/>
          <w:szCs w:val="28"/>
        </w:rPr>
        <w:fldChar w:fldCharType="end"/>
      </w:r>
      <w:r w:rsidR="00765C5F" w:rsidRPr="00916B3A">
        <w:rPr>
          <w:sz w:val="28"/>
          <w:szCs w:val="28"/>
        </w:rPr>
        <w:t xml:space="preserve">. </w:t>
      </w:r>
      <w:r w:rsidRPr="00916B3A">
        <w:rPr>
          <w:sz w:val="28"/>
          <w:szCs w:val="28"/>
        </w:rPr>
        <w:t>Эти данные подтвердили, что популяция РНИ крайне неоднородна, и были выявлены многочисленные факторы риска РНИ, факторы образа жизни, включая ИМТ, факторы матки и яичников (эндометриоз, полипы, аденомиоз, поликистозный синдром), тромбофилию</w:t>
      </w:r>
      <w:r w:rsidR="00765C5F" w:rsidRPr="00916B3A">
        <w:rPr>
          <w:sz w:val="28"/>
          <w:szCs w:val="28"/>
        </w:rPr>
        <w:fldChar w:fldCharType="begin" w:fldLock="1"/>
      </w:r>
      <w:r w:rsidR="008C6800">
        <w:rPr>
          <w:sz w:val="28"/>
          <w:szCs w:val="28"/>
        </w:rPr>
        <w:instrText>ADDIN CSL_CITATION {"citationItems":[{"id":"ITEM-1","itemData":{"DOI":"10.1186/s12958-018-0414-2","ISSN":"14777827","PMID":"30518389","abstract":"Recurrent implantation failure (RIF) refers to cases in which women have had three failed in vitro fertilization (IVF) attempts with good quality embryos. The definition should also take advanced maternal age and embryo stage into consideration. The failure of embryo implantation can be a consequence of uterine, male, or embryo factors, or the specific type of IVF protocol. These cases should be investigated to determine the most likely etiologies of the condition, as this is a complex problem with several variables. There are multiple risk factors for recurrent implantation failure including advanced maternal age, smoking status of both parents, elevated body mass index, and stress levels. Immunological factors such as cytokine levels and presence of specific autoantibodies should be examined, as well as any infectious organisms in the uterus leading to chronic endometritis. Uterine pathologies such as polyps and myomas as well as congenital anatomical anomalies should be ruled out. Sperm analysis, pre-implantation genetic screening and endometrial receptivity should be considered and evaluated, and IVF protocols should be tailored to specific patients or patient populations. Treatment approaches should be directed toward individual patient cases. In addition, we suggest considering a new initial step in approach to patients with RIF, individualized planned activities to activate the brain's reward system in attempt to improve immunological balance in the body.","author":[{"dropping-particle":"","family":"Bashiri","given":"Asher","non-dropping-particle":"","parse-names":false,"suffix":""},{"dropping-particle":"","family":"Halper","given":"Katherine Ida","non-dropping-particle":"","parse-names":false,"suffix":""},{"dropping-particle":"","family":"Orvieto","given":"Raoul","non-dropping-particle":"","parse-names":false,"suffix":""}],"container-title":"Reproductive Biology and Endocrinology","id":"ITEM-1","issue":"1","issued":{"date-parts":[["2018"]]},"page":"1-18","publisher":"Reproductive Biology and Endocrinology","title":"Recurrent Implantation Failure-update overview on etiology, diagnosis, treatment and future directions","type":"article-journal","volume":"16"},"uris":["http://www.mendeley.com/documents/?uuid=2e12a81d-db93-45f3-92a5-f6c4e419aaf3"]}],"mendeley":{"formattedCitation":"[132]","plainTextFormattedCitation":"[132]","previouslyFormattedCitation":"(132)"},"properties":{"noteIndex":0},"schema":"https://github.com/citation-style-language/schema/raw/master/csl-citation.json"}</w:instrText>
      </w:r>
      <w:r w:rsidR="00765C5F" w:rsidRPr="00916B3A">
        <w:rPr>
          <w:sz w:val="28"/>
          <w:szCs w:val="28"/>
        </w:rPr>
        <w:fldChar w:fldCharType="separate"/>
      </w:r>
      <w:r w:rsidR="008C6800" w:rsidRPr="008C6800">
        <w:rPr>
          <w:noProof/>
          <w:sz w:val="28"/>
          <w:szCs w:val="28"/>
        </w:rPr>
        <w:t>[132</w:t>
      </w:r>
      <w:r w:rsidR="003235EC">
        <w:rPr>
          <w:noProof/>
          <w:sz w:val="28"/>
          <w:szCs w:val="28"/>
        </w:rPr>
        <w:t>, с. 5</w:t>
      </w:r>
      <w:r w:rsidR="008C6800" w:rsidRPr="008C6800">
        <w:rPr>
          <w:noProof/>
          <w:sz w:val="28"/>
          <w:szCs w:val="28"/>
        </w:rPr>
        <w:t>]</w:t>
      </w:r>
      <w:r w:rsidR="00765C5F" w:rsidRPr="00916B3A">
        <w:rPr>
          <w:sz w:val="28"/>
          <w:szCs w:val="28"/>
        </w:rPr>
        <w:fldChar w:fldCharType="end"/>
      </w:r>
      <w:r w:rsidR="00765C5F" w:rsidRPr="00916B3A">
        <w:rPr>
          <w:sz w:val="28"/>
          <w:szCs w:val="28"/>
        </w:rPr>
        <w:t xml:space="preserve">. </w:t>
      </w:r>
      <w:r w:rsidRPr="00916B3A">
        <w:rPr>
          <w:sz w:val="28"/>
          <w:szCs w:val="28"/>
        </w:rPr>
        <w:t xml:space="preserve">Следующие исследования должны быть выполнены с учетом этих факторов в зависимости от клинических форм. Рецептивность эндометрия характеризуется сложной динамикой интерактивных сетей и регуляторных функций в различных аспектах процесса имплантации, а высокая изменчивость фенотипа между людьми подразумевает их как центральных привратников восприимчивости для имплантации эмбриона </w:t>
      </w:r>
      <w:r w:rsidR="00765C5F" w:rsidRPr="00916B3A">
        <w:rPr>
          <w:sz w:val="28"/>
          <w:szCs w:val="28"/>
        </w:rPr>
        <w:fldChar w:fldCharType="begin" w:fldLock="1"/>
      </w:r>
      <w:r w:rsidR="008C6800">
        <w:rPr>
          <w:sz w:val="28"/>
          <w:szCs w:val="28"/>
        </w:rPr>
        <w:instrText>ADDIN CSL_CITATION {"citationItems":[{"id":"ITEM-1","itemData":{"DOI":"10.1016/j.fertnstert.2022.04.023","ISSN":"15565653","PMID":"35618356","abstract":"Immune cells are essential for endometrial receptivity to embryo implantation and early placental development. They exert tissue-remodeling and immune regulatory roles—acting to promote epithelial attachment competence, regulate the differentiation of decidual cells, remodel the uterine vasculature, control and resolve inflammatory activation, and suppress destructive immunity to paternally inherited alloantigens. From a biological perspective, the endometrial immune response exerts a form of “quality control”—it promotes implantation success when conditions are favorable but constrains receptivity when physiological circumstances are not ideal. Women with recurrent implantation failure and recurrent miscarriage may exhibit altered numbers or disturbed function of certain uterine immune cell populations—most notably uterine natural killer cells and regulatory T cells. Preclinical and animal studies indicate that deficiencies or aberrant activation states in these cells can be causal in the pathophysiological mechanisms of infertility. Immune cells are, therefore, targets for diagnostic evaluation and therapeutic intervention. However, current diagnostic tests are overly simplistic and have limited clinical utility. To be more informative, they need to account for the full complexity and reflect the range of perturbations that can occur in uterine immune cell phenotypes and networks. Moreover, safe and effective interventions to modulate these cells are in their infancy, and personalized approaches matched to specific diagnostic criteria will be needed. Here we summarize current biological understanding and identify knowledge gaps to be resolved before the promise of therapies to target the uterine immune response can be fully realized.","author":[{"dropping-particle":"","family":"Robertson","given":"Sarah A.","non-dropping-particle":"","parse-names":false,"suffix":""},{"dropping-particle":"","family":"Moldenhauer","given":"Lachlan M.","non-dropping-particle":"","parse-names":false,"suffix":""},{"dropping-particle":"","family":"Green","given":"Ella S.","non-dropping-particle":"","parse-names":false,"suffix":""},{"dropping-particle":"","family":"Care","given":"Alison S.","non-dropping-particle":"","parse-names":false,"suffix":""},{"dropping-particle":"","family":"Hull","given":"M. Louise","non-dropping-particle":"","parse-names":false,"suffix":""}],"container-title":"Fertility and Sterility","id":"ITEM-1","issue":"6","issued":{"date-parts":[["2022"]]},"page":"1107-1120","publisher":"American Society for Reproductive Medicine","title":"Immune determinants of endometrial receptivity: a biological perspective","type":"article-journal","volume":"117"},"uris":["http://www.mendeley.com/documents/?uuid=9bd39b2d-b4bc-40d5-8054-1cc56d0b0d66"]}],"mendeley":{"formattedCitation":"[133]","plainTextFormattedCitation":"[133]","previouslyFormattedCitation":"(133)"},"properties":{"noteIndex":0},"schema":"https://github.com/citation-style-language/schema/raw/master/csl-citation.json"}</w:instrText>
      </w:r>
      <w:r w:rsidR="00765C5F" w:rsidRPr="00916B3A">
        <w:rPr>
          <w:sz w:val="28"/>
          <w:szCs w:val="28"/>
        </w:rPr>
        <w:fldChar w:fldCharType="separate"/>
      </w:r>
      <w:r w:rsidR="008C6800" w:rsidRPr="008C6800">
        <w:rPr>
          <w:noProof/>
          <w:sz w:val="28"/>
          <w:szCs w:val="28"/>
        </w:rPr>
        <w:t>[133</w:t>
      </w:r>
      <w:r w:rsidR="003235EC">
        <w:rPr>
          <w:noProof/>
          <w:sz w:val="28"/>
          <w:szCs w:val="28"/>
        </w:rPr>
        <w:t>, с. 1107</w:t>
      </w:r>
      <w:r w:rsidR="008C6800" w:rsidRPr="008C6800">
        <w:rPr>
          <w:noProof/>
          <w:sz w:val="28"/>
          <w:szCs w:val="28"/>
        </w:rPr>
        <w:t>]</w:t>
      </w:r>
      <w:r w:rsidR="00765C5F" w:rsidRPr="00916B3A">
        <w:rPr>
          <w:sz w:val="28"/>
          <w:szCs w:val="28"/>
        </w:rPr>
        <w:fldChar w:fldCharType="end"/>
      </w:r>
      <w:r w:rsidRPr="00916B3A">
        <w:rPr>
          <w:sz w:val="28"/>
          <w:szCs w:val="28"/>
        </w:rPr>
        <w:t>. Однако наши исследования показали прогностический потенциал комбинации генов C4BPA + CXCL1 для прогнозирования РНИ. Наше исследование выявило дифференциальную экспрессию генов C4BPA и CXCL1 у пациенток с РИФ и тонким эндометрием по сравнению с эндометрием фертильных женщин. Эти данные позволили нам оценить прогностическую ценность комбинированной модели для прогнозирования неудач имплантации в зависимости от толщины эндометрия. Данные также предоставляют потенциальные терапевтические цели для лечения тонкого эндометрия у пациенток, проходящих программы ВРТ.</w:t>
      </w:r>
    </w:p>
    <w:p w14:paraId="376F9505" w14:textId="77777777" w:rsidR="006E1A7E" w:rsidRPr="00916B3A" w:rsidRDefault="006E1A7E" w:rsidP="00D84F28">
      <w:pPr>
        <w:pStyle w:val="a9"/>
        <w:shd w:val="clear" w:color="auto" w:fill="FFFFFF"/>
        <w:spacing w:before="0" w:beforeAutospacing="0" w:after="0" w:afterAutospacing="0"/>
        <w:ind w:firstLine="567"/>
        <w:jc w:val="both"/>
        <w:rPr>
          <w:sz w:val="28"/>
          <w:szCs w:val="28"/>
        </w:rPr>
      </w:pPr>
      <w:r w:rsidRPr="00916B3A">
        <w:rPr>
          <w:sz w:val="28"/>
          <w:szCs w:val="28"/>
        </w:rPr>
        <w:t xml:space="preserve">В этом исследовании были изучены экспрессии генов у пациенток с РНИ и тонким эндометрием, а также соответствующие эндометриальные ткани от пациенток с РПБ. Мы выявили аномальную активацию воспалительной среды в тонком эндометрии. Изменения иммунного ответа на уровне эндометрия были статистически значимо нарушены в группе РНИ. Экспрессия генов </w:t>
      </w:r>
      <w:r w:rsidRPr="00916B3A">
        <w:rPr>
          <w:i/>
          <w:iCs/>
          <w:sz w:val="28"/>
          <w:szCs w:val="28"/>
        </w:rPr>
        <w:t>IL-15</w:t>
      </w:r>
      <w:r w:rsidRPr="00916B3A">
        <w:rPr>
          <w:sz w:val="28"/>
          <w:szCs w:val="28"/>
        </w:rPr>
        <w:t xml:space="preserve">, </w:t>
      </w:r>
      <w:r w:rsidRPr="00916B3A">
        <w:rPr>
          <w:i/>
          <w:iCs/>
          <w:sz w:val="28"/>
          <w:szCs w:val="28"/>
        </w:rPr>
        <w:t xml:space="preserve">INFG </w:t>
      </w:r>
      <w:r w:rsidRPr="00916B3A">
        <w:rPr>
          <w:sz w:val="28"/>
          <w:szCs w:val="28"/>
        </w:rPr>
        <w:t xml:space="preserve">и </w:t>
      </w:r>
      <w:r w:rsidRPr="00916B3A">
        <w:rPr>
          <w:i/>
          <w:iCs/>
          <w:sz w:val="28"/>
          <w:szCs w:val="28"/>
        </w:rPr>
        <w:t xml:space="preserve">HPRT1 </w:t>
      </w:r>
      <w:r w:rsidRPr="00916B3A">
        <w:rPr>
          <w:sz w:val="28"/>
          <w:szCs w:val="28"/>
        </w:rPr>
        <w:t>была значительно снижена у пациенток с РНИ и тонким эндометрием по сравнению с пациентками с RPL (</w:t>
      </w:r>
      <w:r w:rsidRPr="00916B3A">
        <w:rPr>
          <w:i/>
          <w:sz w:val="28"/>
          <w:szCs w:val="28"/>
        </w:rPr>
        <w:t xml:space="preserve">p </w:t>
      </w:r>
      <w:r w:rsidRPr="00916B3A">
        <w:rPr>
          <w:sz w:val="28"/>
          <w:szCs w:val="28"/>
        </w:rPr>
        <w:t>=</w:t>
      </w:r>
      <w:r w:rsidRPr="00916B3A">
        <w:rPr>
          <w:i/>
          <w:sz w:val="28"/>
          <w:szCs w:val="28"/>
        </w:rPr>
        <w:t xml:space="preserve"> </w:t>
      </w:r>
      <w:r w:rsidRPr="00916B3A">
        <w:rPr>
          <w:sz w:val="28"/>
          <w:szCs w:val="28"/>
        </w:rPr>
        <w:t xml:space="preserve">0,023, </w:t>
      </w:r>
      <w:r w:rsidRPr="00916B3A">
        <w:rPr>
          <w:i/>
          <w:sz w:val="28"/>
          <w:szCs w:val="28"/>
        </w:rPr>
        <w:t xml:space="preserve">р </w:t>
      </w:r>
      <w:r w:rsidRPr="00916B3A">
        <w:rPr>
          <w:sz w:val="28"/>
          <w:szCs w:val="28"/>
        </w:rPr>
        <w:t>=</w:t>
      </w:r>
      <w:r w:rsidRPr="00916B3A">
        <w:rPr>
          <w:i/>
          <w:sz w:val="28"/>
          <w:szCs w:val="28"/>
        </w:rPr>
        <w:t xml:space="preserve"> </w:t>
      </w:r>
      <w:r w:rsidRPr="00916B3A">
        <w:rPr>
          <w:sz w:val="28"/>
          <w:szCs w:val="28"/>
        </w:rPr>
        <w:t xml:space="preserve">0,046, и </w:t>
      </w:r>
      <w:r w:rsidRPr="00916B3A">
        <w:rPr>
          <w:i/>
          <w:sz w:val="28"/>
          <w:szCs w:val="28"/>
        </w:rPr>
        <w:t xml:space="preserve">р </w:t>
      </w:r>
      <w:r w:rsidRPr="00916B3A">
        <w:rPr>
          <w:sz w:val="28"/>
          <w:szCs w:val="28"/>
        </w:rPr>
        <w:t>=</w:t>
      </w:r>
      <w:r w:rsidRPr="00916B3A">
        <w:rPr>
          <w:i/>
          <w:sz w:val="28"/>
          <w:szCs w:val="28"/>
        </w:rPr>
        <w:t xml:space="preserve"> </w:t>
      </w:r>
      <w:r w:rsidRPr="00916B3A">
        <w:rPr>
          <w:sz w:val="28"/>
          <w:szCs w:val="28"/>
        </w:rPr>
        <w:t>0,046 соответственно).</w:t>
      </w:r>
    </w:p>
    <w:p w14:paraId="5007C5CA" w14:textId="77777777" w:rsidR="00035A1D" w:rsidRPr="00916B3A" w:rsidRDefault="00035A1D" w:rsidP="00D84F28">
      <w:pPr>
        <w:pStyle w:val="a9"/>
        <w:shd w:val="clear" w:color="auto" w:fill="FFFFFF"/>
        <w:spacing w:before="0" w:beforeAutospacing="0" w:after="0" w:afterAutospacing="0"/>
        <w:ind w:firstLine="567"/>
        <w:jc w:val="both"/>
        <w:rPr>
          <w:sz w:val="28"/>
          <w:szCs w:val="28"/>
        </w:rPr>
      </w:pPr>
      <w:r w:rsidRPr="00916B3A">
        <w:rPr>
          <w:sz w:val="28"/>
          <w:szCs w:val="28"/>
        </w:rPr>
        <w:t>IL-15 является важным иммунным фактором, необходимым для активации и поддержания жизнеспособности естественных клеток-киллеров матки (uNK). Активированные клетки uNK играют роль в ремоделировании спиральных артерий и секреции цитокинов, что способствует индукции иммунотолерантности. Экспрессия IL-15 отличается у пациенток с РНИ по сравнению с фертильными контрольными группами и имеет связь с локальным набором клеток uNK (CD56+) и процессами ангиогенеза.</w:t>
      </w:r>
      <w:r w:rsidRPr="00916B3A">
        <w:t xml:space="preserve"> </w:t>
      </w:r>
      <w:r w:rsidR="006E1A7E" w:rsidRPr="00916B3A">
        <w:rPr>
          <w:sz w:val="28"/>
          <w:szCs w:val="28"/>
        </w:rPr>
        <w:t>История рецидивирующих ин</w:t>
      </w:r>
      <w:r w:rsidR="00765C5F" w:rsidRPr="00916B3A">
        <w:rPr>
          <w:sz w:val="28"/>
          <w:szCs w:val="28"/>
        </w:rPr>
        <w:t xml:space="preserve">фекций у женщин с РНИ и </w:t>
      </w:r>
      <w:r w:rsidR="006E1A7E" w:rsidRPr="00916B3A">
        <w:rPr>
          <w:sz w:val="28"/>
          <w:szCs w:val="28"/>
        </w:rPr>
        <w:t xml:space="preserve">РПБ может привести к кумулятивным иммунным изменениям. </w:t>
      </w:r>
      <w:r w:rsidRPr="00916B3A">
        <w:rPr>
          <w:sz w:val="28"/>
          <w:szCs w:val="28"/>
        </w:rPr>
        <w:t>Повторные инфекции могут способствовать развитию аутоиммунных заболеваний, что приводит к ненормальным реакциям на эмбриональные и материнские ткани. Лечение инфекций и восстановление нормального иммунного ответа играют ключевую роль в улучшении исходов у женщин с РНИ и РПБ. Это указывает на важный патогенетический механизм неудач имплантации, связанный с инфекцией, который следует учитывать при реабилитации пациенток с РНИ.</w:t>
      </w:r>
    </w:p>
    <w:p w14:paraId="027CAC63" w14:textId="77777777" w:rsidR="00035A1D" w:rsidRPr="00916B3A" w:rsidRDefault="006E1A7E" w:rsidP="00035A1D">
      <w:pPr>
        <w:pStyle w:val="a9"/>
        <w:shd w:val="clear" w:color="auto" w:fill="FFFFFF"/>
        <w:spacing w:before="0" w:beforeAutospacing="0" w:after="0" w:afterAutospacing="0"/>
        <w:ind w:firstLine="567"/>
        <w:jc w:val="both"/>
        <w:rPr>
          <w:sz w:val="28"/>
          <w:szCs w:val="28"/>
        </w:rPr>
      </w:pPr>
      <w:r w:rsidRPr="00916B3A">
        <w:rPr>
          <w:sz w:val="28"/>
          <w:szCs w:val="28"/>
        </w:rPr>
        <w:t>Подводя итог, можно сказать, что патофизиология невосприимчивого эндометрия у женщин с РНИ и РПБ включает сложное взаимодействие дисбаланса цитокинов, дефектной децидуализации, нарушенного ангиогенеза и дисфункции иммунной системы. Понимание этих механизмов имеет решающее значение для разработки целевых терапевтических стратегий для улучшения репродуктивных результатов. Это исследование в</w:t>
      </w:r>
      <w:r w:rsidR="00E53493" w:rsidRPr="00916B3A">
        <w:rPr>
          <w:sz w:val="28"/>
          <w:szCs w:val="28"/>
        </w:rPr>
        <w:t>ыявило снижение экспрессии гена</w:t>
      </w:r>
      <w:r w:rsidRPr="00916B3A">
        <w:rPr>
          <w:sz w:val="28"/>
          <w:szCs w:val="28"/>
        </w:rPr>
        <w:t xml:space="preserve"> </w:t>
      </w:r>
      <w:r w:rsidRPr="00916B3A">
        <w:rPr>
          <w:i/>
          <w:iCs/>
          <w:sz w:val="28"/>
          <w:szCs w:val="28"/>
        </w:rPr>
        <w:t>IL-15</w:t>
      </w:r>
      <w:r w:rsidR="00E53493" w:rsidRPr="00916B3A">
        <w:rPr>
          <w:sz w:val="28"/>
          <w:szCs w:val="28"/>
        </w:rPr>
        <w:t xml:space="preserve"> </w:t>
      </w:r>
      <w:r w:rsidRPr="00916B3A">
        <w:rPr>
          <w:sz w:val="28"/>
          <w:szCs w:val="28"/>
        </w:rPr>
        <w:t xml:space="preserve">в тонком эндометрии пациенток с РНИ по сравнению с женщинами с РПБ. Эти данные способствуют пониманию процессов в тонком эндометрии, приводящих к неудачам имплантации </w:t>
      </w:r>
      <w:proofErr w:type="gramStart"/>
      <w:r w:rsidRPr="00916B3A">
        <w:rPr>
          <w:sz w:val="28"/>
          <w:szCs w:val="28"/>
        </w:rPr>
        <w:t>во время</w:t>
      </w:r>
      <w:proofErr w:type="gramEnd"/>
      <w:r w:rsidRPr="00916B3A">
        <w:rPr>
          <w:sz w:val="28"/>
          <w:szCs w:val="28"/>
        </w:rPr>
        <w:t xml:space="preserve"> ЭКО, и имеют практическое значение для врачей для дифференцированного назначения иммуномодулирующей терапии у пациенток, проходящих программы ВРТ.</w:t>
      </w:r>
      <w:r w:rsidR="00035A1D" w:rsidRPr="00916B3A">
        <w:rPr>
          <w:sz w:val="28"/>
          <w:szCs w:val="28"/>
        </w:rPr>
        <w:t xml:space="preserve"> </w:t>
      </w:r>
    </w:p>
    <w:p w14:paraId="05DFF4CC" w14:textId="757AC8F7" w:rsidR="00035A1D" w:rsidRPr="00916B3A" w:rsidRDefault="00035A1D" w:rsidP="00035A1D">
      <w:pPr>
        <w:pStyle w:val="a9"/>
        <w:shd w:val="clear" w:color="auto" w:fill="FFFFFF"/>
        <w:spacing w:before="0" w:beforeAutospacing="0" w:after="0" w:afterAutospacing="0"/>
        <w:ind w:firstLine="567"/>
        <w:jc w:val="both"/>
        <w:rPr>
          <w:sz w:val="28"/>
          <w:szCs w:val="28"/>
        </w:rPr>
      </w:pPr>
      <w:r w:rsidRPr="00916B3A">
        <w:rPr>
          <w:sz w:val="28"/>
          <w:szCs w:val="28"/>
        </w:rPr>
        <w:t>Полученные данные позволяют предсказать риск отторжения из-за изменения количества исследованных соединений и рецепторов. Для минимизации подобных рисков в будущем рекомендуется провести серию клинических исследований, направленных на оценку эффективности стволовых клеток разной этиологии в регулировании процессов имплантации при синдроме тонкого эндометрия.</w:t>
      </w:r>
    </w:p>
    <w:p w14:paraId="0FDF808C" w14:textId="32DFBADB" w:rsidR="00765C5F" w:rsidRPr="00916B3A" w:rsidRDefault="00765C5F" w:rsidP="00705F82">
      <w:pPr>
        <w:spacing w:after="0" w:line="240" w:lineRule="auto"/>
        <w:jc w:val="both"/>
        <w:rPr>
          <w:rFonts w:ascii="Times New Roman" w:hAnsi="Times New Roman" w:cs="Times New Roman"/>
          <w:sz w:val="28"/>
          <w:szCs w:val="28"/>
        </w:rPr>
      </w:pPr>
    </w:p>
    <w:p w14:paraId="50E1F1F3" w14:textId="77777777" w:rsidR="008F197E" w:rsidRPr="00916B3A" w:rsidRDefault="008F197E" w:rsidP="00FE21CC">
      <w:pPr>
        <w:jc w:val="center"/>
        <w:rPr>
          <w:rFonts w:ascii="Times New Roman" w:hAnsi="Times New Roman" w:cs="Times New Roman"/>
          <w:b/>
          <w:bCs/>
          <w:iCs/>
          <w:sz w:val="28"/>
          <w:szCs w:val="28"/>
        </w:rPr>
      </w:pPr>
    </w:p>
    <w:p w14:paraId="34AAD568" w14:textId="3B163C4C" w:rsidR="008F197E" w:rsidRPr="00916B3A" w:rsidRDefault="008F197E" w:rsidP="00FE21CC">
      <w:pPr>
        <w:jc w:val="center"/>
        <w:rPr>
          <w:rFonts w:ascii="Times New Roman" w:hAnsi="Times New Roman" w:cs="Times New Roman"/>
          <w:b/>
          <w:bCs/>
          <w:iCs/>
          <w:sz w:val="28"/>
          <w:szCs w:val="28"/>
        </w:rPr>
      </w:pPr>
    </w:p>
    <w:p w14:paraId="066F2E76" w14:textId="37E73515" w:rsidR="008B2B1C" w:rsidRDefault="008B2B1C" w:rsidP="00FE21CC">
      <w:pPr>
        <w:jc w:val="center"/>
        <w:rPr>
          <w:rFonts w:ascii="Times New Roman" w:hAnsi="Times New Roman" w:cs="Times New Roman"/>
          <w:b/>
          <w:bCs/>
          <w:iCs/>
          <w:sz w:val="28"/>
          <w:szCs w:val="28"/>
        </w:rPr>
      </w:pPr>
    </w:p>
    <w:p w14:paraId="3BEC420B" w14:textId="77777777" w:rsidR="00B52A34" w:rsidRPr="00916B3A" w:rsidRDefault="00B52A34" w:rsidP="00FE21CC">
      <w:pPr>
        <w:jc w:val="center"/>
        <w:rPr>
          <w:rFonts w:ascii="Times New Roman" w:hAnsi="Times New Roman" w:cs="Times New Roman"/>
          <w:b/>
          <w:bCs/>
          <w:iCs/>
          <w:sz w:val="28"/>
          <w:szCs w:val="28"/>
        </w:rPr>
      </w:pPr>
    </w:p>
    <w:p w14:paraId="0EBF4B73" w14:textId="77777777" w:rsidR="008009A5" w:rsidRDefault="008009A5" w:rsidP="00FE21CC">
      <w:pPr>
        <w:jc w:val="center"/>
        <w:rPr>
          <w:rFonts w:ascii="Times New Roman" w:hAnsi="Times New Roman" w:cs="Times New Roman"/>
          <w:b/>
          <w:bCs/>
          <w:iCs/>
          <w:sz w:val="28"/>
          <w:szCs w:val="28"/>
        </w:rPr>
      </w:pPr>
    </w:p>
    <w:p w14:paraId="2D94CC19" w14:textId="77777777" w:rsidR="008009A5" w:rsidRDefault="008009A5" w:rsidP="00FE21CC">
      <w:pPr>
        <w:jc w:val="center"/>
        <w:rPr>
          <w:rFonts w:ascii="Times New Roman" w:hAnsi="Times New Roman" w:cs="Times New Roman"/>
          <w:b/>
          <w:bCs/>
          <w:iCs/>
          <w:sz w:val="28"/>
          <w:szCs w:val="28"/>
        </w:rPr>
      </w:pPr>
    </w:p>
    <w:p w14:paraId="3B0D2363" w14:textId="77777777" w:rsidR="008009A5" w:rsidRDefault="008009A5" w:rsidP="00FE21CC">
      <w:pPr>
        <w:jc w:val="center"/>
        <w:rPr>
          <w:rFonts w:ascii="Times New Roman" w:hAnsi="Times New Roman" w:cs="Times New Roman"/>
          <w:b/>
          <w:bCs/>
          <w:iCs/>
          <w:sz w:val="28"/>
          <w:szCs w:val="28"/>
        </w:rPr>
      </w:pPr>
    </w:p>
    <w:p w14:paraId="591FE350" w14:textId="0CFF49E2" w:rsidR="00FC2BFB" w:rsidRPr="005536C0" w:rsidRDefault="00FC2BFB" w:rsidP="005536C0">
      <w:pPr>
        <w:spacing w:after="0" w:line="240" w:lineRule="auto"/>
        <w:ind w:firstLine="567"/>
        <w:rPr>
          <w:rFonts w:ascii="Times New Roman" w:hAnsi="Times New Roman" w:cs="Times New Roman"/>
          <w:sz w:val="28"/>
          <w:szCs w:val="28"/>
        </w:rPr>
      </w:pPr>
      <w:r w:rsidRPr="005536C0">
        <w:rPr>
          <w:rFonts w:ascii="Times New Roman" w:hAnsi="Times New Roman" w:cs="Times New Roman"/>
          <w:iCs/>
          <w:sz w:val="28"/>
          <w:szCs w:val="28"/>
        </w:rPr>
        <w:t>Выводы</w:t>
      </w:r>
    </w:p>
    <w:p w14:paraId="2FFC66D3" w14:textId="50D1CF1B" w:rsidR="00B23E44" w:rsidRPr="00916B3A" w:rsidRDefault="00035FF5" w:rsidP="005536C0">
      <w:pPr>
        <w:pStyle w:val="a6"/>
        <w:pBdr>
          <w:bottom w:val="single" w:sz="4" w:space="31" w:color="FFFFFF"/>
        </w:pBdr>
        <w:autoSpaceDE w:val="0"/>
        <w:spacing w:after="0" w:line="240" w:lineRule="auto"/>
        <w:ind w:left="0" w:firstLine="567"/>
        <w:contextualSpacing w:val="0"/>
        <w:jc w:val="both"/>
        <w:rPr>
          <w:rFonts w:ascii="Times New Roman" w:hAnsi="Times New Roman" w:cs="Times New Roman"/>
          <w:sz w:val="28"/>
          <w:szCs w:val="28"/>
        </w:rPr>
      </w:pPr>
      <w:r w:rsidRPr="00916B3A">
        <w:rPr>
          <w:rFonts w:ascii="Times New Roman" w:eastAsia="Arial Unicode MS" w:hAnsi="Times New Roman" w:cs="Times New Roman"/>
          <w:color w:val="000000"/>
          <w:sz w:val="28"/>
          <w:szCs w:val="28"/>
          <w:u w:color="000000"/>
          <w:bdr w:val="nil"/>
        </w:rPr>
        <w:t xml:space="preserve">1. </w:t>
      </w:r>
      <w:r w:rsidR="008B2B1C" w:rsidRPr="00916B3A">
        <w:rPr>
          <w:rFonts w:ascii="Times New Roman" w:eastAsia="Arial Unicode MS" w:hAnsi="Times New Roman" w:cs="Times New Roman"/>
          <w:color w:val="000000"/>
          <w:sz w:val="28"/>
          <w:szCs w:val="28"/>
          <w:u w:color="000000"/>
          <w:bdr w:val="nil"/>
        </w:rPr>
        <w:t>Ш</w:t>
      </w:r>
      <w:r w:rsidR="006E38AF" w:rsidRPr="00916B3A">
        <w:rPr>
          <w:rFonts w:ascii="Times New Roman" w:eastAsia="Arial Unicode MS" w:hAnsi="Times New Roman" w:cs="Times New Roman"/>
          <w:color w:val="000000"/>
          <w:sz w:val="28"/>
          <w:szCs w:val="28"/>
          <w:u w:color="000000"/>
          <w:bdr w:val="nil"/>
        </w:rPr>
        <w:t>ансы на успешность процедуры ЭКО зависят от факторов: длительность бесплодия до 10 лет (88%), более молодой возраст до 34 лет (54%), наличие трубного фактора до 74,2%.</w:t>
      </w:r>
      <w:r w:rsidRPr="00916B3A">
        <w:rPr>
          <w:rFonts w:ascii="Times New Roman" w:eastAsia="Arial Unicode MS" w:hAnsi="Times New Roman" w:cs="Times New Roman"/>
          <w:color w:val="000000"/>
          <w:sz w:val="28"/>
          <w:szCs w:val="28"/>
          <w:u w:color="000000"/>
          <w:bdr w:val="nil"/>
          <w:lang w:val="kk-KZ"/>
        </w:rPr>
        <w:t xml:space="preserve"> </w:t>
      </w:r>
      <w:r w:rsidR="00FC2BFB" w:rsidRPr="00916B3A">
        <w:rPr>
          <w:rFonts w:ascii="Times New Roman" w:hAnsi="Times New Roman" w:cs="Times New Roman"/>
          <w:sz w:val="28"/>
          <w:szCs w:val="28"/>
        </w:rPr>
        <w:t>Результаты логистического регрессионного анализа показали, что толщина эндометрия ниже 7 мм снижает вероятность наступления беременности</w:t>
      </w:r>
      <w:r w:rsidR="009D28AD" w:rsidRPr="00916B3A">
        <w:rPr>
          <w:rFonts w:ascii="Times New Roman" w:hAnsi="Times New Roman" w:cs="Times New Roman"/>
          <w:sz w:val="28"/>
          <w:szCs w:val="28"/>
        </w:rPr>
        <w:t xml:space="preserve"> </w:t>
      </w:r>
      <w:r w:rsidR="00FC2BFB" w:rsidRPr="00916B3A">
        <w:rPr>
          <w:rFonts w:ascii="Times New Roman" w:hAnsi="Times New Roman" w:cs="Times New Roman"/>
          <w:sz w:val="28"/>
          <w:szCs w:val="28"/>
        </w:rPr>
        <w:t xml:space="preserve">и повышает вероятность самопроизвольного аборта и внематочной беременности. </w:t>
      </w:r>
      <w:r w:rsidR="006E38AF" w:rsidRPr="00916B3A">
        <w:rPr>
          <w:rFonts w:ascii="Times New Roman" w:hAnsi="Times New Roman" w:cs="Times New Roman"/>
          <w:sz w:val="28"/>
          <w:szCs w:val="28"/>
        </w:rPr>
        <w:t xml:space="preserve">У пациенток с толщиной эндометрия менее 5 мм и от 5 до 7 мм вероятность наступления беременности </w:t>
      </w:r>
      <w:r w:rsidR="009D28AD" w:rsidRPr="00916B3A">
        <w:rPr>
          <w:rFonts w:ascii="Times New Roman" w:hAnsi="Times New Roman" w:cs="Times New Roman"/>
          <w:sz w:val="28"/>
          <w:szCs w:val="28"/>
        </w:rPr>
        <w:t xml:space="preserve">была </w:t>
      </w:r>
      <w:r w:rsidR="006E38AF" w:rsidRPr="00916B3A">
        <w:rPr>
          <w:rFonts w:ascii="Times New Roman" w:hAnsi="Times New Roman" w:cs="Times New Roman"/>
          <w:sz w:val="28"/>
          <w:szCs w:val="28"/>
        </w:rPr>
        <w:t>ниже по сравнению с пациентками с толщиной эндометрия 7 мм и более</w:t>
      </w:r>
      <w:r w:rsidR="00B23E44" w:rsidRPr="00916B3A">
        <w:rPr>
          <w:rFonts w:ascii="Times New Roman" w:hAnsi="Times New Roman" w:cs="Times New Roman"/>
          <w:sz w:val="28"/>
          <w:szCs w:val="28"/>
        </w:rPr>
        <w:t>.</w:t>
      </w:r>
    </w:p>
    <w:p w14:paraId="16C24D41" w14:textId="3682DA04" w:rsidR="00B23E44" w:rsidRPr="00916B3A" w:rsidRDefault="00035FF5" w:rsidP="005536C0">
      <w:pPr>
        <w:pBdr>
          <w:bottom w:val="single" w:sz="4" w:space="31" w:color="FFFFFF"/>
        </w:pBdr>
        <w:tabs>
          <w:tab w:val="num" w:pos="0"/>
        </w:tabs>
        <w:autoSpaceDE w:val="0"/>
        <w:spacing w:after="0" w:line="240" w:lineRule="auto"/>
        <w:ind w:firstLine="567"/>
        <w:jc w:val="both"/>
        <w:rPr>
          <w:rFonts w:ascii="Times New Roman" w:hAnsi="Times New Roman" w:cs="Times New Roman"/>
          <w:color w:val="000000" w:themeColor="text1"/>
          <w:sz w:val="28"/>
          <w:szCs w:val="28"/>
        </w:rPr>
      </w:pPr>
      <w:r w:rsidRPr="00916B3A">
        <w:rPr>
          <w:rFonts w:ascii="Times New Roman" w:hAnsi="Times New Roman" w:cs="Times New Roman"/>
          <w:sz w:val="28"/>
          <w:szCs w:val="28"/>
        </w:rPr>
        <w:t xml:space="preserve">2. </w:t>
      </w:r>
      <w:r w:rsidR="00B23E44" w:rsidRPr="00916B3A">
        <w:rPr>
          <w:rFonts w:ascii="Times New Roman" w:hAnsi="Times New Roman" w:cs="Times New Roman"/>
          <w:sz w:val="28"/>
          <w:szCs w:val="28"/>
        </w:rPr>
        <w:t>У</w:t>
      </w:r>
      <w:r w:rsidR="00B23E44" w:rsidRPr="00916B3A">
        <w:rPr>
          <w:rFonts w:ascii="Times New Roman" w:hAnsi="Times New Roman" w:cs="Times New Roman"/>
          <w:color w:val="000000" w:themeColor="text1"/>
          <w:sz w:val="28"/>
          <w:szCs w:val="28"/>
        </w:rPr>
        <w:t xml:space="preserve"> пациенток </w:t>
      </w:r>
      <w:r w:rsidR="00B23E44" w:rsidRPr="00916B3A">
        <w:rPr>
          <w:rFonts w:ascii="Times New Roman" w:hAnsi="Times New Roman" w:cs="Times New Roman"/>
          <w:color w:val="333333"/>
          <w:sz w:val="28"/>
          <w:szCs w:val="28"/>
          <w:shd w:val="clear" w:color="auto" w:fill="FFFFFF"/>
        </w:rPr>
        <w:t xml:space="preserve">с </w:t>
      </w:r>
      <w:r w:rsidR="00B23E44" w:rsidRPr="00916B3A">
        <w:rPr>
          <w:rFonts w:ascii="Times New Roman" w:hAnsi="Times New Roman" w:cs="Times New Roman"/>
          <w:sz w:val="28"/>
          <w:szCs w:val="28"/>
        </w:rPr>
        <w:t xml:space="preserve">рецидивами невынашивания беременности, </w:t>
      </w:r>
      <w:r w:rsidR="009D28AD" w:rsidRPr="00916B3A">
        <w:rPr>
          <w:rFonts w:ascii="Times New Roman" w:hAnsi="Times New Roman" w:cs="Times New Roman"/>
          <w:sz w:val="28"/>
          <w:szCs w:val="28"/>
        </w:rPr>
        <w:t>на фоне истончения эндометрия (М-эхо 5,4</w:t>
      </w:r>
      <w:r w:rsidR="009D28AD" w:rsidRPr="00916B3A">
        <w:rPr>
          <w:rFonts w:ascii="Times New Roman" w:hAnsi="Times New Roman" w:cs="Times New Roman"/>
          <w:color w:val="000000" w:themeColor="text1"/>
          <w:sz w:val="28"/>
          <w:szCs w:val="28"/>
        </w:rPr>
        <w:t>±</w:t>
      </w:r>
      <w:r w:rsidR="009D28AD" w:rsidRPr="00916B3A">
        <w:rPr>
          <w:rFonts w:ascii="Times New Roman" w:hAnsi="Times New Roman" w:cs="Times New Roman"/>
          <w:sz w:val="28"/>
          <w:szCs w:val="28"/>
        </w:rPr>
        <w:t>0,6 мм против 8,6</w:t>
      </w:r>
      <w:r w:rsidR="009D28AD" w:rsidRPr="00916B3A">
        <w:rPr>
          <w:rFonts w:ascii="Times New Roman" w:hAnsi="Times New Roman" w:cs="Times New Roman"/>
          <w:color w:val="000000" w:themeColor="text1"/>
          <w:sz w:val="28"/>
          <w:szCs w:val="28"/>
        </w:rPr>
        <w:t>±2,7 мм в группе сравнения</w:t>
      </w:r>
      <w:r w:rsidR="009D28AD" w:rsidRPr="00916B3A">
        <w:rPr>
          <w:rFonts w:ascii="Times New Roman" w:hAnsi="Times New Roman" w:cs="Times New Roman"/>
          <w:sz w:val="28"/>
          <w:szCs w:val="28"/>
        </w:rPr>
        <w:t xml:space="preserve">) </w:t>
      </w:r>
      <w:r w:rsidR="00B23E44" w:rsidRPr="00916B3A">
        <w:rPr>
          <w:rFonts w:ascii="Times New Roman" w:hAnsi="Times New Roman" w:cs="Times New Roman"/>
          <w:sz w:val="28"/>
          <w:szCs w:val="28"/>
        </w:rPr>
        <w:t>отмечены эхо-неоднородные изменения</w:t>
      </w:r>
      <w:r w:rsidR="00516349">
        <w:rPr>
          <w:rFonts w:ascii="Times New Roman" w:hAnsi="Times New Roman" w:cs="Times New Roman"/>
          <w:sz w:val="28"/>
          <w:szCs w:val="28"/>
        </w:rPr>
        <w:t xml:space="preserve"> (59,2</w:t>
      </w:r>
      <w:r w:rsidR="009D28AD" w:rsidRPr="00916B3A">
        <w:rPr>
          <w:rFonts w:ascii="Times New Roman" w:hAnsi="Times New Roman" w:cs="Times New Roman"/>
          <w:sz w:val="28"/>
          <w:szCs w:val="28"/>
        </w:rPr>
        <w:t>%), несоответствие</w:t>
      </w:r>
      <w:r w:rsidR="00B23E44" w:rsidRPr="00916B3A">
        <w:rPr>
          <w:rFonts w:ascii="Times New Roman" w:hAnsi="Times New Roman" w:cs="Times New Roman"/>
          <w:sz w:val="28"/>
          <w:szCs w:val="28"/>
        </w:rPr>
        <w:t xml:space="preserve"> </w:t>
      </w:r>
      <w:r w:rsidR="009D28AD" w:rsidRPr="00916B3A">
        <w:rPr>
          <w:rFonts w:ascii="Times New Roman" w:hAnsi="Times New Roman" w:cs="Times New Roman"/>
          <w:color w:val="000000" w:themeColor="text1"/>
          <w:sz w:val="28"/>
          <w:szCs w:val="28"/>
        </w:rPr>
        <w:t>структуры эндометрия дню менструального цикла (</w:t>
      </w:r>
      <w:r w:rsidR="00516349">
        <w:rPr>
          <w:rFonts w:ascii="Times New Roman" w:hAnsi="Times New Roman" w:cs="Times New Roman"/>
          <w:color w:val="000000" w:themeColor="text1"/>
          <w:sz w:val="28"/>
          <w:szCs w:val="28"/>
        </w:rPr>
        <w:t>40,8</w:t>
      </w:r>
      <w:r w:rsidR="00B23E44" w:rsidRPr="00916B3A">
        <w:rPr>
          <w:rFonts w:ascii="Times New Roman" w:hAnsi="Times New Roman" w:cs="Times New Roman"/>
          <w:color w:val="000000" w:themeColor="text1"/>
          <w:sz w:val="28"/>
          <w:szCs w:val="28"/>
        </w:rPr>
        <w:t>%</w:t>
      </w:r>
      <w:r w:rsidR="009D28AD" w:rsidRPr="00916B3A">
        <w:rPr>
          <w:rFonts w:ascii="Times New Roman" w:hAnsi="Times New Roman" w:cs="Times New Roman"/>
          <w:color w:val="000000" w:themeColor="text1"/>
          <w:sz w:val="28"/>
          <w:szCs w:val="28"/>
        </w:rPr>
        <w:t xml:space="preserve">). </w:t>
      </w:r>
      <w:r w:rsidR="00B23E44" w:rsidRPr="00916B3A">
        <w:rPr>
          <w:rFonts w:ascii="Times New Roman" w:hAnsi="Times New Roman" w:cs="Times New Roman"/>
          <w:color w:val="000000" w:themeColor="text1"/>
          <w:sz w:val="28"/>
          <w:szCs w:val="28"/>
        </w:rPr>
        <w:t>Изучение кровотока в сосудах матки п</w:t>
      </w:r>
      <w:r w:rsidR="00B23E44" w:rsidRPr="00916B3A">
        <w:rPr>
          <w:rFonts w:ascii="Times New Roman" w:hAnsi="Times New Roman" w:cs="Times New Roman"/>
          <w:sz w:val="28"/>
          <w:szCs w:val="28"/>
        </w:rPr>
        <w:t xml:space="preserve">ри </w:t>
      </w:r>
      <w:r w:rsidR="009D28AD" w:rsidRPr="00916B3A">
        <w:rPr>
          <w:rFonts w:ascii="Times New Roman" w:hAnsi="Times New Roman" w:cs="Times New Roman"/>
          <w:sz w:val="28"/>
          <w:szCs w:val="28"/>
        </w:rPr>
        <w:t xml:space="preserve">цветной допплерографии </w:t>
      </w:r>
      <w:r w:rsidR="00B23E44" w:rsidRPr="00916B3A">
        <w:rPr>
          <w:rFonts w:ascii="Times New Roman" w:hAnsi="Times New Roman" w:cs="Times New Roman"/>
          <w:color w:val="000000" w:themeColor="text1"/>
          <w:sz w:val="28"/>
          <w:szCs w:val="28"/>
        </w:rPr>
        <w:t>показало</w:t>
      </w:r>
      <w:r w:rsidR="009D28AD" w:rsidRPr="00916B3A">
        <w:rPr>
          <w:rFonts w:ascii="Times New Roman" w:hAnsi="Times New Roman" w:cs="Times New Roman"/>
          <w:color w:val="000000" w:themeColor="text1"/>
          <w:sz w:val="28"/>
          <w:szCs w:val="28"/>
        </w:rPr>
        <w:t xml:space="preserve"> снижение  </w:t>
      </w:r>
      <w:r w:rsidR="008B2B1C" w:rsidRPr="00916B3A">
        <w:rPr>
          <w:rFonts w:ascii="Times New Roman" w:hAnsi="Times New Roman" w:cs="Times New Roman"/>
          <w:sz w:val="28"/>
          <w:szCs w:val="28"/>
        </w:rPr>
        <w:t xml:space="preserve"> </w:t>
      </w:r>
      <w:r w:rsidR="00B23E44" w:rsidRPr="00916B3A">
        <w:rPr>
          <w:rFonts w:ascii="Times New Roman" w:hAnsi="Times New Roman" w:cs="Times New Roman"/>
          <w:color w:val="000000" w:themeColor="text1"/>
          <w:sz w:val="28"/>
          <w:szCs w:val="28"/>
        </w:rPr>
        <w:t>визуализаци</w:t>
      </w:r>
      <w:r w:rsidR="009D28AD" w:rsidRPr="00916B3A">
        <w:rPr>
          <w:rFonts w:ascii="Times New Roman" w:hAnsi="Times New Roman" w:cs="Times New Roman"/>
          <w:color w:val="000000" w:themeColor="text1"/>
          <w:sz w:val="28"/>
          <w:szCs w:val="28"/>
        </w:rPr>
        <w:t>и</w:t>
      </w:r>
      <w:r w:rsidR="00B23E44" w:rsidRPr="00916B3A">
        <w:rPr>
          <w:rFonts w:ascii="Times New Roman" w:hAnsi="Times New Roman" w:cs="Times New Roman"/>
          <w:sz w:val="28"/>
          <w:szCs w:val="28"/>
        </w:rPr>
        <w:t xml:space="preserve"> </w:t>
      </w:r>
      <w:r w:rsidR="00B23E44" w:rsidRPr="00916B3A">
        <w:rPr>
          <w:rFonts w:ascii="Times New Roman" w:hAnsi="Times New Roman" w:cs="Times New Roman"/>
          <w:color w:val="000000" w:themeColor="text1"/>
          <w:sz w:val="28"/>
          <w:szCs w:val="28"/>
        </w:rPr>
        <w:t>аркуатных</w:t>
      </w:r>
      <w:r w:rsidR="009D28AD" w:rsidRPr="00916B3A">
        <w:rPr>
          <w:rFonts w:ascii="Times New Roman" w:hAnsi="Times New Roman" w:cs="Times New Roman"/>
          <w:color w:val="000000" w:themeColor="text1"/>
          <w:sz w:val="28"/>
          <w:szCs w:val="28"/>
        </w:rPr>
        <w:t xml:space="preserve"> </w:t>
      </w:r>
      <w:r w:rsidR="00B23E44" w:rsidRPr="00916B3A">
        <w:rPr>
          <w:rFonts w:ascii="Times New Roman" w:hAnsi="Times New Roman" w:cs="Times New Roman"/>
          <w:color w:val="000000" w:themeColor="text1"/>
          <w:sz w:val="28"/>
          <w:szCs w:val="28"/>
        </w:rPr>
        <w:t>и радиальных</w:t>
      </w:r>
      <w:r w:rsidR="009D28AD" w:rsidRPr="00916B3A">
        <w:rPr>
          <w:rFonts w:ascii="Times New Roman" w:hAnsi="Times New Roman" w:cs="Times New Roman"/>
          <w:color w:val="000000" w:themeColor="text1"/>
          <w:sz w:val="28"/>
          <w:szCs w:val="28"/>
        </w:rPr>
        <w:t xml:space="preserve"> </w:t>
      </w:r>
      <w:proofErr w:type="gramStart"/>
      <w:r w:rsidR="00B23E44" w:rsidRPr="00916B3A">
        <w:rPr>
          <w:rFonts w:ascii="Times New Roman" w:hAnsi="Times New Roman" w:cs="Times New Roman"/>
          <w:color w:val="000000" w:themeColor="text1"/>
          <w:sz w:val="28"/>
          <w:szCs w:val="28"/>
        </w:rPr>
        <w:t>артерий</w:t>
      </w:r>
      <w:r w:rsidR="009D28AD" w:rsidRPr="00916B3A">
        <w:rPr>
          <w:rFonts w:ascii="Times New Roman" w:hAnsi="Times New Roman" w:cs="Times New Roman"/>
          <w:color w:val="000000" w:themeColor="text1"/>
          <w:sz w:val="28"/>
          <w:szCs w:val="28"/>
        </w:rPr>
        <w:t xml:space="preserve">,  </w:t>
      </w:r>
      <w:r w:rsidR="00B23E44" w:rsidRPr="00916B3A">
        <w:rPr>
          <w:rFonts w:ascii="Times New Roman" w:hAnsi="Times New Roman" w:cs="Times New Roman"/>
          <w:color w:val="000000" w:themeColor="text1"/>
          <w:sz w:val="28"/>
          <w:szCs w:val="28"/>
        </w:rPr>
        <w:t>базальных</w:t>
      </w:r>
      <w:proofErr w:type="gramEnd"/>
      <w:r w:rsidR="005C54CE" w:rsidRPr="00916B3A">
        <w:rPr>
          <w:rFonts w:ascii="Times New Roman" w:hAnsi="Times New Roman" w:cs="Times New Roman"/>
          <w:color w:val="000000" w:themeColor="text1"/>
          <w:sz w:val="28"/>
          <w:szCs w:val="28"/>
        </w:rPr>
        <w:t xml:space="preserve"> - в 1,5 раза </w:t>
      </w:r>
      <w:r w:rsidR="00B23E44" w:rsidRPr="00916B3A">
        <w:rPr>
          <w:rFonts w:ascii="Times New Roman" w:hAnsi="Times New Roman" w:cs="Times New Roman"/>
          <w:color w:val="000000" w:themeColor="text1"/>
          <w:sz w:val="28"/>
          <w:szCs w:val="28"/>
        </w:rPr>
        <w:t xml:space="preserve">(60±9,1% против 90,0±6,9%, </w:t>
      </w:r>
      <w:r w:rsidR="00B23E44" w:rsidRPr="00916B3A">
        <w:rPr>
          <w:rFonts w:ascii="Times New Roman" w:hAnsi="Times New Roman" w:cs="Times New Roman"/>
          <w:color w:val="000000" w:themeColor="text1"/>
          <w:sz w:val="28"/>
          <w:szCs w:val="28"/>
          <w:lang w:val="en-US"/>
        </w:rPr>
        <w:t>p</w:t>
      </w:r>
      <w:r w:rsidR="00B23E44" w:rsidRPr="00916B3A">
        <w:rPr>
          <w:rFonts w:ascii="Times New Roman" w:hAnsi="Times New Roman" w:cs="Times New Roman"/>
          <w:color w:val="000000" w:themeColor="text1"/>
          <w:sz w:val="28"/>
          <w:szCs w:val="28"/>
        </w:rPr>
        <w:t xml:space="preserve">&lt;0,05) и спиральных артерий </w:t>
      </w:r>
      <w:r w:rsidR="005C54CE" w:rsidRPr="00916B3A">
        <w:rPr>
          <w:rFonts w:ascii="Times New Roman" w:hAnsi="Times New Roman" w:cs="Times New Roman"/>
          <w:color w:val="000000" w:themeColor="text1"/>
          <w:sz w:val="28"/>
          <w:szCs w:val="28"/>
        </w:rPr>
        <w:t xml:space="preserve"> в 4,5 раза </w:t>
      </w:r>
      <w:r w:rsidR="00B23E44" w:rsidRPr="00916B3A">
        <w:rPr>
          <w:rFonts w:ascii="Times New Roman" w:hAnsi="Times New Roman" w:cs="Times New Roman"/>
          <w:color w:val="000000" w:themeColor="text1"/>
          <w:sz w:val="28"/>
          <w:szCs w:val="28"/>
        </w:rPr>
        <w:t xml:space="preserve">(20±7,4% против 90,0±6,9%, </w:t>
      </w:r>
      <w:r w:rsidR="00B23E44" w:rsidRPr="00916B3A">
        <w:rPr>
          <w:rFonts w:ascii="Times New Roman" w:hAnsi="Times New Roman" w:cs="Times New Roman"/>
          <w:color w:val="000000" w:themeColor="text1"/>
          <w:sz w:val="28"/>
          <w:szCs w:val="28"/>
          <w:lang w:val="en-US"/>
        </w:rPr>
        <w:t>p</w:t>
      </w:r>
      <w:r w:rsidR="00B23E44" w:rsidRPr="00916B3A">
        <w:rPr>
          <w:rFonts w:ascii="Times New Roman" w:hAnsi="Times New Roman" w:cs="Times New Roman"/>
          <w:color w:val="000000" w:themeColor="text1"/>
          <w:sz w:val="28"/>
          <w:szCs w:val="28"/>
        </w:rPr>
        <w:t>&lt;0,01)</w:t>
      </w:r>
      <w:r w:rsidR="005C54CE" w:rsidRPr="00916B3A">
        <w:rPr>
          <w:rFonts w:ascii="Times New Roman" w:hAnsi="Times New Roman" w:cs="Times New Roman"/>
          <w:color w:val="000000" w:themeColor="text1"/>
          <w:sz w:val="28"/>
          <w:szCs w:val="28"/>
        </w:rPr>
        <w:t xml:space="preserve">; </w:t>
      </w:r>
      <w:r w:rsidR="00B23E44" w:rsidRPr="00916B3A">
        <w:rPr>
          <w:rFonts w:ascii="Times New Roman" w:hAnsi="Times New Roman" w:cs="Times New Roman"/>
          <w:color w:val="000000" w:themeColor="text1"/>
          <w:sz w:val="28"/>
          <w:szCs w:val="28"/>
        </w:rPr>
        <w:t xml:space="preserve">отмечались высокие значения сосудистого сопротивления </w:t>
      </w:r>
      <w:r w:rsidR="00B23E44" w:rsidRPr="00916B3A">
        <w:rPr>
          <w:rFonts w:ascii="Times New Roman" w:hAnsi="Times New Roman" w:cs="Times New Roman"/>
          <w:sz w:val="28"/>
          <w:szCs w:val="28"/>
        </w:rPr>
        <w:t>в спиральных артериях - пульсационный индекс PI (1,43</w:t>
      </w:r>
      <w:r w:rsidR="00B23E44" w:rsidRPr="00916B3A">
        <w:rPr>
          <w:rFonts w:ascii="Times New Roman" w:hAnsi="Times New Roman" w:cs="Times New Roman"/>
          <w:color w:val="000000" w:themeColor="text1"/>
          <w:sz w:val="28"/>
          <w:szCs w:val="28"/>
        </w:rPr>
        <w:t xml:space="preserve">±0,04 против 2,0±0,09, </w:t>
      </w:r>
      <w:r w:rsidR="00B23E44" w:rsidRPr="00916B3A">
        <w:rPr>
          <w:rFonts w:ascii="Times New Roman" w:hAnsi="Times New Roman" w:cs="Times New Roman"/>
          <w:color w:val="000000" w:themeColor="text1"/>
          <w:sz w:val="28"/>
          <w:szCs w:val="28"/>
          <w:lang w:val="en-US"/>
        </w:rPr>
        <w:t>p</w:t>
      </w:r>
      <w:r w:rsidR="00B23E44" w:rsidRPr="00916B3A">
        <w:rPr>
          <w:rFonts w:ascii="Times New Roman" w:hAnsi="Times New Roman" w:cs="Times New Roman"/>
          <w:color w:val="000000" w:themeColor="text1"/>
          <w:sz w:val="28"/>
          <w:szCs w:val="28"/>
        </w:rPr>
        <w:t xml:space="preserve">&lt;0,05). </w:t>
      </w:r>
    </w:p>
    <w:p w14:paraId="40C260F1" w14:textId="592CAFBD" w:rsidR="00FC2BFB" w:rsidRPr="00916B3A" w:rsidRDefault="00035FF5" w:rsidP="005536C0">
      <w:pPr>
        <w:pBdr>
          <w:bottom w:val="single" w:sz="4" w:space="31" w:color="FFFFFF"/>
        </w:pBdr>
        <w:tabs>
          <w:tab w:val="left" w:pos="0"/>
        </w:tabs>
        <w:autoSpaceDE w:val="0"/>
        <w:spacing w:after="0" w:line="240" w:lineRule="auto"/>
        <w:ind w:firstLine="567"/>
        <w:jc w:val="both"/>
        <w:rPr>
          <w:rFonts w:ascii="Times New Roman" w:hAnsi="Times New Roman" w:cs="Times New Roman"/>
          <w:iCs/>
          <w:color w:val="000000"/>
          <w:sz w:val="28"/>
          <w:szCs w:val="28"/>
        </w:rPr>
      </w:pPr>
      <w:r w:rsidRPr="00916B3A">
        <w:rPr>
          <w:rFonts w:ascii="Times New Roman" w:hAnsi="Times New Roman" w:cs="Times New Roman"/>
          <w:iCs/>
          <w:color w:val="000000"/>
          <w:sz w:val="28"/>
          <w:szCs w:val="28"/>
        </w:rPr>
        <w:t>3.</w:t>
      </w:r>
      <w:r w:rsidR="00CA7051" w:rsidRPr="00916B3A">
        <w:rPr>
          <w:rFonts w:ascii="Times New Roman" w:hAnsi="Times New Roman" w:cs="Times New Roman"/>
          <w:iCs/>
          <w:color w:val="000000"/>
          <w:sz w:val="28"/>
          <w:szCs w:val="28"/>
        </w:rPr>
        <w:t xml:space="preserve"> </w:t>
      </w:r>
      <w:r w:rsidR="006E38AF" w:rsidRPr="00916B3A">
        <w:rPr>
          <w:rFonts w:ascii="Times New Roman" w:hAnsi="Times New Roman" w:cs="Times New Roman"/>
          <w:iCs/>
          <w:color w:val="000000"/>
          <w:sz w:val="28"/>
          <w:szCs w:val="28"/>
        </w:rPr>
        <w:t>Транскрипционный анализ</w:t>
      </w:r>
      <w:r w:rsidR="00FC2BFB" w:rsidRPr="00916B3A">
        <w:rPr>
          <w:rFonts w:ascii="Times New Roman" w:hAnsi="Times New Roman" w:cs="Times New Roman"/>
          <w:iCs/>
          <w:color w:val="000000"/>
          <w:sz w:val="28"/>
          <w:szCs w:val="28"/>
        </w:rPr>
        <w:t xml:space="preserve"> эндометрия показал, что при рецидивах неудач имплантации и </w:t>
      </w:r>
      <w:r w:rsidR="008B2B1C" w:rsidRPr="00916B3A">
        <w:rPr>
          <w:rFonts w:ascii="Times New Roman" w:hAnsi="Times New Roman" w:cs="Times New Roman"/>
          <w:iCs/>
          <w:color w:val="000000"/>
          <w:sz w:val="28"/>
          <w:szCs w:val="28"/>
        </w:rPr>
        <w:t>«</w:t>
      </w:r>
      <w:r w:rsidR="00FC2BFB" w:rsidRPr="00916B3A">
        <w:rPr>
          <w:rFonts w:ascii="Times New Roman" w:hAnsi="Times New Roman" w:cs="Times New Roman"/>
          <w:iCs/>
          <w:color w:val="000000"/>
          <w:sz w:val="28"/>
          <w:szCs w:val="28"/>
        </w:rPr>
        <w:t>тонк</w:t>
      </w:r>
      <w:r w:rsidR="008B2B1C" w:rsidRPr="00916B3A">
        <w:rPr>
          <w:rFonts w:ascii="Times New Roman" w:hAnsi="Times New Roman" w:cs="Times New Roman"/>
          <w:iCs/>
          <w:color w:val="000000"/>
          <w:sz w:val="28"/>
          <w:szCs w:val="28"/>
        </w:rPr>
        <w:t>о</w:t>
      </w:r>
      <w:r w:rsidR="00FC2BFB" w:rsidRPr="00916B3A">
        <w:rPr>
          <w:rFonts w:ascii="Times New Roman" w:hAnsi="Times New Roman" w:cs="Times New Roman"/>
          <w:iCs/>
          <w:color w:val="000000"/>
          <w:sz w:val="28"/>
          <w:szCs w:val="28"/>
        </w:rPr>
        <w:t>м</w:t>
      </w:r>
      <w:r w:rsidR="008B2B1C" w:rsidRPr="00916B3A">
        <w:rPr>
          <w:rFonts w:ascii="Times New Roman" w:hAnsi="Times New Roman" w:cs="Times New Roman"/>
          <w:iCs/>
          <w:color w:val="000000"/>
          <w:sz w:val="28"/>
          <w:szCs w:val="28"/>
        </w:rPr>
        <w:t>»</w:t>
      </w:r>
      <w:r w:rsidR="00FC2BFB" w:rsidRPr="00916B3A">
        <w:rPr>
          <w:rFonts w:ascii="Times New Roman" w:hAnsi="Times New Roman" w:cs="Times New Roman"/>
          <w:iCs/>
          <w:color w:val="000000"/>
          <w:sz w:val="28"/>
          <w:szCs w:val="28"/>
        </w:rPr>
        <w:t xml:space="preserve"> эндометри</w:t>
      </w:r>
      <w:r w:rsidR="008B2B1C" w:rsidRPr="00916B3A">
        <w:rPr>
          <w:rFonts w:ascii="Times New Roman" w:hAnsi="Times New Roman" w:cs="Times New Roman"/>
          <w:iCs/>
          <w:color w:val="000000"/>
          <w:sz w:val="28"/>
          <w:szCs w:val="28"/>
        </w:rPr>
        <w:t>и</w:t>
      </w:r>
      <w:r w:rsidR="00FC2BFB" w:rsidRPr="00916B3A">
        <w:rPr>
          <w:rFonts w:ascii="Times New Roman" w:hAnsi="Times New Roman" w:cs="Times New Roman"/>
          <w:iCs/>
          <w:color w:val="000000"/>
          <w:sz w:val="28"/>
          <w:szCs w:val="28"/>
        </w:rPr>
        <w:t xml:space="preserve"> экспрессия CXCL1 (p=0,005) и C4BPA (p=0,03) генов эндометрия значительно снижена, использование комбинации двух маркеров (C4BPA + CXCL1) позволяет хорошо различать пациенток с </w:t>
      </w:r>
      <w:r w:rsidR="005C54CE" w:rsidRPr="00916B3A">
        <w:rPr>
          <w:rFonts w:ascii="Times New Roman" w:hAnsi="Times New Roman" w:cs="Times New Roman"/>
          <w:iCs/>
          <w:color w:val="000000"/>
          <w:sz w:val="28"/>
          <w:szCs w:val="28"/>
        </w:rPr>
        <w:t>рецидивами неудач импдантации</w:t>
      </w:r>
      <w:r w:rsidR="00FC2BFB" w:rsidRPr="00916B3A">
        <w:rPr>
          <w:rFonts w:ascii="Times New Roman" w:hAnsi="Times New Roman" w:cs="Times New Roman"/>
          <w:iCs/>
          <w:color w:val="000000"/>
          <w:sz w:val="28"/>
          <w:szCs w:val="28"/>
        </w:rPr>
        <w:t xml:space="preserve"> и фертильных женщин (AUC=0,806). </w:t>
      </w:r>
      <w:r w:rsidR="009810FA" w:rsidRPr="00916B3A">
        <w:rPr>
          <w:rFonts w:ascii="Times New Roman" w:hAnsi="Times New Roman" w:cs="Times New Roman"/>
          <w:sz w:val="28"/>
          <w:szCs w:val="28"/>
        </w:rPr>
        <w:t xml:space="preserve">У пациентов с </w:t>
      </w:r>
      <w:r w:rsidR="005C54CE" w:rsidRPr="00916B3A">
        <w:rPr>
          <w:rFonts w:ascii="Times New Roman" w:hAnsi="Times New Roman" w:cs="Times New Roman"/>
          <w:sz w:val="28"/>
          <w:szCs w:val="28"/>
        </w:rPr>
        <w:t xml:space="preserve">рецидивами потери беременности </w:t>
      </w:r>
      <w:r w:rsidR="009810FA" w:rsidRPr="00916B3A">
        <w:rPr>
          <w:rFonts w:ascii="Times New Roman" w:hAnsi="Times New Roman" w:cs="Times New Roman"/>
          <w:sz w:val="28"/>
          <w:szCs w:val="28"/>
        </w:rPr>
        <w:t xml:space="preserve">были установлены значимые обратные умеренные корреляции между </w:t>
      </w:r>
      <w:r w:rsidR="009810FA" w:rsidRPr="00916B3A">
        <w:rPr>
          <w:rFonts w:ascii="Times New Roman" w:hAnsi="Times New Roman" w:cs="Times New Roman"/>
          <w:i/>
          <w:iCs/>
          <w:sz w:val="28"/>
          <w:szCs w:val="28"/>
        </w:rPr>
        <w:t xml:space="preserve">CXCL1 </w:t>
      </w:r>
      <w:r w:rsidR="009810FA" w:rsidRPr="00916B3A">
        <w:rPr>
          <w:rFonts w:ascii="Times New Roman" w:hAnsi="Times New Roman" w:cs="Times New Roman"/>
          <w:sz w:val="28"/>
          <w:szCs w:val="28"/>
        </w:rPr>
        <w:t xml:space="preserve">и протромбиновым временем (rho = −0,456, </w:t>
      </w:r>
      <w:r w:rsidR="009810FA" w:rsidRPr="00916B3A">
        <w:rPr>
          <w:rFonts w:ascii="Times New Roman" w:hAnsi="Times New Roman" w:cs="Times New Roman"/>
          <w:i/>
          <w:sz w:val="28"/>
          <w:szCs w:val="28"/>
        </w:rPr>
        <w:t xml:space="preserve">p </w:t>
      </w:r>
      <w:r w:rsidR="009810FA" w:rsidRPr="00916B3A">
        <w:rPr>
          <w:rFonts w:ascii="Times New Roman" w:hAnsi="Times New Roman" w:cs="Times New Roman"/>
          <w:sz w:val="28"/>
          <w:szCs w:val="28"/>
        </w:rPr>
        <w:t>=</w:t>
      </w:r>
      <w:r w:rsidR="005C54CE" w:rsidRPr="00916B3A">
        <w:rPr>
          <w:rFonts w:ascii="Times New Roman" w:hAnsi="Times New Roman" w:cs="Times New Roman"/>
          <w:sz w:val="28"/>
          <w:szCs w:val="28"/>
        </w:rPr>
        <w:t>0</w:t>
      </w:r>
      <w:r w:rsidR="009810FA" w:rsidRPr="00916B3A">
        <w:rPr>
          <w:rFonts w:ascii="Times New Roman" w:hAnsi="Times New Roman" w:cs="Times New Roman"/>
          <w:sz w:val="28"/>
          <w:szCs w:val="28"/>
        </w:rPr>
        <w:t xml:space="preserve">,04959) и прямая умеренная корреляция между </w:t>
      </w:r>
      <w:r w:rsidR="009810FA" w:rsidRPr="00916B3A">
        <w:rPr>
          <w:rFonts w:ascii="Times New Roman" w:hAnsi="Times New Roman" w:cs="Times New Roman"/>
          <w:i/>
          <w:iCs/>
          <w:sz w:val="28"/>
          <w:szCs w:val="28"/>
        </w:rPr>
        <w:t xml:space="preserve">CXCL1 </w:t>
      </w:r>
      <w:r w:rsidR="009810FA" w:rsidRPr="00916B3A">
        <w:rPr>
          <w:rFonts w:ascii="Times New Roman" w:hAnsi="Times New Roman" w:cs="Times New Roman"/>
          <w:sz w:val="28"/>
          <w:szCs w:val="28"/>
        </w:rPr>
        <w:t xml:space="preserve">и активированным частичным тромбопластиновым временем (rho=0,587, </w:t>
      </w:r>
      <w:r w:rsidR="009810FA" w:rsidRPr="00916B3A">
        <w:rPr>
          <w:rFonts w:ascii="Times New Roman" w:hAnsi="Times New Roman" w:cs="Times New Roman"/>
          <w:i/>
          <w:sz w:val="28"/>
          <w:szCs w:val="28"/>
        </w:rPr>
        <w:t>p</w:t>
      </w:r>
      <w:r w:rsidR="009810FA" w:rsidRPr="00916B3A">
        <w:rPr>
          <w:rFonts w:ascii="Times New Roman" w:hAnsi="Times New Roman" w:cs="Times New Roman"/>
          <w:sz w:val="28"/>
          <w:szCs w:val="28"/>
        </w:rPr>
        <w:t>=0,0083).</w:t>
      </w:r>
      <w:r w:rsidRPr="00916B3A">
        <w:rPr>
          <w:rFonts w:ascii="Times New Roman" w:hAnsi="Times New Roman" w:cs="Times New Roman"/>
          <w:sz w:val="28"/>
          <w:szCs w:val="28"/>
          <w:lang w:val="kk-KZ"/>
        </w:rPr>
        <w:t xml:space="preserve"> </w:t>
      </w:r>
      <w:r w:rsidR="006E38AF" w:rsidRPr="00916B3A">
        <w:rPr>
          <w:rFonts w:ascii="Times New Roman" w:hAnsi="Times New Roman" w:cs="Times New Roman"/>
          <w:iCs/>
          <w:color w:val="000000"/>
          <w:sz w:val="28"/>
          <w:szCs w:val="28"/>
        </w:rPr>
        <w:t>П</w:t>
      </w:r>
      <w:r w:rsidR="00FC2BFB" w:rsidRPr="00916B3A">
        <w:rPr>
          <w:rFonts w:ascii="Times New Roman" w:hAnsi="Times New Roman" w:cs="Times New Roman"/>
          <w:iCs/>
          <w:color w:val="000000"/>
          <w:sz w:val="28"/>
          <w:szCs w:val="28"/>
        </w:rPr>
        <w:t xml:space="preserve">ри рецидивах неудач имплантации и </w:t>
      </w:r>
      <w:r w:rsidR="008B2B1C" w:rsidRPr="00916B3A">
        <w:rPr>
          <w:rFonts w:ascii="Times New Roman" w:hAnsi="Times New Roman" w:cs="Times New Roman"/>
          <w:iCs/>
          <w:color w:val="000000"/>
          <w:sz w:val="28"/>
          <w:szCs w:val="28"/>
        </w:rPr>
        <w:t>«</w:t>
      </w:r>
      <w:r w:rsidR="00FC2BFB" w:rsidRPr="00916B3A">
        <w:rPr>
          <w:rFonts w:ascii="Times New Roman" w:hAnsi="Times New Roman" w:cs="Times New Roman"/>
          <w:iCs/>
          <w:color w:val="000000"/>
          <w:sz w:val="28"/>
          <w:szCs w:val="28"/>
        </w:rPr>
        <w:t>тонким</w:t>
      </w:r>
      <w:r w:rsidR="008B2B1C" w:rsidRPr="00916B3A">
        <w:rPr>
          <w:rFonts w:ascii="Times New Roman" w:hAnsi="Times New Roman" w:cs="Times New Roman"/>
          <w:iCs/>
          <w:color w:val="000000"/>
          <w:sz w:val="28"/>
          <w:szCs w:val="28"/>
        </w:rPr>
        <w:t>»</w:t>
      </w:r>
      <w:r w:rsidR="00FC2BFB" w:rsidRPr="00916B3A">
        <w:rPr>
          <w:rFonts w:ascii="Times New Roman" w:hAnsi="Times New Roman" w:cs="Times New Roman"/>
          <w:iCs/>
          <w:color w:val="000000"/>
          <w:sz w:val="28"/>
          <w:szCs w:val="28"/>
        </w:rPr>
        <w:t xml:space="preserve"> эндометрием экспрессия генов IL-15</w:t>
      </w:r>
      <w:r w:rsidR="00282E71" w:rsidRPr="00916B3A">
        <w:rPr>
          <w:rFonts w:ascii="Times New Roman" w:hAnsi="Times New Roman" w:cs="Times New Roman"/>
          <w:iCs/>
          <w:color w:val="000000"/>
          <w:sz w:val="28"/>
          <w:szCs w:val="28"/>
        </w:rPr>
        <w:t xml:space="preserve"> </w:t>
      </w:r>
      <w:r w:rsidR="00FC2BFB" w:rsidRPr="00916B3A">
        <w:rPr>
          <w:rFonts w:ascii="Times New Roman" w:hAnsi="Times New Roman" w:cs="Times New Roman"/>
          <w:iCs/>
          <w:color w:val="000000"/>
          <w:sz w:val="28"/>
          <w:szCs w:val="28"/>
        </w:rPr>
        <w:t xml:space="preserve">была значительно снижена по сравнению с пациентками с рецидивами потери беременности (log2-кратное изменение = 0,92, p = 0,023 для IL-15). </w:t>
      </w:r>
    </w:p>
    <w:p w14:paraId="014A1752" w14:textId="49626EA6" w:rsidR="008F197E" w:rsidRPr="00916B3A" w:rsidRDefault="00B23E44" w:rsidP="005536C0">
      <w:pPr>
        <w:pStyle w:val="a6"/>
        <w:pBdr>
          <w:bottom w:val="single" w:sz="4" w:space="31" w:color="FFFFFF"/>
        </w:pBdr>
        <w:tabs>
          <w:tab w:val="left" w:pos="0"/>
        </w:tabs>
        <w:autoSpaceDE w:val="0"/>
        <w:spacing w:after="0" w:line="240" w:lineRule="auto"/>
        <w:ind w:left="0" w:firstLine="567"/>
        <w:contextualSpacing w:val="0"/>
        <w:jc w:val="both"/>
        <w:rPr>
          <w:rFonts w:ascii="Times New Roman" w:hAnsi="Times New Roman" w:cs="Times New Roman"/>
          <w:b/>
          <w:bCs/>
          <w:sz w:val="28"/>
          <w:szCs w:val="28"/>
        </w:rPr>
      </w:pPr>
      <w:r w:rsidRPr="00916B3A">
        <w:rPr>
          <w:rFonts w:ascii="Times New Roman" w:hAnsi="Times New Roman" w:cs="Times New Roman"/>
          <w:iCs/>
          <w:color w:val="000000"/>
          <w:sz w:val="28"/>
          <w:szCs w:val="28"/>
        </w:rPr>
        <w:t>4</w:t>
      </w:r>
      <w:r w:rsidR="00035FF5" w:rsidRPr="00916B3A">
        <w:rPr>
          <w:rFonts w:ascii="Times New Roman" w:hAnsi="Times New Roman" w:cs="Times New Roman"/>
          <w:iCs/>
          <w:color w:val="000000"/>
          <w:sz w:val="28"/>
          <w:szCs w:val="28"/>
        </w:rPr>
        <w:t xml:space="preserve">. </w:t>
      </w:r>
      <w:r w:rsidR="0003719A" w:rsidRPr="00916B3A">
        <w:rPr>
          <w:rFonts w:ascii="Times New Roman" w:hAnsi="Times New Roman" w:cs="Times New Roman"/>
          <w:color w:val="000000" w:themeColor="text1"/>
          <w:sz w:val="28"/>
          <w:szCs w:val="28"/>
        </w:rPr>
        <w:t xml:space="preserve">По нашим результатам исследования принадлежность к группе с толщиной эндометрия </w:t>
      </w:r>
      <w:r w:rsidR="0003719A" w:rsidRPr="00916B3A">
        <w:rPr>
          <w:rFonts w:ascii="Times New Roman" w:hAnsi="Times New Roman" w:cs="Times New Roman"/>
          <w:bCs/>
          <w:sz w:val="28"/>
          <w:szCs w:val="28"/>
        </w:rPr>
        <w:t>&lt;</w:t>
      </w:r>
      <w:proofErr w:type="gramStart"/>
      <w:r w:rsidR="0003719A" w:rsidRPr="00916B3A">
        <w:rPr>
          <w:rFonts w:ascii="Times New Roman" w:hAnsi="Times New Roman" w:cs="Times New Roman"/>
          <w:bCs/>
          <w:sz w:val="28"/>
          <w:szCs w:val="28"/>
        </w:rPr>
        <w:t>5  мм</w:t>
      </w:r>
      <w:proofErr w:type="gramEnd"/>
      <w:r w:rsidR="0003719A" w:rsidRPr="00916B3A">
        <w:rPr>
          <w:rFonts w:ascii="Times New Roman" w:hAnsi="Times New Roman" w:cs="Times New Roman"/>
          <w:bCs/>
          <w:sz w:val="28"/>
          <w:szCs w:val="28"/>
        </w:rPr>
        <w:t xml:space="preserve"> </w:t>
      </w:r>
      <w:r w:rsidR="0003719A" w:rsidRPr="00916B3A">
        <w:rPr>
          <w:rFonts w:ascii="Times New Roman" w:hAnsi="Times New Roman" w:cs="Times New Roman"/>
          <w:color w:val="000000" w:themeColor="text1"/>
          <w:sz w:val="28"/>
          <w:szCs w:val="28"/>
        </w:rPr>
        <w:t xml:space="preserve">ассоциировалась с более низкой вероятностью наступления беременности (ОР=0,595, 95% ДИ [0,524-0,676]) по сравнению с группой 3 с толщиной эндометрия </w:t>
      </w:r>
      <w:r w:rsidR="0003719A" w:rsidRPr="00916B3A">
        <w:rPr>
          <w:rFonts w:ascii="Times New Roman" w:eastAsiaTheme="minorEastAsia" w:hAnsi="Times New Roman" w:cs="Times New Roman"/>
          <w:bCs/>
          <w:color w:val="000000" w:themeColor="text1"/>
          <w:sz w:val="28"/>
          <w:szCs w:val="28"/>
        </w:rPr>
        <w:t>&gt; 7 мм</w:t>
      </w:r>
      <w:r w:rsidR="0003719A" w:rsidRPr="00916B3A">
        <w:rPr>
          <w:rFonts w:ascii="Times New Roman" w:hAnsi="Times New Roman" w:cs="Times New Roman"/>
          <w:color w:val="000000" w:themeColor="text1"/>
          <w:sz w:val="28"/>
          <w:szCs w:val="28"/>
        </w:rPr>
        <w:t xml:space="preserve">. Принадлежность к группе с толщиной </w:t>
      </w:r>
      <w:r w:rsidR="0003719A" w:rsidRPr="00916B3A">
        <w:rPr>
          <w:rFonts w:ascii="Times New Roman" w:hAnsi="Times New Roman" w:cs="Times New Roman"/>
          <w:bCs/>
          <w:sz w:val="28"/>
          <w:szCs w:val="28"/>
        </w:rPr>
        <w:t>≥ 5 и ≤7 мм</w:t>
      </w:r>
      <w:r w:rsidR="0003719A" w:rsidRPr="00916B3A">
        <w:rPr>
          <w:rFonts w:ascii="Times New Roman" w:hAnsi="Times New Roman" w:cs="Times New Roman"/>
          <w:color w:val="000000" w:themeColor="text1"/>
          <w:sz w:val="28"/>
          <w:szCs w:val="28"/>
        </w:rPr>
        <w:t xml:space="preserve"> эндометрия ассоциировалась с более низкой вероятностью наступления беременности (ОР=0,670, 95% ДИ [0,591-0,761]) по сравнению с группой 3 с толщиной эндометрия </w:t>
      </w:r>
      <w:r w:rsidR="0003719A" w:rsidRPr="00916B3A">
        <w:rPr>
          <w:rFonts w:ascii="Times New Roman" w:eastAsiaTheme="minorEastAsia" w:hAnsi="Times New Roman" w:cs="Times New Roman"/>
          <w:bCs/>
          <w:color w:val="000000" w:themeColor="text1"/>
          <w:sz w:val="28"/>
          <w:szCs w:val="28"/>
        </w:rPr>
        <w:t>&gt;7 мм</w:t>
      </w:r>
      <w:r w:rsidR="0003719A" w:rsidRPr="00916B3A">
        <w:rPr>
          <w:rFonts w:ascii="Times New Roman" w:hAnsi="Times New Roman" w:cs="Times New Roman"/>
          <w:color w:val="000000" w:themeColor="text1"/>
          <w:sz w:val="28"/>
          <w:szCs w:val="28"/>
        </w:rPr>
        <w:t xml:space="preserve">. </w:t>
      </w:r>
      <w:r w:rsidR="0003719A" w:rsidRPr="00916B3A">
        <w:rPr>
          <w:rFonts w:ascii="Times New Roman" w:hAnsi="Times New Roman" w:cs="Times New Roman"/>
          <w:sz w:val="28"/>
          <w:szCs w:val="28"/>
        </w:rPr>
        <w:t xml:space="preserve">По итогам реализации данного методологического подхода в финальную версию прогностического алгоритма были включены 2 маркера: «снижении </w:t>
      </w:r>
      <w:r w:rsidR="0003719A" w:rsidRPr="00916B3A">
        <w:rPr>
          <w:rFonts w:ascii="Times New Roman" w:hAnsi="Times New Roman" w:cs="Times New Roman"/>
          <w:iCs/>
          <w:color w:val="000000"/>
          <w:sz w:val="28"/>
          <w:szCs w:val="28"/>
        </w:rPr>
        <w:t>экспрессия CXCL1 (p=0,005) и C4BPA (p=0,03) генов эндометрия</w:t>
      </w:r>
      <w:r w:rsidR="0003719A" w:rsidRPr="00916B3A">
        <w:rPr>
          <w:rFonts w:ascii="Times New Roman" w:hAnsi="Times New Roman" w:cs="Times New Roman"/>
          <w:sz w:val="28"/>
          <w:szCs w:val="28"/>
        </w:rPr>
        <w:t xml:space="preserve">», «уровень экспрессии </w:t>
      </w:r>
      <w:r w:rsidR="0003719A" w:rsidRPr="00916B3A">
        <w:rPr>
          <w:rFonts w:ascii="Times New Roman" w:hAnsi="Times New Roman" w:cs="Times New Roman"/>
          <w:iCs/>
          <w:color w:val="000000"/>
          <w:sz w:val="28"/>
          <w:szCs w:val="28"/>
        </w:rPr>
        <w:t>IL-15</w:t>
      </w:r>
      <w:r w:rsidR="0003719A" w:rsidRPr="00916B3A">
        <w:rPr>
          <w:rFonts w:ascii="Times New Roman" w:hAnsi="Times New Roman" w:cs="Times New Roman"/>
          <w:sz w:val="28"/>
          <w:szCs w:val="28"/>
        </w:rPr>
        <w:t>». Суммарное количество клинических наблюдений, вошедших в анализ, составило 53 случаев. Основываясь на совокупности статистически значимых маркеров факторов риска репродуктивных потерь и экспрессии выбранных генов биоптата эндометрия в период «имплантационного окна»</w:t>
      </w:r>
      <w:r w:rsidR="008B2B1C" w:rsidRPr="00916B3A">
        <w:rPr>
          <w:rFonts w:ascii="Times New Roman" w:hAnsi="Times New Roman" w:cs="Times New Roman"/>
          <w:sz w:val="28"/>
          <w:szCs w:val="28"/>
        </w:rPr>
        <w:t xml:space="preserve">, </w:t>
      </w:r>
      <w:r w:rsidR="0003719A" w:rsidRPr="00916B3A">
        <w:rPr>
          <w:rFonts w:ascii="Times New Roman" w:hAnsi="Times New Roman" w:cs="Times New Roman"/>
          <w:sz w:val="28"/>
          <w:szCs w:val="28"/>
        </w:rPr>
        <w:t>был разработан алгоритм, позволяющ</w:t>
      </w:r>
      <w:r w:rsidR="008B2B1C" w:rsidRPr="00916B3A">
        <w:rPr>
          <w:rFonts w:ascii="Times New Roman" w:hAnsi="Times New Roman" w:cs="Times New Roman"/>
          <w:sz w:val="28"/>
          <w:szCs w:val="28"/>
        </w:rPr>
        <w:t>ий</w:t>
      </w:r>
      <w:r w:rsidR="0003719A" w:rsidRPr="00916B3A">
        <w:rPr>
          <w:rFonts w:ascii="Times New Roman" w:hAnsi="Times New Roman" w:cs="Times New Roman"/>
          <w:sz w:val="28"/>
          <w:szCs w:val="28"/>
        </w:rPr>
        <w:t xml:space="preserve"> прогнозировать вероятность успешной имплантации в циклах экстракорпорального оплодотворения с переносом эмбрионов</w:t>
      </w:r>
      <w:r w:rsidR="008B2B1C" w:rsidRPr="00916B3A">
        <w:rPr>
          <w:rFonts w:ascii="Times New Roman" w:hAnsi="Times New Roman" w:cs="Times New Roman"/>
          <w:sz w:val="28"/>
          <w:szCs w:val="28"/>
        </w:rPr>
        <w:t>.</w:t>
      </w:r>
    </w:p>
    <w:p w14:paraId="725CFC17"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5386232E"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1C7BC7ED"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5E97344B"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3AC330BB"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1691FED5"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1BDE042A"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0D413758"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65762583"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46EC81E0"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6621A160"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2780765F"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5B501379"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0E631D74"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082E5C48"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37BC127A"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1AE19AEB"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2B0AE124"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547EE827"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57E533C2"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7D75885D"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3242155D"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58A62775"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5A19AAA9"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2A13D96B"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52EEB5F7"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484BCB01"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07E499F3"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6430AE40"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35BCD73B"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30861C5C" w14:textId="363432F7" w:rsidR="00662250" w:rsidRDefault="00662250" w:rsidP="00FE21CC">
      <w:pPr>
        <w:pStyle w:val="a6"/>
        <w:spacing w:after="0" w:line="240" w:lineRule="auto"/>
        <w:jc w:val="center"/>
        <w:rPr>
          <w:rFonts w:ascii="Times New Roman" w:hAnsi="Times New Roman" w:cs="Times New Roman"/>
          <w:b/>
          <w:bCs/>
          <w:sz w:val="28"/>
          <w:szCs w:val="28"/>
        </w:rPr>
      </w:pPr>
    </w:p>
    <w:p w14:paraId="0B93FDD5" w14:textId="477D8E86" w:rsidR="005536C0" w:rsidRDefault="005536C0" w:rsidP="00FE21CC">
      <w:pPr>
        <w:pStyle w:val="a6"/>
        <w:spacing w:after="0" w:line="240" w:lineRule="auto"/>
        <w:jc w:val="center"/>
        <w:rPr>
          <w:rFonts w:ascii="Times New Roman" w:hAnsi="Times New Roman" w:cs="Times New Roman"/>
          <w:b/>
          <w:bCs/>
          <w:sz w:val="28"/>
          <w:szCs w:val="28"/>
        </w:rPr>
      </w:pPr>
    </w:p>
    <w:p w14:paraId="36D182B9" w14:textId="77777777" w:rsidR="005536C0" w:rsidRPr="00916B3A" w:rsidRDefault="005536C0" w:rsidP="00FE21CC">
      <w:pPr>
        <w:pStyle w:val="a6"/>
        <w:spacing w:after="0" w:line="240" w:lineRule="auto"/>
        <w:jc w:val="center"/>
        <w:rPr>
          <w:rFonts w:ascii="Times New Roman" w:hAnsi="Times New Roman" w:cs="Times New Roman"/>
          <w:b/>
          <w:bCs/>
          <w:sz w:val="28"/>
          <w:szCs w:val="28"/>
        </w:rPr>
      </w:pPr>
    </w:p>
    <w:p w14:paraId="6672A015"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40DF4525"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6A928A61"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5BE3B10D"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7270E1A2" w14:textId="77777777" w:rsidR="00662250" w:rsidRPr="00916B3A" w:rsidRDefault="00662250" w:rsidP="00FE21CC">
      <w:pPr>
        <w:pStyle w:val="a6"/>
        <w:spacing w:after="0" w:line="240" w:lineRule="auto"/>
        <w:jc w:val="center"/>
        <w:rPr>
          <w:rFonts w:ascii="Times New Roman" w:hAnsi="Times New Roman" w:cs="Times New Roman"/>
          <w:b/>
          <w:bCs/>
          <w:sz w:val="28"/>
          <w:szCs w:val="28"/>
        </w:rPr>
      </w:pPr>
    </w:p>
    <w:p w14:paraId="7F6A3C27" w14:textId="77777777" w:rsidR="00031C19" w:rsidRDefault="00031C19" w:rsidP="00FE21CC">
      <w:pPr>
        <w:pStyle w:val="a6"/>
        <w:spacing w:after="0" w:line="240" w:lineRule="auto"/>
        <w:jc w:val="center"/>
        <w:rPr>
          <w:rFonts w:ascii="Times New Roman" w:hAnsi="Times New Roman" w:cs="Times New Roman"/>
          <w:b/>
          <w:bCs/>
          <w:sz w:val="28"/>
          <w:szCs w:val="28"/>
        </w:rPr>
      </w:pPr>
    </w:p>
    <w:p w14:paraId="1A72F9CA" w14:textId="6B0D7C66" w:rsidR="00FC2BFB" w:rsidRPr="005536C0" w:rsidRDefault="008F197E" w:rsidP="005536C0">
      <w:pPr>
        <w:pStyle w:val="a6"/>
        <w:spacing w:after="0" w:line="240" w:lineRule="auto"/>
        <w:ind w:left="-142" w:firstLine="851"/>
        <w:jc w:val="both"/>
        <w:rPr>
          <w:rFonts w:ascii="Times New Roman" w:hAnsi="Times New Roman" w:cs="Times New Roman"/>
          <w:sz w:val="28"/>
          <w:szCs w:val="28"/>
        </w:rPr>
      </w:pPr>
      <w:r w:rsidRPr="005536C0">
        <w:rPr>
          <w:rFonts w:ascii="Times New Roman" w:hAnsi="Times New Roman" w:cs="Times New Roman"/>
          <w:sz w:val="28"/>
          <w:szCs w:val="28"/>
        </w:rPr>
        <w:t>П</w:t>
      </w:r>
      <w:r w:rsidR="00FC2BFB" w:rsidRPr="005536C0">
        <w:rPr>
          <w:rFonts w:ascii="Times New Roman" w:hAnsi="Times New Roman" w:cs="Times New Roman"/>
          <w:sz w:val="28"/>
          <w:szCs w:val="28"/>
        </w:rPr>
        <w:t>рактические рекомендации</w:t>
      </w:r>
    </w:p>
    <w:p w14:paraId="1BCE0454" w14:textId="55EA1AB9" w:rsidR="00EA5095" w:rsidRPr="00916B3A" w:rsidRDefault="00EA5095" w:rsidP="005536C0">
      <w:pPr>
        <w:pStyle w:val="a6"/>
        <w:numPr>
          <w:ilvl w:val="0"/>
          <w:numId w:val="46"/>
        </w:numPr>
        <w:tabs>
          <w:tab w:val="left" w:pos="1134"/>
        </w:tabs>
        <w:spacing w:after="0" w:line="240" w:lineRule="auto"/>
        <w:ind w:left="0" w:firstLine="720"/>
        <w:jc w:val="both"/>
        <w:rPr>
          <w:rFonts w:ascii="Times New Roman" w:hAnsi="Times New Roman" w:cs="Times New Roman"/>
          <w:b/>
          <w:bCs/>
          <w:sz w:val="28"/>
          <w:szCs w:val="28"/>
        </w:rPr>
      </w:pPr>
      <w:r w:rsidRPr="00916B3A">
        <w:rPr>
          <w:rFonts w:ascii="Times New Roman" w:hAnsi="Times New Roman" w:cs="Times New Roman"/>
          <w:sz w:val="28"/>
          <w:szCs w:val="28"/>
        </w:rPr>
        <w:t xml:space="preserve">Современная тактика ведения пациенток с бесплодием, ассоциированным с </w:t>
      </w:r>
      <w:r w:rsidRPr="00916B3A">
        <w:rPr>
          <w:rFonts w:ascii="Times New Roman" w:hAnsi="Times New Roman" w:cs="Times New Roman"/>
          <w:sz w:val="28"/>
          <w:szCs w:val="28"/>
          <w:lang w:val="kk-KZ"/>
        </w:rPr>
        <w:t>тонким эндометрием</w:t>
      </w:r>
      <w:r w:rsidRPr="00916B3A">
        <w:rPr>
          <w:rFonts w:ascii="Times New Roman" w:hAnsi="Times New Roman" w:cs="Times New Roman"/>
          <w:sz w:val="28"/>
          <w:szCs w:val="28"/>
        </w:rPr>
        <w:t xml:space="preserve"> и неудачами имплантации в анамнезе, должна быть персонифицирована на основании их пошаговой стратификации в отношении риска неудач имплантации.</w:t>
      </w:r>
    </w:p>
    <w:p w14:paraId="50EE295D" w14:textId="4A5E7AF7" w:rsidR="00FC2BFB" w:rsidRPr="00916B3A" w:rsidRDefault="007C7BF9" w:rsidP="005536C0">
      <w:pPr>
        <w:pStyle w:val="a6"/>
        <w:numPr>
          <w:ilvl w:val="0"/>
          <w:numId w:val="46"/>
        </w:numPr>
        <w:pBdr>
          <w:bottom w:val="single" w:sz="4" w:space="31" w:color="FFFFFF"/>
        </w:pBdr>
        <w:shd w:val="clear" w:color="auto" w:fill="FFFFFF" w:themeFill="background1"/>
        <w:tabs>
          <w:tab w:val="left" w:pos="0"/>
          <w:tab w:val="left" w:pos="1134"/>
        </w:tabs>
        <w:autoSpaceDE w:val="0"/>
        <w:spacing w:after="0" w:line="240" w:lineRule="auto"/>
        <w:ind w:left="0" w:firstLine="720"/>
        <w:jc w:val="both"/>
        <w:rPr>
          <w:rFonts w:ascii="Times New Roman" w:hAnsi="Times New Roman" w:cs="Times New Roman"/>
          <w:iCs/>
          <w:sz w:val="28"/>
          <w:szCs w:val="28"/>
        </w:rPr>
      </w:pPr>
      <w:r w:rsidRPr="00916B3A">
        <w:rPr>
          <w:rFonts w:ascii="Times New Roman" w:hAnsi="Times New Roman" w:cs="Times New Roman"/>
          <w:iCs/>
          <w:color w:val="000000" w:themeColor="text1"/>
          <w:sz w:val="28"/>
          <w:szCs w:val="28"/>
        </w:rPr>
        <w:t>Оптимизировать прегр</w:t>
      </w:r>
      <w:r w:rsidR="008F197E" w:rsidRPr="00916B3A">
        <w:rPr>
          <w:rFonts w:ascii="Times New Roman" w:hAnsi="Times New Roman" w:cs="Times New Roman"/>
          <w:iCs/>
          <w:color w:val="000000" w:themeColor="text1"/>
          <w:sz w:val="28"/>
          <w:szCs w:val="28"/>
        </w:rPr>
        <w:t>а</w:t>
      </w:r>
      <w:r w:rsidRPr="00916B3A">
        <w:rPr>
          <w:rFonts w:ascii="Times New Roman" w:hAnsi="Times New Roman" w:cs="Times New Roman"/>
          <w:iCs/>
          <w:color w:val="000000" w:themeColor="text1"/>
          <w:sz w:val="28"/>
          <w:szCs w:val="28"/>
        </w:rPr>
        <w:t>видарную подготовку женщин</w:t>
      </w:r>
      <w:r w:rsidR="00FC2BFB" w:rsidRPr="00916B3A">
        <w:rPr>
          <w:rFonts w:ascii="Times New Roman" w:hAnsi="Times New Roman" w:cs="Times New Roman"/>
          <w:iCs/>
          <w:color w:val="000000" w:themeColor="text1"/>
          <w:sz w:val="28"/>
          <w:szCs w:val="28"/>
        </w:rPr>
        <w:t xml:space="preserve"> с репродуктивны</w:t>
      </w:r>
      <w:r w:rsidRPr="00916B3A">
        <w:rPr>
          <w:rFonts w:ascii="Times New Roman" w:hAnsi="Times New Roman" w:cs="Times New Roman"/>
          <w:iCs/>
          <w:color w:val="000000" w:themeColor="text1"/>
          <w:sz w:val="28"/>
          <w:szCs w:val="28"/>
        </w:rPr>
        <w:t>ми потерями в анамнезе, являющихся</w:t>
      </w:r>
      <w:r w:rsidR="00FC2BFB" w:rsidRPr="00916B3A">
        <w:rPr>
          <w:rFonts w:ascii="Times New Roman" w:hAnsi="Times New Roman" w:cs="Times New Roman"/>
          <w:iCs/>
          <w:color w:val="000000" w:themeColor="text1"/>
          <w:sz w:val="28"/>
          <w:szCs w:val="28"/>
        </w:rPr>
        <w:t xml:space="preserve"> группой риска по развитию</w:t>
      </w:r>
      <w:r w:rsidRPr="00916B3A">
        <w:rPr>
          <w:rFonts w:ascii="Times New Roman" w:hAnsi="Times New Roman" w:cs="Times New Roman"/>
          <w:iCs/>
          <w:color w:val="000000" w:themeColor="text1"/>
          <w:sz w:val="28"/>
          <w:szCs w:val="28"/>
        </w:rPr>
        <w:t xml:space="preserve"> невынашивания,</w:t>
      </w:r>
      <w:r w:rsidR="00FC2BFB" w:rsidRPr="00916B3A">
        <w:rPr>
          <w:rFonts w:ascii="Times New Roman" w:hAnsi="Times New Roman" w:cs="Times New Roman"/>
          <w:iCs/>
          <w:color w:val="000000" w:themeColor="text1"/>
          <w:sz w:val="28"/>
          <w:szCs w:val="28"/>
        </w:rPr>
        <w:t xml:space="preserve"> плацентар</w:t>
      </w:r>
      <w:r w:rsidRPr="00916B3A">
        <w:rPr>
          <w:rFonts w:ascii="Times New Roman" w:hAnsi="Times New Roman" w:cs="Times New Roman"/>
          <w:iCs/>
          <w:color w:val="000000" w:themeColor="text1"/>
          <w:sz w:val="28"/>
          <w:szCs w:val="28"/>
        </w:rPr>
        <w:t>ной дисфункции и гипоксии плода путем введения обя</w:t>
      </w:r>
      <w:r w:rsidR="00F90BB7" w:rsidRPr="00916B3A">
        <w:rPr>
          <w:rFonts w:ascii="Times New Roman" w:hAnsi="Times New Roman" w:cs="Times New Roman"/>
          <w:iCs/>
          <w:color w:val="000000" w:themeColor="text1"/>
          <w:sz w:val="28"/>
          <w:szCs w:val="28"/>
        </w:rPr>
        <w:t>за</w:t>
      </w:r>
      <w:r w:rsidRPr="00916B3A">
        <w:rPr>
          <w:rFonts w:ascii="Times New Roman" w:hAnsi="Times New Roman" w:cs="Times New Roman"/>
          <w:iCs/>
          <w:color w:val="000000" w:themeColor="text1"/>
          <w:sz w:val="28"/>
          <w:szCs w:val="28"/>
        </w:rPr>
        <w:t>тельного перечня обследования супружеских пар</w:t>
      </w:r>
      <w:r w:rsidR="00FC2BFB" w:rsidRPr="00916B3A">
        <w:rPr>
          <w:rFonts w:ascii="Times New Roman" w:hAnsi="Times New Roman" w:cs="Times New Roman"/>
          <w:iCs/>
          <w:color w:val="000000" w:themeColor="text1"/>
          <w:sz w:val="28"/>
          <w:szCs w:val="28"/>
        </w:rPr>
        <w:t>.</w:t>
      </w:r>
    </w:p>
    <w:p w14:paraId="65A83EB9" w14:textId="1F129772" w:rsidR="007C7BF9" w:rsidRPr="00916B3A" w:rsidRDefault="007C7BF9" w:rsidP="005536C0">
      <w:pPr>
        <w:pStyle w:val="a6"/>
        <w:numPr>
          <w:ilvl w:val="0"/>
          <w:numId w:val="46"/>
        </w:numPr>
        <w:pBdr>
          <w:bottom w:val="single" w:sz="4" w:space="31" w:color="FFFFFF"/>
        </w:pBdr>
        <w:tabs>
          <w:tab w:val="left" w:pos="1134"/>
        </w:tabs>
        <w:autoSpaceDE w:val="0"/>
        <w:spacing w:after="0" w:line="240" w:lineRule="auto"/>
        <w:ind w:left="0" w:firstLine="720"/>
        <w:jc w:val="both"/>
        <w:rPr>
          <w:rFonts w:ascii="Times New Roman" w:hAnsi="Times New Roman" w:cs="Times New Roman"/>
          <w:iCs/>
          <w:sz w:val="28"/>
          <w:szCs w:val="28"/>
        </w:rPr>
      </w:pPr>
      <w:r w:rsidRPr="00916B3A">
        <w:rPr>
          <w:rFonts w:ascii="Times New Roman" w:hAnsi="Times New Roman" w:cs="Times New Roman"/>
          <w:iCs/>
          <w:sz w:val="28"/>
          <w:szCs w:val="28"/>
        </w:rPr>
        <w:t>Классифи</w:t>
      </w:r>
      <w:r w:rsidR="008F197E" w:rsidRPr="00916B3A">
        <w:rPr>
          <w:rFonts w:ascii="Times New Roman" w:hAnsi="Times New Roman" w:cs="Times New Roman"/>
          <w:iCs/>
          <w:sz w:val="28"/>
          <w:szCs w:val="28"/>
        </w:rPr>
        <w:t>ц</w:t>
      </w:r>
      <w:r w:rsidRPr="00916B3A">
        <w:rPr>
          <w:rFonts w:ascii="Times New Roman" w:hAnsi="Times New Roman" w:cs="Times New Roman"/>
          <w:iCs/>
          <w:sz w:val="28"/>
          <w:szCs w:val="28"/>
        </w:rPr>
        <w:t>ировать женщин</w:t>
      </w:r>
      <w:r w:rsidR="00FC2BFB" w:rsidRPr="00916B3A">
        <w:rPr>
          <w:rFonts w:ascii="Times New Roman" w:hAnsi="Times New Roman" w:cs="Times New Roman"/>
          <w:iCs/>
          <w:sz w:val="28"/>
          <w:szCs w:val="28"/>
        </w:rPr>
        <w:t xml:space="preserve"> с </w:t>
      </w:r>
      <w:r w:rsidR="005C54CE" w:rsidRPr="00916B3A">
        <w:rPr>
          <w:rFonts w:ascii="Times New Roman" w:hAnsi="Times New Roman" w:cs="Times New Roman"/>
          <w:iCs/>
          <w:sz w:val="28"/>
          <w:szCs w:val="28"/>
        </w:rPr>
        <w:t>«</w:t>
      </w:r>
      <w:r w:rsidR="00FC2BFB" w:rsidRPr="00916B3A">
        <w:rPr>
          <w:rFonts w:ascii="Times New Roman" w:hAnsi="Times New Roman" w:cs="Times New Roman"/>
          <w:iCs/>
          <w:sz w:val="28"/>
          <w:szCs w:val="28"/>
        </w:rPr>
        <w:t>тонким</w:t>
      </w:r>
      <w:r w:rsidR="005C54CE" w:rsidRPr="00916B3A">
        <w:rPr>
          <w:rFonts w:ascii="Times New Roman" w:hAnsi="Times New Roman" w:cs="Times New Roman"/>
          <w:iCs/>
          <w:sz w:val="28"/>
          <w:szCs w:val="28"/>
        </w:rPr>
        <w:t>»</w:t>
      </w:r>
      <w:r w:rsidR="00FC2BFB" w:rsidRPr="00916B3A">
        <w:rPr>
          <w:rFonts w:ascii="Times New Roman" w:hAnsi="Times New Roman" w:cs="Times New Roman"/>
          <w:iCs/>
          <w:sz w:val="28"/>
          <w:szCs w:val="28"/>
        </w:rPr>
        <w:t xml:space="preserve"> эндометрием </w:t>
      </w:r>
      <w:r w:rsidRPr="00916B3A">
        <w:rPr>
          <w:rFonts w:ascii="Times New Roman" w:hAnsi="Times New Roman" w:cs="Times New Roman"/>
          <w:iCs/>
          <w:sz w:val="28"/>
          <w:szCs w:val="28"/>
        </w:rPr>
        <w:t>по рискам с целью информирования</w:t>
      </w:r>
      <w:r w:rsidR="00FC2BFB" w:rsidRPr="00916B3A">
        <w:rPr>
          <w:rFonts w:ascii="Times New Roman" w:hAnsi="Times New Roman" w:cs="Times New Roman"/>
          <w:iCs/>
          <w:sz w:val="28"/>
          <w:szCs w:val="28"/>
        </w:rPr>
        <w:t xml:space="preserve"> о более низких шансах на зачатие, а в случае зачатия - </w:t>
      </w:r>
      <w:r w:rsidRPr="00916B3A">
        <w:rPr>
          <w:rFonts w:ascii="Times New Roman" w:hAnsi="Times New Roman" w:cs="Times New Roman"/>
          <w:iCs/>
          <w:sz w:val="28"/>
          <w:szCs w:val="28"/>
        </w:rPr>
        <w:t>о повышенном риске спонтанного аборта и внематочной беременности.</w:t>
      </w:r>
    </w:p>
    <w:p w14:paraId="403B122C" w14:textId="77777777" w:rsidR="00402A5F" w:rsidRPr="00916B3A" w:rsidRDefault="00097FC0" w:rsidP="005536C0">
      <w:pPr>
        <w:pStyle w:val="a6"/>
        <w:numPr>
          <w:ilvl w:val="0"/>
          <w:numId w:val="46"/>
        </w:numPr>
        <w:pBdr>
          <w:bottom w:val="single" w:sz="4" w:space="31" w:color="FFFFFF"/>
        </w:pBdr>
        <w:shd w:val="clear" w:color="auto" w:fill="FFFFFF" w:themeFill="background1"/>
        <w:tabs>
          <w:tab w:val="left" w:pos="1134"/>
        </w:tabs>
        <w:autoSpaceDE w:val="0"/>
        <w:spacing w:after="0" w:line="240" w:lineRule="auto"/>
        <w:ind w:left="0" w:firstLine="720"/>
        <w:jc w:val="both"/>
        <w:rPr>
          <w:rFonts w:ascii="Times New Roman" w:hAnsi="Times New Roman" w:cs="Times New Roman"/>
          <w:b/>
          <w:bCs/>
          <w:iCs/>
          <w:sz w:val="28"/>
          <w:szCs w:val="28"/>
        </w:rPr>
      </w:pPr>
      <w:r w:rsidRPr="00916B3A">
        <w:rPr>
          <w:rFonts w:ascii="Times New Roman" w:eastAsia="Arial Unicode MS" w:hAnsi="Times New Roman" w:cs="Times New Roman"/>
          <w:iCs/>
          <w:color w:val="000000"/>
          <w:sz w:val="28"/>
          <w:szCs w:val="28"/>
          <w:u w:color="000000"/>
          <w:bdr w:val="nil"/>
        </w:rPr>
        <w:t xml:space="preserve">У пациенток с неудачами имплантации полученного биоптата при гистероскопическом исследовании </w:t>
      </w:r>
      <w:r w:rsidRPr="00916B3A">
        <w:rPr>
          <w:rFonts w:ascii="Times New Roman" w:hAnsi="Times New Roman" w:cs="Times New Roman"/>
          <w:sz w:val="28"/>
          <w:szCs w:val="28"/>
        </w:rPr>
        <w:t xml:space="preserve">параллельно с гистологическим исследованием, необходимо проводить анализ молекулярных маркеров, что является основой для персонализированного подхода к определению тактики ведения пациента. </w:t>
      </w:r>
    </w:p>
    <w:p w14:paraId="54CC1E38" w14:textId="6A606EC7" w:rsidR="0039360E" w:rsidRPr="00916B3A" w:rsidRDefault="00EA5095" w:rsidP="005536C0">
      <w:pPr>
        <w:pStyle w:val="a6"/>
        <w:numPr>
          <w:ilvl w:val="0"/>
          <w:numId w:val="46"/>
        </w:numPr>
        <w:pBdr>
          <w:bottom w:val="single" w:sz="4" w:space="31" w:color="FFFFFF"/>
        </w:pBdr>
        <w:shd w:val="clear" w:color="auto" w:fill="FFFFFF" w:themeFill="background1"/>
        <w:tabs>
          <w:tab w:val="left" w:pos="1134"/>
        </w:tabs>
        <w:autoSpaceDE w:val="0"/>
        <w:spacing w:after="0" w:line="240" w:lineRule="auto"/>
        <w:ind w:left="0" w:firstLine="720"/>
        <w:jc w:val="both"/>
        <w:rPr>
          <w:rFonts w:ascii="Times New Roman" w:hAnsi="Times New Roman" w:cs="Times New Roman"/>
          <w:sz w:val="28"/>
          <w:szCs w:val="28"/>
          <w:lang w:val="kk-KZ"/>
        </w:rPr>
      </w:pPr>
      <w:r w:rsidRPr="00916B3A">
        <w:rPr>
          <w:rFonts w:ascii="Times New Roman" w:hAnsi="Times New Roman" w:cs="Times New Roman"/>
          <w:sz w:val="28"/>
          <w:szCs w:val="28"/>
        </w:rPr>
        <w:t xml:space="preserve">Для уточнения степени риска неудач имплантации пациенткам с бесплодием, ассоциированным с </w:t>
      </w:r>
      <w:r w:rsidRPr="00916B3A">
        <w:rPr>
          <w:rFonts w:ascii="Times New Roman" w:hAnsi="Times New Roman" w:cs="Times New Roman"/>
          <w:sz w:val="28"/>
          <w:szCs w:val="28"/>
          <w:lang w:val="kk-KZ"/>
        </w:rPr>
        <w:t>тонким эндометрием</w:t>
      </w:r>
      <w:r w:rsidRPr="00916B3A">
        <w:rPr>
          <w:rFonts w:ascii="Times New Roman" w:hAnsi="Times New Roman" w:cs="Times New Roman"/>
          <w:sz w:val="28"/>
          <w:szCs w:val="28"/>
        </w:rPr>
        <w:t>, и неудачами имплантации в анамнезе в период «имплантационного окна» целесообразно выполнять пайпель-биопсию эндометрия с целью оценки экспрессии</w:t>
      </w:r>
      <w:r w:rsidR="00662250" w:rsidRPr="00916B3A">
        <w:rPr>
          <w:rFonts w:ascii="Times New Roman" w:hAnsi="Times New Roman" w:cs="Times New Roman"/>
          <w:sz w:val="28"/>
          <w:szCs w:val="28"/>
        </w:rPr>
        <w:t xml:space="preserve"> </w:t>
      </w:r>
      <w:r w:rsidR="00CA7051" w:rsidRPr="00916B3A">
        <w:rPr>
          <w:rFonts w:ascii="Times New Roman" w:hAnsi="Times New Roman" w:cs="Times New Roman"/>
          <w:sz w:val="28"/>
          <w:szCs w:val="28"/>
          <w:lang w:val="kk-KZ"/>
        </w:rPr>
        <w:t>в</w:t>
      </w:r>
      <w:r w:rsidR="0039360E" w:rsidRPr="00916B3A">
        <w:rPr>
          <w:rFonts w:ascii="Times New Roman" w:hAnsi="Times New Roman" w:cs="Times New Roman"/>
          <w:sz w:val="28"/>
          <w:szCs w:val="28"/>
          <w:lang w:val="kk-KZ"/>
        </w:rPr>
        <w:t>ыбранных</w:t>
      </w:r>
      <w:r w:rsidR="00CA7051" w:rsidRPr="00916B3A">
        <w:rPr>
          <w:rFonts w:ascii="Times New Roman" w:hAnsi="Times New Roman" w:cs="Times New Roman"/>
          <w:sz w:val="28"/>
          <w:szCs w:val="28"/>
          <w:lang w:val="kk-KZ"/>
        </w:rPr>
        <w:t xml:space="preserve"> </w:t>
      </w:r>
      <w:r w:rsidRPr="00916B3A">
        <w:rPr>
          <w:rFonts w:ascii="Times New Roman" w:hAnsi="Times New Roman" w:cs="Times New Roman"/>
          <w:sz w:val="28"/>
          <w:szCs w:val="28"/>
          <w:lang w:val="kk-KZ"/>
        </w:rPr>
        <w:t>генов C4BPA, IL15, CXCL1.</w:t>
      </w:r>
    </w:p>
    <w:p w14:paraId="1B9B09F9" w14:textId="2373979A" w:rsidR="00662250" w:rsidRPr="00916B3A" w:rsidRDefault="00662250" w:rsidP="005536C0">
      <w:pPr>
        <w:pStyle w:val="a6"/>
        <w:numPr>
          <w:ilvl w:val="0"/>
          <w:numId w:val="46"/>
        </w:numPr>
        <w:pBdr>
          <w:bottom w:val="single" w:sz="4" w:space="31" w:color="FFFFFF"/>
        </w:pBdr>
        <w:shd w:val="clear" w:color="auto" w:fill="FFFFFF" w:themeFill="background1"/>
        <w:tabs>
          <w:tab w:val="left" w:pos="1134"/>
        </w:tabs>
        <w:autoSpaceDE w:val="0"/>
        <w:spacing w:after="0" w:line="240" w:lineRule="auto"/>
        <w:ind w:left="0" w:firstLine="720"/>
        <w:jc w:val="both"/>
        <w:rPr>
          <w:rFonts w:ascii="Times New Roman" w:hAnsi="Times New Roman" w:cs="Times New Roman"/>
          <w:sz w:val="28"/>
          <w:szCs w:val="28"/>
          <w:lang w:val="kk-KZ"/>
        </w:rPr>
      </w:pPr>
      <w:r w:rsidRPr="00916B3A">
        <w:rPr>
          <w:rFonts w:ascii="Times New Roman" w:hAnsi="Times New Roman" w:cs="Times New Roman"/>
          <w:sz w:val="28"/>
          <w:szCs w:val="28"/>
          <w:lang w:val="kk-KZ"/>
        </w:rPr>
        <w:t>Для повыше</w:t>
      </w:r>
      <w:r w:rsidR="0072049E">
        <w:rPr>
          <w:rFonts w:ascii="Times New Roman" w:hAnsi="Times New Roman" w:cs="Times New Roman"/>
          <w:sz w:val="28"/>
          <w:szCs w:val="28"/>
          <w:lang w:val="kk-KZ"/>
        </w:rPr>
        <w:t xml:space="preserve">ния эффективности программ ЭКО </w:t>
      </w:r>
      <w:r w:rsidRPr="00916B3A">
        <w:rPr>
          <w:rFonts w:ascii="Times New Roman" w:hAnsi="Times New Roman" w:cs="Times New Roman"/>
          <w:sz w:val="28"/>
          <w:szCs w:val="28"/>
          <w:lang w:val="kk-KZ"/>
        </w:rPr>
        <w:t>разработанный алгоритм</w:t>
      </w:r>
      <w:r w:rsidRPr="00916B3A">
        <w:rPr>
          <w:rFonts w:ascii="Times New Roman" w:hAnsi="Times New Roman" w:cs="Times New Roman"/>
          <w:bCs/>
          <w:sz w:val="28"/>
          <w:szCs w:val="28"/>
        </w:rPr>
        <w:t xml:space="preserve"> ведения пациенток с репродуктивными потерями в анамнезе на основании клинико-инструментальных данных и транскриптомного анализа биоптата эндометрия</w:t>
      </w:r>
      <w:r w:rsidR="0072049E">
        <w:rPr>
          <w:rFonts w:ascii="Times New Roman" w:hAnsi="Times New Roman" w:cs="Times New Roman"/>
          <w:bCs/>
          <w:sz w:val="28"/>
          <w:szCs w:val="28"/>
        </w:rPr>
        <w:t xml:space="preserve"> может быть  применен в на уровне ПМСП  и специализированных ЭКО клиниках, и используется в Научном центре акушерстве гинекологии и перинатологии в качестве инструмента на этапе прегравидарной подготовки</w:t>
      </w:r>
      <w:r w:rsidRPr="00916B3A">
        <w:rPr>
          <w:rFonts w:ascii="Times New Roman" w:hAnsi="Times New Roman" w:cs="Times New Roman"/>
          <w:bCs/>
          <w:sz w:val="28"/>
          <w:szCs w:val="28"/>
        </w:rPr>
        <w:t>.</w:t>
      </w:r>
    </w:p>
    <w:p w14:paraId="67923C4C" w14:textId="77777777" w:rsidR="00662250" w:rsidRPr="00916B3A" w:rsidRDefault="0066225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lang w:val="kk-KZ"/>
        </w:rPr>
      </w:pPr>
    </w:p>
    <w:p w14:paraId="57F0886E" w14:textId="292E9A52" w:rsidR="001B686B" w:rsidRPr="00916B3A" w:rsidRDefault="001B686B"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7BE31374" w14:textId="108F69D4" w:rsidR="00705F82" w:rsidRPr="00916B3A" w:rsidRDefault="00705F82"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0F7FA33C" w14:textId="77777777" w:rsidR="00662250" w:rsidRPr="00916B3A" w:rsidRDefault="0066225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2CC9E2BE" w14:textId="77777777" w:rsidR="00662250" w:rsidRPr="00916B3A" w:rsidRDefault="0066225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618C7474" w14:textId="49674C80" w:rsidR="00662250" w:rsidRDefault="0066225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1AEEB9C5" w14:textId="53598A4A" w:rsidR="005536C0" w:rsidRDefault="005536C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2D1B1CEA" w14:textId="0431034B" w:rsidR="005536C0" w:rsidRDefault="005536C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67581641" w14:textId="395ABCCA" w:rsidR="005536C0" w:rsidRDefault="005536C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690970EA" w14:textId="726DDC0B" w:rsidR="005536C0" w:rsidRDefault="005536C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7B9F7B6B" w14:textId="304EA797" w:rsidR="005536C0" w:rsidRDefault="005536C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54801F1A" w14:textId="77777777" w:rsidR="005536C0" w:rsidRPr="00916B3A" w:rsidRDefault="005536C0" w:rsidP="00FE21CC">
      <w:pPr>
        <w:pStyle w:val="a6"/>
        <w:pBdr>
          <w:bottom w:val="single" w:sz="4" w:space="31" w:color="FFFFFF"/>
        </w:pBdr>
        <w:shd w:val="clear" w:color="auto" w:fill="FFFFFF" w:themeFill="background1"/>
        <w:autoSpaceDE w:val="0"/>
        <w:spacing w:after="0" w:line="240" w:lineRule="auto"/>
        <w:ind w:left="0"/>
        <w:jc w:val="both"/>
        <w:rPr>
          <w:rFonts w:ascii="Times New Roman" w:hAnsi="Times New Roman" w:cs="Times New Roman"/>
          <w:sz w:val="28"/>
          <w:szCs w:val="28"/>
        </w:rPr>
      </w:pPr>
    </w:p>
    <w:p w14:paraId="75E1EF34" w14:textId="4FBFFDCC" w:rsidR="003260D7" w:rsidRPr="005536C0" w:rsidRDefault="003260D7" w:rsidP="00CA7051">
      <w:pPr>
        <w:pStyle w:val="1"/>
        <w:spacing w:before="0"/>
        <w:jc w:val="center"/>
        <w:rPr>
          <w:sz w:val="28"/>
          <w:szCs w:val="28"/>
          <w:lang w:val="en-US"/>
        </w:rPr>
      </w:pPr>
      <w:r w:rsidRPr="005536C0">
        <w:rPr>
          <w:sz w:val="28"/>
          <w:szCs w:val="28"/>
        </w:rPr>
        <w:t>СПИСОК</w:t>
      </w:r>
      <w:r w:rsidRPr="005536C0">
        <w:rPr>
          <w:sz w:val="28"/>
          <w:szCs w:val="28"/>
          <w:lang w:val="en-US"/>
        </w:rPr>
        <w:t xml:space="preserve"> </w:t>
      </w:r>
      <w:r w:rsidRPr="005536C0">
        <w:rPr>
          <w:sz w:val="28"/>
          <w:szCs w:val="28"/>
        </w:rPr>
        <w:t>ИСПОЛЬЗОВАННЫХ</w:t>
      </w:r>
      <w:r w:rsidRPr="005536C0">
        <w:rPr>
          <w:sz w:val="28"/>
          <w:szCs w:val="28"/>
          <w:lang w:val="en-US"/>
        </w:rPr>
        <w:t xml:space="preserve"> </w:t>
      </w:r>
      <w:r w:rsidRPr="005536C0">
        <w:rPr>
          <w:sz w:val="28"/>
          <w:szCs w:val="28"/>
        </w:rPr>
        <w:t>ИСТОЧНИКОВ</w:t>
      </w:r>
    </w:p>
    <w:p w14:paraId="490C564F" w14:textId="726EE170" w:rsidR="008C6800" w:rsidRPr="00EF7048" w:rsidRDefault="008A39EA"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916B3A">
        <w:rPr>
          <w:rFonts w:ascii="Times New Roman" w:hAnsi="Times New Roman" w:cs="Times New Roman"/>
          <w:color w:val="0D0D0D"/>
          <w:sz w:val="28"/>
          <w:szCs w:val="28"/>
          <w:shd w:val="clear" w:color="auto" w:fill="FFFFFF"/>
          <w:lang w:val="kk-KZ"/>
        </w:rPr>
        <w:fldChar w:fldCharType="begin" w:fldLock="1"/>
      </w:r>
      <w:r w:rsidRPr="00916B3A">
        <w:rPr>
          <w:rFonts w:ascii="Times New Roman" w:hAnsi="Times New Roman" w:cs="Times New Roman"/>
          <w:color w:val="0D0D0D"/>
          <w:sz w:val="28"/>
          <w:szCs w:val="28"/>
          <w:shd w:val="clear" w:color="auto" w:fill="FFFFFF"/>
          <w:lang w:val="kk-KZ"/>
        </w:rPr>
        <w:instrText xml:space="preserve">ADDIN Mendeley Bibliography CSL_BIBLIOGRAPHY </w:instrText>
      </w:r>
      <w:r w:rsidRPr="00916B3A">
        <w:rPr>
          <w:rFonts w:ascii="Times New Roman" w:hAnsi="Times New Roman" w:cs="Times New Roman"/>
          <w:color w:val="0D0D0D"/>
          <w:sz w:val="28"/>
          <w:szCs w:val="28"/>
          <w:shd w:val="clear" w:color="auto" w:fill="FFFFFF"/>
          <w:lang w:val="kk-KZ"/>
        </w:rPr>
        <w:fldChar w:fldCharType="separate"/>
      </w:r>
      <w:r w:rsidR="009C4BA5" w:rsidRPr="00EF7048">
        <w:rPr>
          <w:rFonts w:ascii="Times New Roman" w:hAnsi="Times New Roman" w:cs="Times New Roman"/>
          <w:noProof/>
          <w:sz w:val="28"/>
          <w:szCs w:val="24"/>
          <w:lang w:val="en-US"/>
        </w:rPr>
        <w:t>1</w:t>
      </w:r>
      <w:r w:rsidR="008C6800" w:rsidRPr="00EF7048">
        <w:rPr>
          <w:rFonts w:ascii="Times New Roman" w:hAnsi="Times New Roman" w:cs="Times New Roman"/>
          <w:noProof/>
          <w:sz w:val="28"/>
          <w:szCs w:val="24"/>
          <w:lang w:val="en-US"/>
        </w:rPr>
        <w:tab/>
      </w:r>
      <w:r w:rsidR="009C4BA5" w:rsidRPr="00CB7B67">
        <w:rPr>
          <w:rFonts w:ascii="Times New Roman" w:hAnsi="Times New Roman" w:cs="Times New Roman"/>
          <w:noProof/>
          <w:sz w:val="28"/>
          <w:szCs w:val="24"/>
          <w:lang w:val="en-US"/>
        </w:rPr>
        <w:t>Ferraretti</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A</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P</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La</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Marca</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A</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Fauser</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B</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C</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J</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M</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Tarlatzis</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B</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Nargund</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G</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Gianaroli</w:t>
      </w:r>
      <w:r w:rsidR="009C4BA5" w:rsidRPr="00EF7048">
        <w:rPr>
          <w:rFonts w:ascii="Times New Roman" w:hAnsi="Times New Roman" w:cs="Times New Roman"/>
          <w:noProof/>
          <w:sz w:val="28"/>
          <w:szCs w:val="24"/>
          <w:lang w:val="en-US"/>
        </w:rPr>
        <w:t xml:space="preserve"> </w:t>
      </w:r>
      <w:r w:rsidR="009C4BA5" w:rsidRPr="00CB7B67">
        <w:rPr>
          <w:rFonts w:ascii="Times New Roman" w:hAnsi="Times New Roman" w:cs="Times New Roman"/>
          <w:noProof/>
          <w:sz w:val="28"/>
          <w:szCs w:val="24"/>
          <w:lang w:val="en-US"/>
        </w:rPr>
        <w:t>L</w:t>
      </w:r>
      <w:r w:rsidR="009C4BA5" w:rsidRPr="00EF7048">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ESHRE consensus on the definition of ‘poor response’ to ovarian stimulation for in vitro fertil</w:t>
      </w:r>
      <w:r w:rsidR="00BD4A82" w:rsidRPr="00EF7048">
        <w:rPr>
          <w:rFonts w:ascii="Times New Roman" w:hAnsi="Times New Roman" w:cs="Times New Roman"/>
          <w:noProof/>
          <w:sz w:val="28"/>
          <w:szCs w:val="24"/>
          <w:lang w:val="en-US"/>
        </w:rPr>
        <w:t xml:space="preserve">ization: the Bologna criteria </w:t>
      </w:r>
      <w:r w:rsidR="00BD4A82">
        <w:rPr>
          <w:rFonts w:ascii="Times New Roman" w:hAnsi="Times New Roman" w:cs="Times New Roman"/>
          <w:noProof/>
          <w:sz w:val="28"/>
          <w:szCs w:val="24"/>
          <w:lang w:val="kk-KZ"/>
        </w:rPr>
        <w:t>//</w:t>
      </w:r>
      <w:r w:rsidR="00BD4A82" w:rsidRPr="00CB7B67">
        <w:rPr>
          <w:rFonts w:ascii="Times New Roman" w:hAnsi="Times New Roman" w:cs="Times New Roman"/>
          <w:noProof/>
          <w:sz w:val="28"/>
          <w:szCs w:val="24"/>
          <w:lang w:val="en-US"/>
        </w:rPr>
        <w:t xml:space="preserve"> </w:t>
      </w:r>
      <w:r w:rsidR="00BD4A82" w:rsidRPr="00A936AB">
        <w:rPr>
          <w:rFonts w:ascii="Times New Roman" w:hAnsi="Times New Roman" w:cs="Times New Roman"/>
          <w:noProof/>
          <w:sz w:val="28"/>
          <w:szCs w:val="24"/>
          <w:lang w:val="en-US"/>
        </w:rPr>
        <w:t>Hum. Reprod</w:t>
      </w:r>
      <w:r w:rsidR="00BD4A82" w:rsidRPr="00EF7048">
        <w:rPr>
          <w:rFonts w:ascii="Times New Roman" w:hAnsi="Times New Roman" w:cs="Times New Roman"/>
          <w:noProof/>
          <w:sz w:val="28"/>
          <w:szCs w:val="24"/>
          <w:lang w:val="en-US"/>
        </w:rPr>
        <w:t>.</w:t>
      </w:r>
      <w:r w:rsidR="00E54278">
        <w:rPr>
          <w:rFonts w:ascii="Times New Roman" w:hAnsi="Times New Roman" w:cs="Times New Roman"/>
          <w:noProof/>
          <w:sz w:val="28"/>
          <w:szCs w:val="24"/>
          <w:lang w:val="kk-KZ"/>
        </w:rPr>
        <w:t xml:space="preserve"> - 201</w:t>
      </w:r>
      <w:r w:rsidR="00E54278">
        <w:rPr>
          <w:rFonts w:ascii="Times New Roman" w:hAnsi="Times New Roman" w:cs="Times New Roman"/>
          <w:noProof/>
          <w:sz w:val="28"/>
          <w:szCs w:val="24"/>
          <w:lang w:val="en-US"/>
        </w:rPr>
        <w:t>1</w:t>
      </w:r>
      <w:r w:rsidR="00BD4A82">
        <w:rPr>
          <w:rFonts w:ascii="Times New Roman" w:hAnsi="Times New Roman" w:cs="Times New Roman"/>
          <w:noProof/>
          <w:sz w:val="28"/>
          <w:szCs w:val="24"/>
          <w:lang w:val="kk-KZ"/>
        </w:rPr>
        <w:t>. -</w:t>
      </w:r>
      <w:r w:rsidR="00BD4A82" w:rsidRPr="00EF7048">
        <w:rPr>
          <w:rFonts w:ascii="Times New Roman" w:hAnsi="Times New Roman" w:cs="Times New Roman"/>
          <w:noProof/>
          <w:sz w:val="28"/>
          <w:szCs w:val="24"/>
          <w:lang w:val="en-US"/>
        </w:rPr>
        <w:t xml:space="preserve"> </w:t>
      </w:r>
      <w:r w:rsidR="00BD4A82" w:rsidRPr="00A936AB">
        <w:rPr>
          <w:rFonts w:ascii="Times New Roman" w:hAnsi="Times New Roman" w:cs="Times New Roman"/>
          <w:noProof/>
          <w:sz w:val="28"/>
          <w:szCs w:val="24"/>
          <w:lang w:val="en-US"/>
        </w:rPr>
        <w:t>V</w:t>
      </w:r>
      <w:r w:rsidR="00BD4A82">
        <w:rPr>
          <w:rFonts w:ascii="Times New Roman" w:hAnsi="Times New Roman" w:cs="Times New Roman"/>
          <w:noProof/>
          <w:sz w:val="28"/>
          <w:szCs w:val="24"/>
          <w:lang w:val="en-US"/>
        </w:rPr>
        <w:t>ol</w:t>
      </w:r>
      <w:r w:rsidR="00BD4A82" w:rsidRPr="00EF7048">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 xml:space="preserve"> 26, </w:t>
      </w:r>
      <w:r w:rsidR="00A270F3">
        <w:rPr>
          <w:rFonts w:ascii="Times New Roman" w:hAnsi="Times New Roman" w:cs="Times New Roman"/>
          <w:noProof/>
          <w:sz w:val="28"/>
          <w:szCs w:val="24"/>
          <w:lang w:val="en-US"/>
        </w:rPr>
        <w:t>№ 7</w:t>
      </w:r>
      <w:r w:rsidR="00A270F3" w:rsidRPr="005678F1">
        <w:rPr>
          <w:rFonts w:ascii="Times New Roman" w:hAnsi="Times New Roman" w:cs="Times New Roman"/>
          <w:noProof/>
          <w:sz w:val="28"/>
          <w:szCs w:val="24"/>
          <w:lang w:val="en-US"/>
        </w:rPr>
        <w:t>.-</w:t>
      </w:r>
      <w:r w:rsidR="00BD4A82" w:rsidRPr="00EF7048">
        <w:rPr>
          <w:rFonts w:ascii="Times New Roman" w:hAnsi="Times New Roman" w:cs="Times New Roman"/>
          <w:noProof/>
          <w:sz w:val="28"/>
          <w:szCs w:val="24"/>
          <w:lang w:val="en-US"/>
        </w:rPr>
        <w:t xml:space="preserve"> </w:t>
      </w:r>
      <w:r w:rsidR="00BD4A82">
        <w:rPr>
          <w:rFonts w:ascii="Times New Roman" w:hAnsi="Times New Roman" w:cs="Times New Roman"/>
          <w:noProof/>
          <w:sz w:val="28"/>
          <w:szCs w:val="24"/>
          <w:lang w:val="en-US"/>
        </w:rPr>
        <w:t>P</w:t>
      </w:r>
      <w:r w:rsidR="00BD4A82" w:rsidRPr="00EF7048">
        <w:rPr>
          <w:rFonts w:ascii="Times New Roman" w:hAnsi="Times New Roman" w:cs="Times New Roman"/>
          <w:noProof/>
          <w:sz w:val="28"/>
          <w:szCs w:val="24"/>
          <w:lang w:val="en-US"/>
        </w:rPr>
        <w:t>. 1616–1624</w:t>
      </w:r>
      <w:r w:rsidR="00BD4A82">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 xml:space="preserve"> doi: 10.1093/humrep/der092.</w:t>
      </w:r>
    </w:p>
    <w:p w14:paraId="7957E41F" w14:textId="6DC35AEA" w:rsidR="008C6800" w:rsidRPr="00EF7048" w:rsidRDefault="009C4BA5"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2</w:t>
      </w:r>
      <w:r w:rsidR="008C6800" w:rsidRPr="00EF7048">
        <w:rPr>
          <w:rFonts w:ascii="Times New Roman" w:hAnsi="Times New Roman" w:cs="Times New Roman"/>
          <w:noProof/>
          <w:sz w:val="28"/>
          <w:szCs w:val="24"/>
          <w:lang w:val="en-US"/>
        </w:rPr>
        <w:tab/>
        <w:t>Gellersen</w:t>
      </w:r>
      <w:r w:rsidR="00BD4A82" w:rsidRPr="00EF7048">
        <w:rPr>
          <w:rFonts w:ascii="Times New Roman" w:hAnsi="Times New Roman" w:cs="Times New Roman"/>
          <w:noProof/>
          <w:sz w:val="28"/>
          <w:szCs w:val="24"/>
          <w:lang w:val="en-US"/>
        </w:rPr>
        <w:t xml:space="preserve"> B.,</w:t>
      </w:r>
      <w:r w:rsidR="008C6800" w:rsidRPr="00EF7048">
        <w:rPr>
          <w:rFonts w:ascii="Times New Roman" w:hAnsi="Times New Roman" w:cs="Times New Roman"/>
          <w:noProof/>
          <w:sz w:val="28"/>
          <w:szCs w:val="24"/>
          <w:lang w:val="en-US"/>
        </w:rPr>
        <w:t xml:space="preserve"> Brosens</w:t>
      </w:r>
      <w:r w:rsidR="00BD4A82" w:rsidRPr="00EF7048">
        <w:rPr>
          <w:rFonts w:ascii="Times New Roman" w:hAnsi="Times New Roman" w:cs="Times New Roman"/>
          <w:noProof/>
          <w:sz w:val="28"/>
          <w:szCs w:val="24"/>
          <w:lang w:val="en-US"/>
        </w:rPr>
        <w:t xml:space="preserve"> J. J. </w:t>
      </w:r>
      <w:r w:rsidR="008C6800" w:rsidRPr="00EF7048">
        <w:rPr>
          <w:rFonts w:ascii="Times New Roman" w:hAnsi="Times New Roman" w:cs="Times New Roman"/>
          <w:noProof/>
          <w:sz w:val="28"/>
          <w:szCs w:val="24"/>
          <w:lang w:val="en-US"/>
        </w:rPr>
        <w:t>Cyclic decidualization of the human endometrium in r</w:t>
      </w:r>
      <w:r w:rsidR="00BD4A82" w:rsidRPr="00EF7048">
        <w:rPr>
          <w:rFonts w:ascii="Times New Roman" w:hAnsi="Times New Roman" w:cs="Times New Roman"/>
          <w:noProof/>
          <w:sz w:val="28"/>
          <w:szCs w:val="24"/>
          <w:lang w:val="en-US"/>
        </w:rPr>
        <w:t>eproductive health and failure</w:t>
      </w:r>
      <w:r w:rsidR="00BD4A82">
        <w:rPr>
          <w:rFonts w:ascii="Times New Roman" w:hAnsi="Times New Roman" w:cs="Times New Roman"/>
          <w:noProof/>
          <w:sz w:val="28"/>
          <w:szCs w:val="24"/>
          <w:lang w:val="en-US"/>
        </w:rPr>
        <w:t xml:space="preserve"> </w:t>
      </w:r>
      <w:r w:rsidR="00BD4A82">
        <w:rPr>
          <w:rFonts w:ascii="Times New Roman" w:hAnsi="Times New Roman" w:cs="Times New Roman"/>
          <w:noProof/>
          <w:sz w:val="28"/>
          <w:szCs w:val="24"/>
          <w:lang w:val="kk-KZ"/>
        </w:rPr>
        <w:t>//</w:t>
      </w:r>
      <w:r w:rsidR="00BD4A82"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 xml:space="preserve"> </w:t>
      </w:r>
      <w:r w:rsidR="008C6800" w:rsidRPr="00EF7048">
        <w:rPr>
          <w:rFonts w:ascii="Times New Roman" w:hAnsi="Times New Roman" w:cs="Times New Roman"/>
          <w:iCs/>
          <w:noProof/>
          <w:sz w:val="28"/>
          <w:szCs w:val="24"/>
          <w:lang w:val="en-US"/>
        </w:rPr>
        <w:t>Endocr. Rev.</w:t>
      </w:r>
      <w:r w:rsidR="00BD4A82" w:rsidRPr="00BD4A82">
        <w:rPr>
          <w:rFonts w:ascii="Times New Roman" w:hAnsi="Times New Roman" w:cs="Times New Roman"/>
          <w:noProof/>
          <w:sz w:val="28"/>
          <w:szCs w:val="24"/>
          <w:lang w:val="kk-KZ"/>
        </w:rPr>
        <w:t xml:space="preserve"> </w:t>
      </w:r>
      <w:r w:rsidR="00E54278">
        <w:rPr>
          <w:rFonts w:ascii="Times New Roman" w:hAnsi="Times New Roman" w:cs="Times New Roman"/>
          <w:noProof/>
          <w:sz w:val="28"/>
          <w:szCs w:val="24"/>
          <w:lang w:val="kk-KZ"/>
        </w:rPr>
        <w:t>- 201</w:t>
      </w:r>
      <w:r w:rsidR="00E54278">
        <w:rPr>
          <w:rFonts w:ascii="Times New Roman" w:hAnsi="Times New Roman" w:cs="Times New Roman"/>
          <w:noProof/>
          <w:sz w:val="28"/>
          <w:szCs w:val="24"/>
          <w:lang w:val="en-US"/>
        </w:rPr>
        <w:t>4</w:t>
      </w:r>
      <w:r w:rsidR="00BD4A82">
        <w:rPr>
          <w:rFonts w:ascii="Times New Roman" w:hAnsi="Times New Roman" w:cs="Times New Roman"/>
          <w:noProof/>
          <w:sz w:val="28"/>
          <w:szCs w:val="24"/>
          <w:lang w:val="kk-KZ"/>
        </w:rPr>
        <w:t>. -</w:t>
      </w:r>
      <w:r w:rsidR="00BD4A82" w:rsidRPr="00EF7048">
        <w:rPr>
          <w:rFonts w:ascii="Times New Roman" w:hAnsi="Times New Roman" w:cs="Times New Roman"/>
          <w:noProof/>
          <w:sz w:val="28"/>
          <w:szCs w:val="24"/>
          <w:lang w:val="en-US"/>
        </w:rPr>
        <w:t xml:space="preserve"> </w:t>
      </w:r>
      <w:r w:rsidR="00BD4A82" w:rsidRPr="00A936AB">
        <w:rPr>
          <w:rFonts w:ascii="Times New Roman" w:hAnsi="Times New Roman" w:cs="Times New Roman"/>
          <w:noProof/>
          <w:sz w:val="28"/>
          <w:szCs w:val="24"/>
          <w:lang w:val="en-US"/>
        </w:rPr>
        <w:t>V</w:t>
      </w:r>
      <w:r w:rsidR="00BD4A82">
        <w:rPr>
          <w:rFonts w:ascii="Times New Roman" w:hAnsi="Times New Roman" w:cs="Times New Roman"/>
          <w:noProof/>
          <w:sz w:val="28"/>
          <w:szCs w:val="24"/>
          <w:lang w:val="en-US"/>
        </w:rPr>
        <w:t>ol</w:t>
      </w:r>
      <w:r w:rsidR="00BD4A82" w:rsidRPr="00EF7048">
        <w:rPr>
          <w:rFonts w:ascii="Times New Roman" w:hAnsi="Times New Roman" w:cs="Times New Roman"/>
          <w:noProof/>
          <w:sz w:val="28"/>
          <w:szCs w:val="24"/>
          <w:lang w:val="en-US"/>
        </w:rPr>
        <w:t>. 35, №</w:t>
      </w:r>
      <w:r w:rsidR="00BD4A82">
        <w:rPr>
          <w:rFonts w:ascii="Times New Roman" w:hAnsi="Times New Roman" w:cs="Times New Roman"/>
          <w:noProof/>
          <w:sz w:val="28"/>
          <w:szCs w:val="24"/>
          <w:lang w:val="en-US"/>
        </w:rPr>
        <w:t xml:space="preserve"> </w:t>
      </w:r>
      <w:r w:rsidR="00A270F3">
        <w:rPr>
          <w:rFonts w:ascii="Times New Roman" w:hAnsi="Times New Roman" w:cs="Times New Roman"/>
          <w:noProof/>
          <w:sz w:val="28"/>
          <w:szCs w:val="24"/>
          <w:lang w:val="en-US"/>
        </w:rPr>
        <w:t>6</w:t>
      </w:r>
      <w:r w:rsidR="00A270F3" w:rsidRPr="005678F1">
        <w:rPr>
          <w:rFonts w:ascii="Times New Roman" w:hAnsi="Times New Roman" w:cs="Times New Roman"/>
          <w:noProof/>
          <w:sz w:val="28"/>
          <w:szCs w:val="24"/>
          <w:lang w:val="en-US"/>
        </w:rPr>
        <w:t>.-</w:t>
      </w:r>
      <w:r w:rsidR="00BD4A82" w:rsidRPr="00EF7048">
        <w:rPr>
          <w:rFonts w:ascii="Times New Roman" w:hAnsi="Times New Roman" w:cs="Times New Roman"/>
          <w:noProof/>
          <w:sz w:val="28"/>
          <w:szCs w:val="24"/>
          <w:lang w:val="en-US"/>
        </w:rPr>
        <w:t xml:space="preserve"> </w:t>
      </w:r>
      <w:r w:rsidR="00BD4A82">
        <w:rPr>
          <w:rFonts w:ascii="Times New Roman" w:hAnsi="Times New Roman" w:cs="Times New Roman"/>
          <w:noProof/>
          <w:sz w:val="28"/>
          <w:szCs w:val="24"/>
          <w:lang w:val="en-US"/>
        </w:rPr>
        <w:t>P</w:t>
      </w:r>
      <w:r w:rsidR="00BD4A82" w:rsidRPr="00EF7048">
        <w:rPr>
          <w:rFonts w:ascii="Times New Roman" w:hAnsi="Times New Roman" w:cs="Times New Roman"/>
          <w:noProof/>
          <w:sz w:val="28"/>
          <w:szCs w:val="24"/>
          <w:lang w:val="en-US"/>
        </w:rPr>
        <w:t>. 851–905</w:t>
      </w:r>
      <w:r w:rsidR="00BD4A82">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10.1210/er.2014-1045.</w:t>
      </w:r>
    </w:p>
    <w:p w14:paraId="3BD767C8" w14:textId="61EE0F40" w:rsidR="008C6800" w:rsidRPr="00EF7048" w:rsidRDefault="009C4BA5"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w:t>
      </w:r>
      <w:r w:rsidR="008C6800" w:rsidRPr="00EF7048">
        <w:rPr>
          <w:rFonts w:ascii="Times New Roman" w:hAnsi="Times New Roman" w:cs="Times New Roman"/>
          <w:noProof/>
          <w:sz w:val="28"/>
          <w:szCs w:val="24"/>
          <w:lang w:val="en-US"/>
        </w:rPr>
        <w:tab/>
        <w:t xml:space="preserve">Mahajan </w:t>
      </w:r>
      <w:r w:rsidR="00BD4A82" w:rsidRPr="00EF7048">
        <w:rPr>
          <w:rFonts w:ascii="Times New Roman" w:hAnsi="Times New Roman" w:cs="Times New Roman"/>
          <w:noProof/>
          <w:sz w:val="28"/>
          <w:szCs w:val="24"/>
          <w:lang w:val="en-US"/>
        </w:rPr>
        <w:t>N.,</w:t>
      </w:r>
      <w:r w:rsidR="008C6800" w:rsidRPr="00EF7048">
        <w:rPr>
          <w:rFonts w:ascii="Times New Roman" w:hAnsi="Times New Roman" w:cs="Times New Roman"/>
          <w:noProof/>
          <w:sz w:val="28"/>
          <w:szCs w:val="24"/>
          <w:lang w:val="en-US"/>
        </w:rPr>
        <w:t xml:space="preserve"> Sharma</w:t>
      </w:r>
      <w:r w:rsidR="00BD4A82" w:rsidRPr="00EF7048">
        <w:rPr>
          <w:rFonts w:ascii="Times New Roman" w:hAnsi="Times New Roman" w:cs="Times New Roman"/>
          <w:noProof/>
          <w:sz w:val="28"/>
          <w:szCs w:val="24"/>
          <w:lang w:val="en-US"/>
        </w:rPr>
        <w:t xml:space="preserve"> S. </w:t>
      </w:r>
      <w:r w:rsidR="008C6800" w:rsidRPr="00EF7048">
        <w:rPr>
          <w:rFonts w:ascii="Times New Roman" w:hAnsi="Times New Roman" w:cs="Times New Roman"/>
          <w:noProof/>
          <w:sz w:val="28"/>
          <w:szCs w:val="24"/>
          <w:lang w:val="en-US"/>
        </w:rPr>
        <w:t>The endometrium in assisted reproductive</w:t>
      </w:r>
      <w:r w:rsidR="00BD4A82" w:rsidRPr="00EF7048">
        <w:rPr>
          <w:rFonts w:ascii="Times New Roman" w:hAnsi="Times New Roman" w:cs="Times New Roman"/>
          <w:noProof/>
          <w:sz w:val="28"/>
          <w:szCs w:val="24"/>
          <w:lang w:val="en-US"/>
        </w:rPr>
        <w:t xml:space="preserve"> technology: How thin is thin?</w:t>
      </w:r>
      <w:r w:rsidR="008C6800" w:rsidRPr="00EF7048">
        <w:rPr>
          <w:rFonts w:ascii="Times New Roman" w:hAnsi="Times New Roman" w:cs="Times New Roman"/>
          <w:noProof/>
          <w:sz w:val="28"/>
          <w:szCs w:val="24"/>
          <w:lang w:val="en-US"/>
        </w:rPr>
        <w:t xml:space="preserve"> </w:t>
      </w:r>
      <w:r w:rsidR="00BD4A82">
        <w:rPr>
          <w:rFonts w:ascii="Times New Roman" w:hAnsi="Times New Roman" w:cs="Times New Roman"/>
          <w:noProof/>
          <w:sz w:val="28"/>
          <w:szCs w:val="24"/>
          <w:lang w:val="kk-KZ"/>
        </w:rPr>
        <w:t>//</w:t>
      </w:r>
      <w:r w:rsidR="00BD4A82"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i/>
          <w:iCs/>
          <w:noProof/>
          <w:sz w:val="28"/>
          <w:szCs w:val="24"/>
          <w:lang w:val="en-US"/>
        </w:rPr>
        <w:t xml:space="preserve"> </w:t>
      </w:r>
      <w:r w:rsidR="008C6800" w:rsidRPr="00EF7048">
        <w:rPr>
          <w:rFonts w:ascii="Times New Roman" w:hAnsi="Times New Roman" w:cs="Times New Roman"/>
          <w:iCs/>
          <w:noProof/>
          <w:sz w:val="28"/>
          <w:szCs w:val="24"/>
          <w:lang w:val="en-US"/>
        </w:rPr>
        <w:t>Hum. Reprod. Sci.</w:t>
      </w:r>
      <w:r w:rsidR="00E54278" w:rsidRPr="00E54278">
        <w:rPr>
          <w:rFonts w:ascii="Times New Roman" w:hAnsi="Times New Roman" w:cs="Times New Roman"/>
          <w:noProof/>
          <w:sz w:val="28"/>
          <w:szCs w:val="24"/>
          <w:lang w:val="kk-KZ"/>
        </w:rPr>
        <w:t xml:space="preserve"> </w:t>
      </w:r>
      <w:r w:rsidR="00E54278">
        <w:rPr>
          <w:rFonts w:ascii="Times New Roman" w:hAnsi="Times New Roman" w:cs="Times New Roman"/>
          <w:noProof/>
          <w:sz w:val="28"/>
          <w:szCs w:val="24"/>
          <w:lang w:val="kk-KZ"/>
        </w:rPr>
        <w:t>- 201</w:t>
      </w:r>
      <w:r w:rsidR="00E54278">
        <w:rPr>
          <w:rFonts w:ascii="Times New Roman" w:hAnsi="Times New Roman" w:cs="Times New Roman"/>
          <w:noProof/>
          <w:sz w:val="28"/>
          <w:szCs w:val="24"/>
          <w:lang w:val="en-US"/>
        </w:rPr>
        <w:t>6</w:t>
      </w:r>
      <w:r w:rsidR="00E54278">
        <w:rPr>
          <w:rFonts w:ascii="Times New Roman" w:hAnsi="Times New Roman" w:cs="Times New Roman"/>
          <w:noProof/>
          <w:sz w:val="28"/>
          <w:szCs w:val="24"/>
          <w:lang w:val="kk-KZ"/>
        </w:rPr>
        <w:t>. -</w:t>
      </w:r>
      <w:r w:rsidR="00E54278" w:rsidRPr="00EF7048">
        <w:rPr>
          <w:rFonts w:ascii="Times New Roman" w:hAnsi="Times New Roman" w:cs="Times New Roman"/>
          <w:noProof/>
          <w:sz w:val="28"/>
          <w:szCs w:val="24"/>
          <w:lang w:val="en-US"/>
        </w:rPr>
        <w:t xml:space="preserve"> </w:t>
      </w:r>
      <w:r w:rsidR="00E54278" w:rsidRPr="00A936AB">
        <w:rPr>
          <w:rFonts w:ascii="Times New Roman" w:hAnsi="Times New Roman" w:cs="Times New Roman"/>
          <w:noProof/>
          <w:sz w:val="28"/>
          <w:szCs w:val="24"/>
          <w:lang w:val="en-US"/>
        </w:rPr>
        <w:t>V</w:t>
      </w:r>
      <w:r w:rsidR="00E54278">
        <w:rPr>
          <w:rFonts w:ascii="Times New Roman" w:hAnsi="Times New Roman" w:cs="Times New Roman"/>
          <w:noProof/>
          <w:sz w:val="28"/>
          <w:szCs w:val="24"/>
          <w:lang w:val="en-US"/>
        </w:rPr>
        <w:t>ol</w:t>
      </w:r>
      <w:r w:rsidR="002F588F">
        <w:rPr>
          <w:rFonts w:ascii="Times New Roman" w:hAnsi="Times New Roman" w:cs="Times New Roman"/>
          <w:noProof/>
          <w:sz w:val="28"/>
          <w:szCs w:val="24"/>
          <w:lang w:val="en-US"/>
        </w:rPr>
        <w:t>. 9, №1</w:t>
      </w:r>
      <w:r w:rsidR="002F588F" w:rsidRPr="005678F1">
        <w:rPr>
          <w:rFonts w:ascii="Times New Roman" w:hAnsi="Times New Roman" w:cs="Times New Roman"/>
          <w:noProof/>
          <w:sz w:val="28"/>
          <w:szCs w:val="24"/>
          <w:lang w:val="en-US"/>
        </w:rPr>
        <w:t>.-</w:t>
      </w:r>
      <w:r w:rsidR="00E54278" w:rsidRPr="00EF7048">
        <w:rPr>
          <w:rFonts w:ascii="Times New Roman" w:hAnsi="Times New Roman" w:cs="Times New Roman"/>
          <w:noProof/>
          <w:sz w:val="28"/>
          <w:szCs w:val="24"/>
          <w:lang w:val="en-US"/>
        </w:rPr>
        <w:t xml:space="preserve"> </w:t>
      </w:r>
      <w:r w:rsidR="00E54278">
        <w:rPr>
          <w:rFonts w:ascii="Times New Roman" w:hAnsi="Times New Roman" w:cs="Times New Roman"/>
          <w:noProof/>
          <w:sz w:val="28"/>
          <w:szCs w:val="24"/>
          <w:lang w:val="en-US"/>
        </w:rPr>
        <w:t>P</w:t>
      </w:r>
      <w:r w:rsidR="00E54278" w:rsidRPr="00EF7048">
        <w:rPr>
          <w:rFonts w:ascii="Times New Roman" w:hAnsi="Times New Roman" w:cs="Times New Roman"/>
          <w:noProof/>
          <w:sz w:val="28"/>
          <w:szCs w:val="24"/>
          <w:lang w:val="en-US"/>
        </w:rPr>
        <w:t>. 3–8</w:t>
      </w:r>
      <w:r w:rsidR="00E54278">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10.4103/0974-1208.178632.</w:t>
      </w:r>
    </w:p>
    <w:p w14:paraId="51B53A7F" w14:textId="57C0F906" w:rsidR="008C6800" w:rsidRPr="00EF7048" w:rsidRDefault="008752C4"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w:t>
      </w:r>
      <w:r w:rsidR="008C6800" w:rsidRPr="00EF7048">
        <w:rPr>
          <w:rFonts w:ascii="Times New Roman" w:hAnsi="Times New Roman" w:cs="Times New Roman"/>
          <w:noProof/>
          <w:sz w:val="28"/>
          <w:szCs w:val="24"/>
          <w:lang w:val="en-US"/>
        </w:rPr>
        <w:tab/>
        <w:t>Yuan</w:t>
      </w:r>
      <w:r w:rsidR="00E54278">
        <w:rPr>
          <w:rFonts w:ascii="Times New Roman" w:hAnsi="Times New Roman" w:cs="Times New Roman"/>
          <w:noProof/>
          <w:sz w:val="28"/>
          <w:szCs w:val="24"/>
          <w:lang w:val="en-US"/>
        </w:rPr>
        <w:t xml:space="preserve"> </w:t>
      </w:r>
      <w:r w:rsidR="00E54278" w:rsidRPr="00EF7048">
        <w:rPr>
          <w:rFonts w:ascii="Times New Roman" w:hAnsi="Times New Roman" w:cs="Times New Roman"/>
          <w:noProof/>
          <w:sz w:val="28"/>
          <w:szCs w:val="24"/>
          <w:lang w:val="en-US"/>
        </w:rPr>
        <w:t>X.</w:t>
      </w:r>
      <w:r w:rsidR="008C6800" w:rsidRPr="00EF7048">
        <w:rPr>
          <w:rFonts w:ascii="Times New Roman" w:hAnsi="Times New Roman" w:cs="Times New Roman"/>
          <w:noProof/>
          <w:sz w:val="28"/>
          <w:szCs w:val="24"/>
          <w:lang w:val="en-US"/>
        </w:rPr>
        <w:t>, Saravelos</w:t>
      </w:r>
      <w:r w:rsidR="00E54278" w:rsidRPr="00EF7048">
        <w:rPr>
          <w:rFonts w:ascii="Times New Roman" w:hAnsi="Times New Roman" w:cs="Times New Roman"/>
          <w:noProof/>
          <w:sz w:val="28"/>
          <w:szCs w:val="24"/>
          <w:lang w:val="en-US"/>
        </w:rPr>
        <w:t xml:space="preserve"> S. H.</w:t>
      </w:r>
      <w:r w:rsidR="008C6800" w:rsidRPr="00EF7048">
        <w:rPr>
          <w:rFonts w:ascii="Times New Roman" w:hAnsi="Times New Roman" w:cs="Times New Roman"/>
          <w:noProof/>
          <w:sz w:val="28"/>
          <w:szCs w:val="24"/>
          <w:lang w:val="en-US"/>
        </w:rPr>
        <w:t>, Wang</w:t>
      </w:r>
      <w:r w:rsidR="00E54278">
        <w:rPr>
          <w:rFonts w:ascii="Times New Roman" w:hAnsi="Times New Roman" w:cs="Times New Roman"/>
          <w:noProof/>
          <w:sz w:val="28"/>
          <w:szCs w:val="24"/>
          <w:lang w:val="en-US"/>
        </w:rPr>
        <w:t xml:space="preserve"> </w:t>
      </w:r>
      <w:r w:rsidR="00E54278" w:rsidRPr="00EF7048">
        <w:rPr>
          <w:rFonts w:ascii="Times New Roman" w:hAnsi="Times New Roman" w:cs="Times New Roman"/>
          <w:noProof/>
          <w:sz w:val="28"/>
          <w:szCs w:val="24"/>
          <w:lang w:val="en-US"/>
        </w:rPr>
        <w:t>Q.</w:t>
      </w:r>
      <w:r w:rsidR="008C6800" w:rsidRPr="00EF7048">
        <w:rPr>
          <w:rFonts w:ascii="Times New Roman" w:hAnsi="Times New Roman" w:cs="Times New Roman"/>
          <w:noProof/>
          <w:sz w:val="28"/>
          <w:szCs w:val="24"/>
          <w:lang w:val="en-US"/>
        </w:rPr>
        <w:t>, Xu</w:t>
      </w:r>
      <w:r w:rsidR="00E54278">
        <w:rPr>
          <w:rFonts w:ascii="Times New Roman" w:hAnsi="Times New Roman" w:cs="Times New Roman"/>
          <w:noProof/>
          <w:sz w:val="28"/>
          <w:szCs w:val="24"/>
          <w:lang w:val="en-US"/>
        </w:rPr>
        <w:t xml:space="preserve"> </w:t>
      </w:r>
      <w:r w:rsidR="00E54278" w:rsidRPr="00EF7048">
        <w:rPr>
          <w:rFonts w:ascii="Times New Roman" w:hAnsi="Times New Roman" w:cs="Times New Roman"/>
          <w:noProof/>
          <w:sz w:val="28"/>
          <w:szCs w:val="24"/>
          <w:lang w:val="en-US"/>
        </w:rPr>
        <w:t>Y.</w:t>
      </w:r>
      <w:r w:rsidR="008C6800" w:rsidRPr="00EF7048">
        <w:rPr>
          <w:rFonts w:ascii="Times New Roman" w:hAnsi="Times New Roman" w:cs="Times New Roman"/>
          <w:noProof/>
          <w:sz w:val="28"/>
          <w:szCs w:val="24"/>
          <w:lang w:val="en-US"/>
        </w:rPr>
        <w:t>, Li</w:t>
      </w:r>
      <w:r w:rsidR="00E54278">
        <w:rPr>
          <w:rFonts w:ascii="Times New Roman" w:hAnsi="Times New Roman" w:cs="Times New Roman"/>
          <w:noProof/>
          <w:sz w:val="28"/>
          <w:szCs w:val="24"/>
          <w:lang w:val="en-US"/>
        </w:rPr>
        <w:t xml:space="preserve"> </w:t>
      </w:r>
      <w:r w:rsidR="00E54278" w:rsidRPr="00EF7048">
        <w:rPr>
          <w:rFonts w:ascii="Times New Roman" w:hAnsi="Times New Roman" w:cs="Times New Roman"/>
          <w:noProof/>
          <w:sz w:val="28"/>
          <w:szCs w:val="24"/>
          <w:lang w:val="en-US"/>
        </w:rPr>
        <w:t>T. C.</w:t>
      </w:r>
      <w:r w:rsidR="008C6800" w:rsidRPr="00EF7048">
        <w:rPr>
          <w:rFonts w:ascii="Times New Roman" w:hAnsi="Times New Roman" w:cs="Times New Roman"/>
          <w:noProof/>
          <w:sz w:val="28"/>
          <w:szCs w:val="24"/>
          <w:lang w:val="en-US"/>
        </w:rPr>
        <w:t>, Zhou</w:t>
      </w:r>
      <w:r w:rsidR="00E54278">
        <w:rPr>
          <w:rFonts w:ascii="Times New Roman" w:hAnsi="Times New Roman" w:cs="Times New Roman"/>
          <w:noProof/>
          <w:sz w:val="28"/>
          <w:szCs w:val="24"/>
          <w:lang w:val="en-US"/>
        </w:rPr>
        <w:t xml:space="preserve"> </w:t>
      </w:r>
      <w:r w:rsidR="00E54278" w:rsidRPr="00EF7048">
        <w:rPr>
          <w:rFonts w:ascii="Times New Roman" w:hAnsi="Times New Roman" w:cs="Times New Roman"/>
          <w:noProof/>
          <w:sz w:val="28"/>
          <w:szCs w:val="24"/>
          <w:lang w:val="en-US"/>
        </w:rPr>
        <w:t>C.</w:t>
      </w:r>
      <w:r w:rsidR="00E54278">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 xml:space="preserve">Endometrial thickness as a predictor of pregnancy outcomes </w:t>
      </w:r>
      <w:r w:rsidR="00E54278" w:rsidRPr="00EF7048">
        <w:rPr>
          <w:rFonts w:ascii="Times New Roman" w:hAnsi="Times New Roman" w:cs="Times New Roman"/>
          <w:noProof/>
          <w:sz w:val="28"/>
          <w:szCs w:val="24"/>
          <w:lang w:val="en-US"/>
        </w:rPr>
        <w:t>in 10787 fresh IVF–ICSI cycles</w:t>
      </w:r>
      <w:r w:rsidR="00E54278">
        <w:rPr>
          <w:rFonts w:ascii="Times New Roman" w:hAnsi="Times New Roman" w:cs="Times New Roman"/>
          <w:noProof/>
          <w:sz w:val="28"/>
          <w:szCs w:val="24"/>
          <w:lang w:val="en-US"/>
        </w:rPr>
        <w:t xml:space="preserve"> </w:t>
      </w:r>
      <w:r w:rsidR="00E54278">
        <w:rPr>
          <w:rFonts w:ascii="Times New Roman" w:hAnsi="Times New Roman" w:cs="Times New Roman"/>
          <w:noProof/>
          <w:sz w:val="28"/>
          <w:szCs w:val="24"/>
          <w:lang w:val="kk-KZ"/>
        </w:rPr>
        <w:t>//</w:t>
      </w:r>
      <w:r w:rsidR="008C6800" w:rsidRPr="00EF7048">
        <w:rPr>
          <w:rFonts w:ascii="Times New Roman" w:hAnsi="Times New Roman" w:cs="Times New Roman"/>
          <w:noProof/>
          <w:sz w:val="28"/>
          <w:szCs w:val="24"/>
          <w:lang w:val="en-US"/>
        </w:rPr>
        <w:t xml:space="preserve"> </w:t>
      </w:r>
      <w:r w:rsidR="008C6800" w:rsidRPr="00EF7048">
        <w:rPr>
          <w:rFonts w:ascii="Times New Roman" w:hAnsi="Times New Roman" w:cs="Times New Roman"/>
          <w:iCs/>
          <w:noProof/>
          <w:sz w:val="28"/>
          <w:szCs w:val="24"/>
          <w:lang w:val="en-US"/>
        </w:rPr>
        <w:t>Reprod. Biomed. Online</w:t>
      </w:r>
      <w:r w:rsidR="00017463">
        <w:rPr>
          <w:rFonts w:ascii="Times New Roman" w:hAnsi="Times New Roman" w:cs="Times New Roman"/>
          <w:noProof/>
          <w:sz w:val="28"/>
          <w:szCs w:val="24"/>
          <w:lang w:val="en-US"/>
        </w:rPr>
        <w:t>.</w:t>
      </w:r>
      <w:r w:rsidR="00E54278">
        <w:rPr>
          <w:rFonts w:ascii="Times New Roman" w:hAnsi="Times New Roman" w:cs="Times New Roman"/>
          <w:noProof/>
          <w:sz w:val="28"/>
          <w:szCs w:val="24"/>
          <w:lang w:val="kk-KZ"/>
        </w:rPr>
        <w:t>-</w:t>
      </w:r>
      <w:r w:rsidR="00E54278" w:rsidRPr="00EF7048">
        <w:rPr>
          <w:rFonts w:ascii="Times New Roman" w:hAnsi="Times New Roman" w:cs="Times New Roman"/>
          <w:noProof/>
          <w:sz w:val="28"/>
          <w:szCs w:val="24"/>
          <w:lang w:val="en-US"/>
        </w:rPr>
        <w:t xml:space="preserve"> </w:t>
      </w:r>
      <w:r w:rsidR="00E54278">
        <w:rPr>
          <w:rFonts w:ascii="Times New Roman" w:hAnsi="Times New Roman" w:cs="Times New Roman"/>
          <w:noProof/>
          <w:sz w:val="28"/>
          <w:szCs w:val="24"/>
          <w:lang w:val="kk-KZ"/>
        </w:rPr>
        <w:t>201</w:t>
      </w:r>
      <w:r w:rsidR="00E54278">
        <w:rPr>
          <w:rFonts w:ascii="Times New Roman" w:hAnsi="Times New Roman" w:cs="Times New Roman"/>
          <w:noProof/>
          <w:sz w:val="28"/>
          <w:szCs w:val="24"/>
          <w:lang w:val="en-US"/>
        </w:rPr>
        <w:t>6</w:t>
      </w:r>
      <w:r w:rsidR="00E54278">
        <w:rPr>
          <w:rFonts w:ascii="Times New Roman" w:hAnsi="Times New Roman" w:cs="Times New Roman"/>
          <w:noProof/>
          <w:sz w:val="28"/>
          <w:szCs w:val="24"/>
          <w:lang w:val="kk-KZ"/>
        </w:rPr>
        <w:t xml:space="preserve">. - </w:t>
      </w:r>
      <w:r w:rsidR="00E54278" w:rsidRPr="00EF7048">
        <w:rPr>
          <w:rFonts w:ascii="Times New Roman" w:hAnsi="Times New Roman" w:cs="Times New Roman"/>
          <w:noProof/>
          <w:sz w:val="28"/>
          <w:szCs w:val="24"/>
          <w:lang w:val="en-US"/>
        </w:rPr>
        <w:t>Vol.</w:t>
      </w:r>
      <w:r w:rsidR="008C6800" w:rsidRPr="00EF7048">
        <w:rPr>
          <w:rFonts w:ascii="Times New Roman" w:hAnsi="Times New Roman" w:cs="Times New Roman"/>
          <w:noProof/>
          <w:sz w:val="28"/>
          <w:szCs w:val="24"/>
          <w:lang w:val="en-US"/>
        </w:rPr>
        <w:t xml:space="preserve"> 33, </w:t>
      </w:r>
      <w:r w:rsidR="00E54278" w:rsidRPr="00EF7048">
        <w:rPr>
          <w:rFonts w:ascii="Times New Roman" w:hAnsi="Times New Roman" w:cs="Times New Roman"/>
          <w:noProof/>
          <w:sz w:val="28"/>
          <w:szCs w:val="24"/>
          <w:lang w:val="en-US"/>
        </w:rPr>
        <w:t>№ 2</w:t>
      </w:r>
      <w:r w:rsidR="00E54278">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10.1016/j.rbmo.2016.05.002.</w:t>
      </w:r>
    </w:p>
    <w:p w14:paraId="309207FC" w14:textId="13C0BE46" w:rsidR="008C6800" w:rsidRPr="008C6800" w:rsidRDefault="008752C4" w:rsidP="005A2DE6">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EF7048">
        <w:rPr>
          <w:rFonts w:ascii="Times New Roman" w:hAnsi="Times New Roman" w:cs="Times New Roman"/>
          <w:noProof/>
          <w:sz w:val="28"/>
          <w:szCs w:val="24"/>
          <w:lang w:val="en-US"/>
        </w:rPr>
        <w:t>5</w:t>
      </w:r>
      <w:r w:rsidR="008C6800" w:rsidRPr="00EF7048">
        <w:rPr>
          <w:rFonts w:ascii="Times New Roman" w:hAnsi="Times New Roman" w:cs="Times New Roman"/>
          <w:noProof/>
          <w:sz w:val="28"/>
          <w:szCs w:val="24"/>
          <w:lang w:val="en-US"/>
        </w:rPr>
        <w:tab/>
        <w:t>Edwards</w:t>
      </w:r>
      <w:r w:rsidR="0012383F">
        <w:rPr>
          <w:rFonts w:ascii="Times New Roman" w:hAnsi="Times New Roman" w:cs="Times New Roman"/>
          <w:noProof/>
          <w:sz w:val="28"/>
          <w:szCs w:val="24"/>
          <w:lang w:val="en-US"/>
        </w:rPr>
        <w:t xml:space="preserve"> </w:t>
      </w:r>
      <w:r w:rsidR="0012383F" w:rsidRPr="00EF7048">
        <w:rPr>
          <w:rFonts w:ascii="Times New Roman" w:hAnsi="Times New Roman" w:cs="Times New Roman"/>
          <w:noProof/>
          <w:sz w:val="28"/>
          <w:szCs w:val="24"/>
          <w:lang w:val="en-US"/>
        </w:rPr>
        <w:t>R. G.</w:t>
      </w:r>
      <w:r w:rsidR="0012383F">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Human implantation: The last barrier in assist</w:t>
      </w:r>
      <w:r w:rsidR="0012383F" w:rsidRPr="00EF7048">
        <w:rPr>
          <w:rFonts w:ascii="Times New Roman" w:hAnsi="Times New Roman" w:cs="Times New Roman"/>
          <w:noProof/>
          <w:sz w:val="28"/>
          <w:szCs w:val="24"/>
          <w:lang w:val="en-US"/>
        </w:rPr>
        <w:t>ed reproduction technologies?</w:t>
      </w:r>
      <w:r w:rsidR="0012383F">
        <w:rPr>
          <w:rFonts w:ascii="Times New Roman" w:hAnsi="Times New Roman" w:cs="Times New Roman"/>
          <w:noProof/>
          <w:sz w:val="28"/>
          <w:szCs w:val="24"/>
          <w:lang w:val="en-US"/>
        </w:rPr>
        <w:t xml:space="preserve"> </w:t>
      </w:r>
      <w:r w:rsidR="0012383F">
        <w:rPr>
          <w:rFonts w:ascii="Times New Roman" w:hAnsi="Times New Roman" w:cs="Times New Roman"/>
          <w:noProof/>
          <w:sz w:val="28"/>
          <w:szCs w:val="24"/>
          <w:lang w:val="kk-KZ"/>
        </w:rPr>
        <w:t>//</w:t>
      </w:r>
      <w:r w:rsidR="0012383F"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iCs/>
          <w:noProof/>
          <w:sz w:val="28"/>
          <w:szCs w:val="24"/>
          <w:lang w:val="en-US"/>
        </w:rPr>
        <w:t xml:space="preserve">Reprod. </w:t>
      </w:r>
      <w:r w:rsidR="008C6800" w:rsidRPr="0012383F">
        <w:rPr>
          <w:rFonts w:ascii="Times New Roman" w:hAnsi="Times New Roman" w:cs="Times New Roman"/>
          <w:iCs/>
          <w:noProof/>
          <w:sz w:val="28"/>
          <w:szCs w:val="24"/>
        </w:rPr>
        <w:t>Biomed. Online</w:t>
      </w:r>
      <w:r w:rsidR="0012383F" w:rsidRPr="00EF7048">
        <w:rPr>
          <w:rFonts w:ascii="Times New Roman" w:hAnsi="Times New Roman" w:cs="Times New Roman"/>
          <w:iCs/>
          <w:noProof/>
          <w:sz w:val="28"/>
          <w:szCs w:val="24"/>
        </w:rPr>
        <w:t>.</w:t>
      </w:r>
      <w:r w:rsidR="008C6800" w:rsidRPr="008C6800">
        <w:rPr>
          <w:rFonts w:ascii="Times New Roman" w:hAnsi="Times New Roman" w:cs="Times New Roman"/>
          <w:noProof/>
          <w:sz w:val="28"/>
          <w:szCs w:val="24"/>
        </w:rPr>
        <w:t xml:space="preserve"> </w:t>
      </w:r>
      <w:r w:rsidR="0012383F">
        <w:rPr>
          <w:rFonts w:ascii="Times New Roman" w:hAnsi="Times New Roman" w:cs="Times New Roman"/>
          <w:noProof/>
          <w:sz w:val="28"/>
          <w:szCs w:val="24"/>
          <w:lang w:val="kk-KZ"/>
        </w:rPr>
        <w:t>- 20</w:t>
      </w:r>
      <w:r w:rsidR="0012383F" w:rsidRPr="00EF7048">
        <w:rPr>
          <w:rFonts w:ascii="Times New Roman" w:hAnsi="Times New Roman" w:cs="Times New Roman"/>
          <w:noProof/>
          <w:sz w:val="28"/>
          <w:szCs w:val="24"/>
        </w:rPr>
        <w:t>06</w:t>
      </w:r>
      <w:r w:rsidR="0012383F">
        <w:rPr>
          <w:rFonts w:ascii="Times New Roman" w:hAnsi="Times New Roman" w:cs="Times New Roman"/>
          <w:noProof/>
          <w:sz w:val="28"/>
          <w:szCs w:val="24"/>
          <w:lang w:val="kk-KZ"/>
        </w:rPr>
        <w:t>. -</w:t>
      </w:r>
      <w:r w:rsidR="0012383F" w:rsidRPr="00A936AB">
        <w:rPr>
          <w:rFonts w:ascii="Times New Roman" w:hAnsi="Times New Roman" w:cs="Times New Roman"/>
          <w:noProof/>
          <w:sz w:val="28"/>
          <w:szCs w:val="24"/>
        </w:rPr>
        <w:t xml:space="preserve"> </w:t>
      </w:r>
      <w:r w:rsidR="0012383F" w:rsidRPr="00A936AB">
        <w:rPr>
          <w:rFonts w:ascii="Times New Roman" w:hAnsi="Times New Roman" w:cs="Times New Roman"/>
          <w:noProof/>
          <w:sz w:val="28"/>
          <w:szCs w:val="24"/>
          <w:lang w:val="en-US"/>
        </w:rPr>
        <w:t>V</w:t>
      </w:r>
      <w:r w:rsidR="0012383F">
        <w:rPr>
          <w:rFonts w:ascii="Times New Roman" w:hAnsi="Times New Roman" w:cs="Times New Roman"/>
          <w:noProof/>
          <w:sz w:val="28"/>
          <w:szCs w:val="24"/>
          <w:lang w:val="en-US"/>
        </w:rPr>
        <w:t>ol</w:t>
      </w:r>
      <w:r w:rsidR="0012383F" w:rsidRPr="00431C79">
        <w:rPr>
          <w:rFonts w:ascii="Times New Roman" w:hAnsi="Times New Roman" w:cs="Times New Roman"/>
          <w:noProof/>
          <w:sz w:val="28"/>
          <w:szCs w:val="24"/>
        </w:rPr>
        <w:t>.</w:t>
      </w:r>
      <w:r w:rsidR="008C6800" w:rsidRPr="008C6800">
        <w:rPr>
          <w:rFonts w:ascii="Times New Roman" w:hAnsi="Times New Roman" w:cs="Times New Roman"/>
          <w:noProof/>
          <w:sz w:val="28"/>
          <w:szCs w:val="24"/>
        </w:rPr>
        <w:t xml:space="preserve">13, </w:t>
      </w:r>
      <w:r w:rsidR="0012383F" w:rsidRPr="00431C79">
        <w:rPr>
          <w:rFonts w:ascii="Times New Roman" w:hAnsi="Times New Roman" w:cs="Times New Roman"/>
          <w:noProof/>
          <w:sz w:val="28"/>
          <w:szCs w:val="24"/>
        </w:rPr>
        <w:t>№</w:t>
      </w:r>
      <w:r w:rsidR="002F588F">
        <w:rPr>
          <w:rFonts w:ascii="Times New Roman" w:hAnsi="Times New Roman" w:cs="Times New Roman"/>
          <w:noProof/>
          <w:sz w:val="28"/>
          <w:szCs w:val="24"/>
        </w:rPr>
        <w:t>6.-</w:t>
      </w:r>
      <w:r w:rsidR="0012383F">
        <w:rPr>
          <w:rFonts w:ascii="Times New Roman" w:hAnsi="Times New Roman" w:cs="Times New Roman"/>
          <w:noProof/>
          <w:sz w:val="28"/>
          <w:szCs w:val="24"/>
          <w:lang w:val="en-US"/>
        </w:rPr>
        <w:t>P</w:t>
      </w:r>
      <w:r w:rsidR="0012383F">
        <w:rPr>
          <w:rFonts w:ascii="Times New Roman" w:hAnsi="Times New Roman" w:cs="Times New Roman"/>
          <w:noProof/>
          <w:sz w:val="28"/>
          <w:szCs w:val="24"/>
        </w:rPr>
        <w:t>. 887–904</w:t>
      </w:r>
      <w:r w:rsidR="0012383F" w:rsidRPr="00EF7048">
        <w:rPr>
          <w:rFonts w:ascii="Times New Roman" w:hAnsi="Times New Roman" w:cs="Times New Roman"/>
          <w:noProof/>
          <w:sz w:val="28"/>
          <w:szCs w:val="24"/>
        </w:rPr>
        <w:t>.</w:t>
      </w:r>
      <w:r w:rsidR="008C6800" w:rsidRPr="008C6800">
        <w:rPr>
          <w:rFonts w:ascii="Times New Roman" w:hAnsi="Times New Roman" w:cs="Times New Roman"/>
          <w:noProof/>
          <w:sz w:val="28"/>
          <w:szCs w:val="24"/>
        </w:rPr>
        <w:t xml:space="preserve"> doi: 10.1016/S1472-6483(10)61039-5.</w:t>
      </w:r>
    </w:p>
    <w:p w14:paraId="6D490CF6" w14:textId="66E67FFF" w:rsidR="008C6800" w:rsidRPr="005678F1" w:rsidRDefault="008752C4"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Pr>
          <w:rFonts w:ascii="Times New Roman" w:hAnsi="Times New Roman" w:cs="Times New Roman"/>
          <w:noProof/>
          <w:sz w:val="28"/>
          <w:szCs w:val="24"/>
        </w:rPr>
        <w:t>6</w:t>
      </w:r>
      <w:r w:rsidR="008C6800" w:rsidRPr="008C6800">
        <w:rPr>
          <w:rFonts w:ascii="Times New Roman" w:hAnsi="Times New Roman" w:cs="Times New Roman"/>
          <w:noProof/>
          <w:sz w:val="28"/>
          <w:szCs w:val="24"/>
        </w:rPr>
        <w:tab/>
        <w:t xml:space="preserve">Краснопольская К.В., Назаренко Т.А., </w:t>
      </w:r>
      <w:r w:rsidR="0012383F">
        <w:rPr>
          <w:rFonts w:ascii="Times New Roman" w:hAnsi="Times New Roman" w:cs="Times New Roman"/>
          <w:noProof/>
          <w:sz w:val="28"/>
          <w:szCs w:val="24"/>
          <w:lang w:val="kk-KZ"/>
        </w:rPr>
        <w:t>Ершова И</w:t>
      </w:r>
      <w:r w:rsidR="0012383F">
        <w:rPr>
          <w:rFonts w:ascii="Times New Roman" w:hAnsi="Times New Roman" w:cs="Times New Roman"/>
          <w:noProof/>
          <w:sz w:val="28"/>
          <w:szCs w:val="24"/>
        </w:rPr>
        <w:t xml:space="preserve">.Ю. </w:t>
      </w:r>
      <w:r w:rsidR="008C6800" w:rsidRPr="008C6800">
        <w:rPr>
          <w:rFonts w:ascii="Times New Roman" w:hAnsi="Times New Roman" w:cs="Times New Roman"/>
          <w:noProof/>
          <w:sz w:val="28"/>
          <w:szCs w:val="24"/>
        </w:rPr>
        <w:t xml:space="preserve">Современные подходы к оценке рецептивности </w:t>
      </w:r>
      <w:r w:rsidR="0012383F">
        <w:rPr>
          <w:rFonts w:ascii="Times New Roman" w:hAnsi="Times New Roman" w:cs="Times New Roman"/>
          <w:noProof/>
          <w:sz w:val="28"/>
          <w:szCs w:val="24"/>
        </w:rPr>
        <w:t xml:space="preserve">эндометрия (обзор литературы) </w:t>
      </w:r>
      <w:r w:rsidR="0012383F">
        <w:rPr>
          <w:rFonts w:ascii="Times New Roman" w:hAnsi="Times New Roman" w:cs="Times New Roman"/>
          <w:noProof/>
          <w:sz w:val="28"/>
          <w:szCs w:val="24"/>
          <w:lang w:val="kk-KZ"/>
        </w:rPr>
        <w:t>//</w:t>
      </w:r>
      <w:r w:rsidR="008C6800" w:rsidRPr="0012383F">
        <w:rPr>
          <w:rFonts w:ascii="Times New Roman" w:hAnsi="Times New Roman" w:cs="Times New Roman"/>
          <w:iCs/>
          <w:noProof/>
          <w:sz w:val="28"/>
          <w:szCs w:val="24"/>
        </w:rPr>
        <w:t>Проблемы репродукции</w:t>
      </w:r>
      <w:r w:rsidR="0012383F">
        <w:rPr>
          <w:rFonts w:ascii="Times New Roman" w:hAnsi="Times New Roman" w:cs="Times New Roman"/>
          <w:noProof/>
          <w:sz w:val="28"/>
          <w:szCs w:val="24"/>
        </w:rPr>
        <w:t>.</w:t>
      </w:r>
      <w:r w:rsidR="008C6800" w:rsidRPr="008C6800">
        <w:rPr>
          <w:rFonts w:ascii="Times New Roman" w:hAnsi="Times New Roman" w:cs="Times New Roman"/>
          <w:noProof/>
          <w:sz w:val="28"/>
          <w:szCs w:val="24"/>
        </w:rPr>
        <w:t xml:space="preserve"> </w:t>
      </w:r>
      <w:r w:rsidR="0012383F">
        <w:rPr>
          <w:rFonts w:ascii="Times New Roman" w:hAnsi="Times New Roman" w:cs="Times New Roman"/>
          <w:noProof/>
          <w:sz w:val="28"/>
          <w:szCs w:val="24"/>
          <w:lang w:val="kk-KZ"/>
        </w:rPr>
        <w:t>- 20</w:t>
      </w:r>
      <w:r w:rsidR="0012383F">
        <w:rPr>
          <w:rFonts w:ascii="Times New Roman" w:hAnsi="Times New Roman" w:cs="Times New Roman"/>
          <w:noProof/>
          <w:sz w:val="28"/>
          <w:szCs w:val="24"/>
        </w:rPr>
        <w:t>16</w:t>
      </w:r>
      <w:r w:rsidR="0012383F">
        <w:rPr>
          <w:rFonts w:ascii="Times New Roman" w:hAnsi="Times New Roman" w:cs="Times New Roman"/>
          <w:noProof/>
          <w:sz w:val="28"/>
          <w:szCs w:val="24"/>
          <w:lang w:val="kk-KZ"/>
        </w:rPr>
        <w:t>. -</w:t>
      </w:r>
      <w:r w:rsidR="0012383F" w:rsidRPr="00A936AB">
        <w:rPr>
          <w:rFonts w:ascii="Times New Roman" w:hAnsi="Times New Roman" w:cs="Times New Roman"/>
          <w:noProof/>
          <w:sz w:val="28"/>
          <w:szCs w:val="24"/>
        </w:rPr>
        <w:t xml:space="preserve"> </w:t>
      </w:r>
      <w:r w:rsidR="0012383F" w:rsidRPr="00A936AB">
        <w:rPr>
          <w:rFonts w:ascii="Times New Roman" w:hAnsi="Times New Roman" w:cs="Times New Roman"/>
          <w:noProof/>
          <w:sz w:val="28"/>
          <w:szCs w:val="24"/>
          <w:lang w:val="en-US"/>
        </w:rPr>
        <w:t>V</w:t>
      </w:r>
      <w:r w:rsidR="0012383F">
        <w:rPr>
          <w:rFonts w:ascii="Times New Roman" w:hAnsi="Times New Roman" w:cs="Times New Roman"/>
          <w:noProof/>
          <w:sz w:val="28"/>
          <w:szCs w:val="24"/>
          <w:lang w:val="en-US"/>
        </w:rPr>
        <w:t>ol</w:t>
      </w:r>
      <w:r w:rsidR="0012383F" w:rsidRPr="00431C79">
        <w:rPr>
          <w:rFonts w:ascii="Times New Roman" w:hAnsi="Times New Roman" w:cs="Times New Roman"/>
          <w:noProof/>
          <w:sz w:val="28"/>
          <w:szCs w:val="24"/>
        </w:rPr>
        <w:t>.</w:t>
      </w:r>
      <w:r w:rsidR="0012383F">
        <w:rPr>
          <w:rFonts w:ascii="Times New Roman" w:hAnsi="Times New Roman" w:cs="Times New Roman"/>
          <w:noProof/>
          <w:sz w:val="28"/>
          <w:szCs w:val="24"/>
        </w:rPr>
        <w:t xml:space="preserve"> 22, № 5</w:t>
      </w:r>
      <w:r w:rsidR="002F588F">
        <w:rPr>
          <w:rFonts w:ascii="Times New Roman" w:hAnsi="Times New Roman" w:cs="Times New Roman"/>
          <w:noProof/>
          <w:sz w:val="28"/>
          <w:szCs w:val="24"/>
        </w:rPr>
        <w:t>.-</w:t>
      </w:r>
      <w:r w:rsidR="0012383F">
        <w:rPr>
          <w:rFonts w:ascii="Times New Roman" w:hAnsi="Times New Roman" w:cs="Times New Roman"/>
          <w:noProof/>
          <w:sz w:val="28"/>
          <w:szCs w:val="24"/>
        </w:rPr>
        <w:t xml:space="preserve"> </w:t>
      </w:r>
      <w:r w:rsidR="0012383F">
        <w:rPr>
          <w:rFonts w:ascii="Times New Roman" w:hAnsi="Times New Roman" w:cs="Times New Roman"/>
          <w:noProof/>
          <w:sz w:val="28"/>
          <w:szCs w:val="24"/>
          <w:lang w:val="en-US"/>
        </w:rPr>
        <w:t>P</w:t>
      </w:r>
      <w:r w:rsidR="0012383F" w:rsidRPr="005678F1">
        <w:rPr>
          <w:rFonts w:ascii="Times New Roman" w:hAnsi="Times New Roman" w:cs="Times New Roman"/>
          <w:noProof/>
          <w:sz w:val="28"/>
          <w:szCs w:val="24"/>
          <w:lang w:val="en-US"/>
        </w:rPr>
        <w:t>. 61.</w:t>
      </w:r>
      <w:r w:rsidR="008C6800" w:rsidRPr="005678F1">
        <w:rPr>
          <w:rFonts w:ascii="Times New Roman" w:hAnsi="Times New Roman" w:cs="Times New Roman"/>
          <w:noProof/>
          <w:sz w:val="28"/>
          <w:szCs w:val="24"/>
          <w:lang w:val="en-US"/>
        </w:rPr>
        <w:t xml:space="preserve"> doi: 10.17116/repro201622561-69.</w:t>
      </w:r>
    </w:p>
    <w:p w14:paraId="26831EF9" w14:textId="57DBD168" w:rsidR="008C6800" w:rsidRPr="00EF7048" w:rsidRDefault="008752C4"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7</w:t>
      </w:r>
      <w:r w:rsidR="008C6800" w:rsidRPr="00EF7048">
        <w:rPr>
          <w:rFonts w:ascii="Times New Roman" w:hAnsi="Times New Roman" w:cs="Times New Roman"/>
          <w:noProof/>
          <w:sz w:val="28"/>
          <w:szCs w:val="24"/>
          <w:lang w:val="en-US"/>
        </w:rPr>
        <w:tab/>
      </w:r>
      <w:r w:rsidR="0012383F" w:rsidRPr="00CB7B67">
        <w:rPr>
          <w:rFonts w:ascii="Times New Roman" w:hAnsi="Times New Roman" w:cs="Times New Roman"/>
          <w:noProof/>
          <w:sz w:val="28"/>
          <w:szCs w:val="24"/>
          <w:lang w:val="en-US"/>
        </w:rPr>
        <w:t xml:space="preserve">Kasius  A. Endometrial thickness </w:t>
      </w:r>
      <w:r w:rsidR="0012383F">
        <w:rPr>
          <w:rFonts w:ascii="Times New Roman" w:hAnsi="Times New Roman" w:cs="Times New Roman"/>
          <w:noProof/>
          <w:sz w:val="28"/>
          <w:szCs w:val="24"/>
          <w:lang w:val="en-US"/>
        </w:rPr>
        <w:t>,</w:t>
      </w:r>
      <w:r w:rsidR="0012383F" w:rsidRPr="00CB7B67">
        <w:rPr>
          <w:rFonts w:ascii="Times New Roman" w:hAnsi="Times New Roman" w:cs="Times New Roman"/>
          <w:noProof/>
          <w:sz w:val="28"/>
          <w:szCs w:val="24"/>
          <w:lang w:val="en-US"/>
        </w:rPr>
        <w:t xml:space="preserve"> pregnancy rates after IVF: A systematic review </w:t>
      </w:r>
      <w:r w:rsidR="0012383F">
        <w:rPr>
          <w:rFonts w:ascii="Times New Roman" w:hAnsi="Times New Roman" w:cs="Times New Roman"/>
          <w:noProof/>
          <w:sz w:val="28"/>
          <w:szCs w:val="24"/>
          <w:lang w:val="en-US"/>
        </w:rPr>
        <w:t>,</w:t>
      </w:r>
      <w:r w:rsidR="0012383F" w:rsidRPr="00CB7B67">
        <w:rPr>
          <w:rFonts w:ascii="Times New Roman" w:hAnsi="Times New Roman" w:cs="Times New Roman"/>
          <w:noProof/>
          <w:sz w:val="28"/>
          <w:szCs w:val="24"/>
          <w:lang w:val="en-US"/>
        </w:rPr>
        <w:t xml:space="preserve"> meta-analysis</w:t>
      </w:r>
      <w:r w:rsidR="0012383F" w:rsidRPr="00133F74">
        <w:rPr>
          <w:rFonts w:ascii="Times New Roman" w:hAnsi="Times New Roman" w:cs="Times New Roman"/>
          <w:noProof/>
          <w:sz w:val="28"/>
          <w:szCs w:val="24"/>
          <w:lang w:val="en-US"/>
        </w:rPr>
        <w:t xml:space="preserve"> //</w:t>
      </w:r>
      <w:r w:rsidR="0012383F" w:rsidRPr="00CB7B67">
        <w:rPr>
          <w:rFonts w:ascii="Times New Roman" w:hAnsi="Times New Roman" w:cs="Times New Roman"/>
          <w:noProof/>
          <w:sz w:val="28"/>
          <w:szCs w:val="24"/>
          <w:lang w:val="en-US"/>
        </w:rPr>
        <w:t xml:space="preserve"> </w:t>
      </w:r>
      <w:r w:rsidR="0012383F" w:rsidRPr="00133F74">
        <w:rPr>
          <w:rFonts w:ascii="Times New Roman" w:hAnsi="Times New Roman" w:cs="Times New Roman"/>
          <w:noProof/>
          <w:sz w:val="28"/>
          <w:szCs w:val="24"/>
          <w:lang w:val="en-US"/>
        </w:rPr>
        <w:t xml:space="preserve">Hum. Reprod. Update. - 2014. - </w:t>
      </w:r>
      <w:r w:rsidR="0012383F">
        <w:rPr>
          <w:rFonts w:ascii="Times New Roman" w:hAnsi="Times New Roman" w:cs="Times New Roman"/>
          <w:noProof/>
          <w:sz w:val="28"/>
          <w:szCs w:val="24"/>
          <w:lang w:val="en-US"/>
        </w:rPr>
        <w:t>Vol.</w:t>
      </w:r>
      <w:r w:rsidR="0012383F" w:rsidRPr="00CB7B67">
        <w:rPr>
          <w:rFonts w:ascii="Times New Roman" w:hAnsi="Times New Roman" w:cs="Times New Roman"/>
          <w:noProof/>
          <w:sz w:val="28"/>
          <w:szCs w:val="24"/>
          <w:lang w:val="en-US"/>
        </w:rPr>
        <w:t xml:space="preserve"> 20, </w:t>
      </w:r>
      <w:r w:rsidR="0012383F">
        <w:rPr>
          <w:rFonts w:ascii="Times New Roman" w:hAnsi="Times New Roman" w:cs="Times New Roman"/>
          <w:noProof/>
          <w:sz w:val="28"/>
          <w:szCs w:val="24"/>
          <w:lang w:val="en-US"/>
        </w:rPr>
        <w:t>№</w:t>
      </w:r>
      <w:r w:rsidR="0012383F" w:rsidRPr="00CB7B67">
        <w:rPr>
          <w:rFonts w:ascii="Times New Roman" w:hAnsi="Times New Roman" w:cs="Times New Roman"/>
          <w:noProof/>
          <w:sz w:val="28"/>
          <w:szCs w:val="24"/>
          <w:lang w:val="en-US"/>
        </w:rPr>
        <w:t xml:space="preserve"> 4</w:t>
      </w:r>
      <w:r w:rsidR="0012383F" w:rsidRPr="00133F74">
        <w:rPr>
          <w:rFonts w:ascii="Times New Roman" w:hAnsi="Times New Roman" w:cs="Times New Roman"/>
          <w:noProof/>
          <w:sz w:val="28"/>
          <w:szCs w:val="24"/>
          <w:lang w:val="en-US"/>
        </w:rPr>
        <w:t>.</w:t>
      </w:r>
      <w:r w:rsidR="0012383F">
        <w:rPr>
          <w:rFonts w:ascii="Times New Roman" w:hAnsi="Times New Roman" w:cs="Times New Roman"/>
          <w:noProof/>
          <w:sz w:val="28"/>
          <w:szCs w:val="24"/>
          <w:lang w:val="en-US"/>
        </w:rPr>
        <w:t>- Р.</w:t>
      </w:r>
      <w:r w:rsidR="0012383F" w:rsidRPr="00CB7B67">
        <w:rPr>
          <w:rFonts w:ascii="Times New Roman" w:hAnsi="Times New Roman" w:cs="Times New Roman"/>
          <w:noProof/>
          <w:sz w:val="28"/>
          <w:szCs w:val="24"/>
          <w:lang w:val="en-US"/>
        </w:rPr>
        <w:t>530–54</w:t>
      </w:r>
      <w:r w:rsidR="0012383F" w:rsidRPr="00133F74">
        <w:rPr>
          <w:rFonts w:ascii="Times New Roman" w:hAnsi="Times New Roman" w:cs="Times New Roman"/>
          <w:noProof/>
          <w:sz w:val="28"/>
          <w:szCs w:val="24"/>
          <w:lang w:val="en-US"/>
        </w:rPr>
        <w:t>1.</w:t>
      </w:r>
      <w:r w:rsidR="008C6800" w:rsidRPr="00EF7048">
        <w:rPr>
          <w:rFonts w:ascii="Times New Roman" w:hAnsi="Times New Roman" w:cs="Times New Roman"/>
          <w:noProof/>
          <w:sz w:val="28"/>
          <w:szCs w:val="24"/>
          <w:lang w:val="en-US"/>
        </w:rPr>
        <w:t xml:space="preserve"> doi: 10.1093/humupd/dmu011.</w:t>
      </w:r>
    </w:p>
    <w:p w14:paraId="0F47F5A0" w14:textId="1DC1E2A8" w:rsidR="008C6800" w:rsidRPr="00EF7048" w:rsidRDefault="00745BEB"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8</w:t>
      </w:r>
      <w:r w:rsidR="008C6800" w:rsidRPr="00EF7048">
        <w:rPr>
          <w:rFonts w:ascii="Times New Roman" w:hAnsi="Times New Roman" w:cs="Times New Roman"/>
          <w:noProof/>
          <w:sz w:val="28"/>
          <w:szCs w:val="24"/>
          <w:lang w:val="en-US"/>
        </w:rPr>
        <w:tab/>
      </w:r>
      <w:r w:rsidR="0012383F" w:rsidRPr="00CB7B67">
        <w:rPr>
          <w:rFonts w:ascii="Times New Roman" w:hAnsi="Times New Roman" w:cs="Times New Roman"/>
          <w:noProof/>
          <w:sz w:val="28"/>
          <w:szCs w:val="24"/>
          <w:lang w:val="en-US"/>
        </w:rPr>
        <w:t>Khan</w:t>
      </w:r>
      <w:r w:rsidR="0012383F" w:rsidRPr="00133F74">
        <w:rPr>
          <w:rFonts w:ascii="Times New Roman" w:hAnsi="Times New Roman" w:cs="Times New Roman"/>
          <w:noProof/>
          <w:sz w:val="28"/>
          <w:szCs w:val="24"/>
          <w:lang w:val="en-US"/>
        </w:rPr>
        <w:t xml:space="preserve"> </w:t>
      </w:r>
      <w:r w:rsidR="0012383F" w:rsidRPr="00CB7B67">
        <w:rPr>
          <w:rFonts w:ascii="Times New Roman" w:hAnsi="Times New Roman" w:cs="Times New Roman"/>
          <w:noProof/>
          <w:sz w:val="28"/>
          <w:szCs w:val="24"/>
          <w:lang w:val="en-US"/>
        </w:rPr>
        <w:t>M.S., Shaikh</w:t>
      </w:r>
      <w:r w:rsidR="0012383F" w:rsidRPr="00133F74">
        <w:rPr>
          <w:rFonts w:ascii="Times New Roman" w:hAnsi="Times New Roman" w:cs="Times New Roman"/>
          <w:noProof/>
          <w:sz w:val="28"/>
          <w:szCs w:val="24"/>
          <w:lang w:val="en-US"/>
        </w:rPr>
        <w:t xml:space="preserve"> </w:t>
      </w:r>
      <w:r w:rsidR="0012383F" w:rsidRPr="00CB7B67">
        <w:rPr>
          <w:rFonts w:ascii="Times New Roman" w:hAnsi="Times New Roman" w:cs="Times New Roman"/>
          <w:noProof/>
          <w:sz w:val="28"/>
          <w:szCs w:val="24"/>
          <w:lang w:val="en-US"/>
        </w:rPr>
        <w:t>A., Ratnani</w:t>
      </w:r>
      <w:r w:rsidR="0012383F" w:rsidRPr="00133F74">
        <w:rPr>
          <w:rFonts w:ascii="Times New Roman" w:hAnsi="Times New Roman" w:cs="Times New Roman"/>
          <w:noProof/>
          <w:sz w:val="28"/>
          <w:szCs w:val="24"/>
          <w:lang w:val="en-US"/>
        </w:rPr>
        <w:t xml:space="preserve"> </w:t>
      </w:r>
      <w:r w:rsidR="0012383F" w:rsidRPr="00CB7B67">
        <w:rPr>
          <w:rFonts w:ascii="Times New Roman" w:hAnsi="Times New Roman" w:cs="Times New Roman"/>
          <w:noProof/>
          <w:sz w:val="28"/>
          <w:szCs w:val="24"/>
          <w:lang w:val="en-US"/>
        </w:rPr>
        <w:t>R.</w:t>
      </w:r>
      <w:r w:rsidR="0012383F" w:rsidRPr="00133F74">
        <w:rPr>
          <w:rFonts w:ascii="Times New Roman" w:hAnsi="Times New Roman" w:cs="Times New Roman"/>
          <w:noProof/>
          <w:sz w:val="28"/>
          <w:szCs w:val="24"/>
          <w:lang w:val="en-US"/>
        </w:rPr>
        <w:t xml:space="preserve"> </w:t>
      </w:r>
      <w:r w:rsidR="0012383F" w:rsidRPr="00CB7B67">
        <w:rPr>
          <w:rFonts w:ascii="Times New Roman" w:hAnsi="Times New Roman" w:cs="Times New Roman"/>
          <w:noProof/>
          <w:sz w:val="28"/>
          <w:szCs w:val="24"/>
          <w:lang w:val="en-US"/>
        </w:rPr>
        <w:t xml:space="preserve">Ultrasonography </w:t>
      </w:r>
      <w:r w:rsidR="0012383F">
        <w:rPr>
          <w:rFonts w:ascii="Times New Roman" w:hAnsi="Times New Roman" w:cs="Times New Roman"/>
          <w:noProof/>
          <w:sz w:val="28"/>
          <w:szCs w:val="24"/>
          <w:lang w:val="en-US"/>
        </w:rPr>
        <w:t>,</w:t>
      </w:r>
      <w:r w:rsidR="0012383F" w:rsidRPr="00CB7B67">
        <w:rPr>
          <w:rFonts w:ascii="Times New Roman" w:hAnsi="Times New Roman" w:cs="Times New Roman"/>
          <w:noProof/>
          <w:sz w:val="28"/>
          <w:szCs w:val="24"/>
          <w:lang w:val="en-US"/>
        </w:rPr>
        <w:t xml:space="preserve"> Doppler Study to Predict Uterine Receptivity in Infertile Patients Undergoing Embryo Transfer</w:t>
      </w:r>
      <w:r w:rsidR="0012383F" w:rsidRPr="00133F74">
        <w:rPr>
          <w:rFonts w:ascii="Times New Roman" w:hAnsi="Times New Roman" w:cs="Times New Roman"/>
          <w:noProof/>
          <w:sz w:val="28"/>
          <w:szCs w:val="24"/>
          <w:lang w:val="en-US"/>
        </w:rPr>
        <w:t xml:space="preserve"> /</w:t>
      </w:r>
      <w:r w:rsidR="0012383F" w:rsidRPr="006A696A">
        <w:rPr>
          <w:rFonts w:ascii="Times New Roman" w:hAnsi="Times New Roman" w:cs="Times New Roman"/>
          <w:i/>
          <w:noProof/>
          <w:sz w:val="28"/>
          <w:szCs w:val="24"/>
          <w:lang w:val="en-US"/>
        </w:rPr>
        <w:t xml:space="preserve">/ </w:t>
      </w:r>
      <w:r w:rsidR="0012383F" w:rsidRPr="006A696A">
        <w:rPr>
          <w:rFonts w:ascii="Times New Roman" w:hAnsi="Times New Roman" w:cs="Times New Roman"/>
          <w:i/>
          <w:iCs/>
          <w:noProof/>
          <w:sz w:val="28"/>
          <w:szCs w:val="24"/>
          <w:lang w:val="en-US"/>
        </w:rPr>
        <w:t>J. Obstet. Gynecol. India.</w:t>
      </w:r>
      <w:r w:rsidR="0012383F" w:rsidRPr="00133F74">
        <w:rPr>
          <w:rFonts w:ascii="Times New Roman" w:hAnsi="Times New Roman" w:cs="Times New Roman"/>
          <w:i/>
          <w:iCs/>
          <w:noProof/>
          <w:sz w:val="28"/>
          <w:szCs w:val="24"/>
          <w:lang w:val="en-US"/>
        </w:rPr>
        <w:t xml:space="preserve"> - 2016. -</w:t>
      </w:r>
      <w:r w:rsidR="0012383F" w:rsidRPr="00CB7B67">
        <w:rPr>
          <w:rFonts w:ascii="Times New Roman" w:hAnsi="Times New Roman" w:cs="Times New Roman"/>
          <w:noProof/>
          <w:sz w:val="28"/>
          <w:szCs w:val="24"/>
          <w:lang w:val="en-US"/>
        </w:rPr>
        <w:t xml:space="preserve"> </w:t>
      </w:r>
      <w:r w:rsidR="0012383F">
        <w:rPr>
          <w:rFonts w:ascii="Times New Roman" w:hAnsi="Times New Roman" w:cs="Times New Roman"/>
          <w:noProof/>
          <w:sz w:val="28"/>
          <w:szCs w:val="24"/>
          <w:lang w:val="en-US"/>
        </w:rPr>
        <w:t>Vol.</w:t>
      </w:r>
      <w:r w:rsidR="0012383F" w:rsidRPr="00CB7B67">
        <w:rPr>
          <w:rFonts w:ascii="Times New Roman" w:hAnsi="Times New Roman" w:cs="Times New Roman"/>
          <w:noProof/>
          <w:sz w:val="28"/>
          <w:szCs w:val="24"/>
          <w:lang w:val="en-US"/>
        </w:rPr>
        <w:t xml:space="preserve"> 66, </w:t>
      </w:r>
      <w:r w:rsidR="0012383F">
        <w:rPr>
          <w:rFonts w:ascii="Times New Roman" w:hAnsi="Times New Roman" w:cs="Times New Roman"/>
          <w:noProof/>
          <w:sz w:val="28"/>
          <w:szCs w:val="24"/>
          <w:lang w:val="en-US"/>
        </w:rPr>
        <w:t>№</w:t>
      </w:r>
      <w:r w:rsidR="0012383F" w:rsidRPr="00CB7B67">
        <w:rPr>
          <w:rFonts w:ascii="Times New Roman" w:hAnsi="Times New Roman" w:cs="Times New Roman"/>
          <w:noProof/>
          <w:sz w:val="28"/>
          <w:szCs w:val="24"/>
          <w:lang w:val="en-US"/>
        </w:rPr>
        <w:t>1</w:t>
      </w:r>
      <w:r w:rsidR="0012383F" w:rsidRPr="00133F74">
        <w:rPr>
          <w:rFonts w:ascii="Times New Roman" w:hAnsi="Times New Roman" w:cs="Times New Roman"/>
          <w:noProof/>
          <w:sz w:val="28"/>
          <w:szCs w:val="24"/>
          <w:lang w:val="en-US"/>
        </w:rPr>
        <w:t>.</w:t>
      </w:r>
      <w:r w:rsidR="0012383F">
        <w:rPr>
          <w:rFonts w:ascii="Times New Roman" w:hAnsi="Times New Roman" w:cs="Times New Roman"/>
          <w:noProof/>
          <w:sz w:val="28"/>
          <w:szCs w:val="24"/>
          <w:lang w:val="en-US"/>
        </w:rPr>
        <w:t>- Р.</w:t>
      </w:r>
      <w:r w:rsidR="0012383F" w:rsidRPr="00CB7B67">
        <w:rPr>
          <w:rFonts w:ascii="Times New Roman" w:hAnsi="Times New Roman" w:cs="Times New Roman"/>
          <w:noProof/>
          <w:sz w:val="28"/>
          <w:szCs w:val="24"/>
          <w:lang w:val="en-US"/>
        </w:rPr>
        <w:t>377–382</w:t>
      </w:r>
      <w:r w:rsidR="0012383F" w:rsidRPr="00133F74">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 xml:space="preserve"> doi: 10.1007/s13224-015-0742-5.</w:t>
      </w:r>
    </w:p>
    <w:p w14:paraId="56A6B352" w14:textId="4838816E" w:rsidR="008C6800" w:rsidRPr="00EF7048" w:rsidRDefault="00745BEB"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9</w:t>
      </w:r>
      <w:r w:rsidR="008C6800" w:rsidRPr="00EF7048">
        <w:rPr>
          <w:rFonts w:ascii="Times New Roman" w:hAnsi="Times New Roman" w:cs="Times New Roman"/>
          <w:noProof/>
          <w:sz w:val="28"/>
          <w:szCs w:val="24"/>
          <w:lang w:val="en-US"/>
        </w:rPr>
        <w:tab/>
      </w:r>
      <w:r w:rsidR="0012383F" w:rsidRPr="00CB7B67">
        <w:rPr>
          <w:rFonts w:ascii="Times New Roman" w:hAnsi="Times New Roman" w:cs="Times New Roman"/>
          <w:noProof/>
          <w:sz w:val="28"/>
          <w:szCs w:val="24"/>
          <w:lang w:val="en-US"/>
        </w:rPr>
        <w:t xml:space="preserve">Zhang  T. Endometrial thickness as a predictor of the reproductive outcomes in fresh </w:t>
      </w:r>
      <w:r w:rsidR="0012383F">
        <w:rPr>
          <w:rFonts w:ascii="Times New Roman" w:hAnsi="Times New Roman" w:cs="Times New Roman"/>
          <w:noProof/>
          <w:sz w:val="28"/>
          <w:szCs w:val="24"/>
          <w:lang w:val="en-US"/>
        </w:rPr>
        <w:t>,</w:t>
      </w:r>
      <w:r w:rsidR="0012383F" w:rsidRPr="00CB7B67">
        <w:rPr>
          <w:rFonts w:ascii="Times New Roman" w:hAnsi="Times New Roman" w:cs="Times New Roman"/>
          <w:noProof/>
          <w:sz w:val="28"/>
          <w:szCs w:val="24"/>
          <w:lang w:val="en-US"/>
        </w:rPr>
        <w:t xml:space="preserve"> frozen embryo transfer cycles: A retrospective cohort study of 1512 IVF cycles with morphologically good-quality blastocyst</w:t>
      </w:r>
      <w:r w:rsidR="0012383F" w:rsidRPr="00883522">
        <w:rPr>
          <w:rFonts w:ascii="Times New Roman" w:hAnsi="Times New Roman" w:cs="Times New Roman"/>
          <w:noProof/>
          <w:sz w:val="28"/>
          <w:szCs w:val="24"/>
          <w:lang w:val="en-US"/>
        </w:rPr>
        <w:t xml:space="preserve"> //</w:t>
      </w:r>
      <w:r w:rsidR="0012383F" w:rsidRPr="00CB7B67">
        <w:rPr>
          <w:rFonts w:ascii="Times New Roman" w:hAnsi="Times New Roman" w:cs="Times New Roman"/>
          <w:noProof/>
          <w:sz w:val="28"/>
          <w:szCs w:val="24"/>
          <w:lang w:val="en-US"/>
        </w:rPr>
        <w:t xml:space="preserve"> </w:t>
      </w:r>
      <w:r w:rsidR="0012383F" w:rsidRPr="006A696A">
        <w:rPr>
          <w:rFonts w:ascii="Times New Roman" w:hAnsi="Times New Roman" w:cs="Times New Roman"/>
          <w:iCs/>
          <w:noProof/>
          <w:sz w:val="28"/>
          <w:szCs w:val="24"/>
          <w:lang w:val="en-US"/>
        </w:rPr>
        <w:t>Medicine (Baltimore).</w:t>
      </w:r>
      <w:r w:rsidR="0012383F" w:rsidRPr="006A696A">
        <w:rPr>
          <w:rFonts w:ascii="Times New Roman" w:hAnsi="Times New Roman" w:cs="Times New Roman"/>
          <w:noProof/>
          <w:sz w:val="28"/>
          <w:szCs w:val="24"/>
          <w:lang w:val="en-US"/>
        </w:rPr>
        <w:t xml:space="preserve"> </w:t>
      </w:r>
      <w:r w:rsidR="0012383F" w:rsidRPr="00883522">
        <w:rPr>
          <w:rFonts w:ascii="Times New Roman" w:hAnsi="Times New Roman" w:cs="Times New Roman"/>
          <w:noProof/>
          <w:sz w:val="28"/>
          <w:szCs w:val="24"/>
          <w:lang w:val="en-US"/>
        </w:rPr>
        <w:t xml:space="preserve">- 2018. - </w:t>
      </w:r>
      <w:r w:rsidR="0012383F">
        <w:rPr>
          <w:rFonts w:ascii="Times New Roman" w:hAnsi="Times New Roman" w:cs="Times New Roman"/>
          <w:noProof/>
          <w:sz w:val="28"/>
          <w:szCs w:val="24"/>
          <w:lang w:val="en-US"/>
        </w:rPr>
        <w:t>Vol.</w:t>
      </w:r>
      <w:r w:rsidR="0012383F" w:rsidRPr="00CB7B67">
        <w:rPr>
          <w:rFonts w:ascii="Times New Roman" w:hAnsi="Times New Roman" w:cs="Times New Roman"/>
          <w:noProof/>
          <w:sz w:val="28"/>
          <w:szCs w:val="24"/>
          <w:lang w:val="en-US"/>
        </w:rPr>
        <w:t xml:space="preserve"> 97, </w:t>
      </w:r>
      <w:r w:rsidR="0012383F">
        <w:rPr>
          <w:rFonts w:ascii="Times New Roman" w:hAnsi="Times New Roman" w:cs="Times New Roman"/>
          <w:noProof/>
          <w:sz w:val="28"/>
          <w:szCs w:val="24"/>
          <w:lang w:val="en-US"/>
        </w:rPr>
        <w:t>№</w:t>
      </w:r>
      <w:r w:rsidR="0012383F" w:rsidRPr="00CB7B67">
        <w:rPr>
          <w:rFonts w:ascii="Times New Roman" w:hAnsi="Times New Roman" w:cs="Times New Roman"/>
          <w:noProof/>
          <w:sz w:val="28"/>
          <w:szCs w:val="24"/>
          <w:lang w:val="en-US"/>
        </w:rPr>
        <w:t xml:space="preserve"> 4</w:t>
      </w:r>
      <w:r w:rsidR="0012383F" w:rsidRPr="00883522">
        <w:rPr>
          <w:rFonts w:ascii="Times New Roman" w:hAnsi="Times New Roman" w:cs="Times New Roman"/>
          <w:noProof/>
          <w:sz w:val="28"/>
          <w:szCs w:val="24"/>
          <w:lang w:val="en-US"/>
        </w:rPr>
        <w:t>.</w:t>
      </w:r>
      <w:r w:rsidR="0012383F">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10.1097/MD.0000000000009689.</w:t>
      </w:r>
    </w:p>
    <w:p w14:paraId="543A3378" w14:textId="1EC93991" w:rsidR="008C6800" w:rsidRPr="006A696A" w:rsidRDefault="00745BEB" w:rsidP="006A696A">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10</w:t>
      </w:r>
      <w:r w:rsidR="008C6800" w:rsidRPr="00EF7048">
        <w:rPr>
          <w:rFonts w:ascii="Times New Roman" w:hAnsi="Times New Roman" w:cs="Times New Roman"/>
          <w:noProof/>
          <w:sz w:val="28"/>
          <w:szCs w:val="24"/>
          <w:lang w:val="en-US"/>
        </w:rPr>
        <w:tab/>
      </w:r>
      <w:r w:rsidR="006A696A" w:rsidRPr="00CB7B67">
        <w:rPr>
          <w:rFonts w:ascii="Times New Roman" w:hAnsi="Times New Roman" w:cs="Times New Roman"/>
          <w:noProof/>
          <w:sz w:val="28"/>
          <w:szCs w:val="24"/>
          <w:lang w:val="en-US"/>
        </w:rPr>
        <w:t xml:space="preserve">Ribeiro  V.C. Should we continue to measure endometrial thickness in modern-day medicine? The effect on live birth rates </w:t>
      </w:r>
      <w:r w:rsidR="006A696A">
        <w:rPr>
          <w:rFonts w:ascii="Times New Roman" w:hAnsi="Times New Roman" w:cs="Times New Roman"/>
          <w:noProof/>
          <w:sz w:val="28"/>
          <w:szCs w:val="24"/>
          <w:lang w:val="en-US"/>
        </w:rPr>
        <w:t>and</w:t>
      </w:r>
      <w:r w:rsidR="006A696A" w:rsidRPr="00CB7B67">
        <w:rPr>
          <w:rFonts w:ascii="Times New Roman" w:hAnsi="Times New Roman" w:cs="Times New Roman"/>
          <w:noProof/>
          <w:sz w:val="28"/>
          <w:szCs w:val="24"/>
          <w:lang w:val="en-US"/>
        </w:rPr>
        <w:t xml:space="preserve"> birth weight</w:t>
      </w:r>
      <w:r w:rsidR="006A696A">
        <w:rPr>
          <w:rFonts w:ascii="Times New Roman" w:hAnsi="Times New Roman" w:cs="Times New Roman"/>
          <w:noProof/>
          <w:sz w:val="28"/>
          <w:szCs w:val="24"/>
          <w:lang w:val="kk-KZ"/>
        </w:rPr>
        <w:t xml:space="preserve"> //</w:t>
      </w:r>
      <w:r w:rsidR="006A696A" w:rsidRPr="00CB7B67">
        <w:rPr>
          <w:rFonts w:ascii="Times New Roman" w:hAnsi="Times New Roman" w:cs="Times New Roman"/>
          <w:noProof/>
          <w:sz w:val="28"/>
          <w:szCs w:val="24"/>
          <w:lang w:val="en-US"/>
        </w:rPr>
        <w:t xml:space="preserve"> </w:t>
      </w:r>
      <w:r w:rsidR="006A696A" w:rsidRPr="006A696A">
        <w:rPr>
          <w:rFonts w:ascii="Times New Roman" w:hAnsi="Times New Roman" w:cs="Times New Roman"/>
          <w:iCs/>
          <w:noProof/>
          <w:sz w:val="28"/>
          <w:szCs w:val="24"/>
          <w:lang w:val="en-US"/>
        </w:rPr>
        <w:t>Reprod. Biomed. Online</w:t>
      </w:r>
      <w:r w:rsidR="006A696A" w:rsidRPr="006A696A">
        <w:rPr>
          <w:rFonts w:ascii="Times New Roman" w:hAnsi="Times New Roman" w:cs="Times New Roman"/>
          <w:noProof/>
          <w:sz w:val="28"/>
          <w:szCs w:val="24"/>
          <w:lang w:val="kk-KZ"/>
        </w:rPr>
        <w:t xml:space="preserve">. </w:t>
      </w:r>
      <w:r w:rsidR="006A696A">
        <w:rPr>
          <w:rFonts w:ascii="Times New Roman" w:hAnsi="Times New Roman" w:cs="Times New Roman"/>
          <w:noProof/>
          <w:sz w:val="28"/>
          <w:szCs w:val="24"/>
          <w:lang w:val="kk-KZ"/>
        </w:rPr>
        <w:t>- 2018. -</w:t>
      </w:r>
      <w:r w:rsidR="006A696A" w:rsidRPr="00CB7B67">
        <w:rPr>
          <w:rFonts w:ascii="Times New Roman" w:hAnsi="Times New Roman" w:cs="Times New Roman"/>
          <w:noProof/>
          <w:sz w:val="28"/>
          <w:szCs w:val="24"/>
          <w:lang w:val="en-US"/>
        </w:rPr>
        <w:t xml:space="preserve"> </w:t>
      </w:r>
      <w:r w:rsidR="006A696A">
        <w:rPr>
          <w:rFonts w:ascii="Times New Roman" w:hAnsi="Times New Roman" w:cs="Times New Roman"/>
          <w:noProof/>
          <w:sz w:val="28"/>
          <w:szCs w:val="24"/>
          <w:lang w:val="en-US"/>
        </w:rPr>
        <w:t>Vol.</w:t>
      </w:r>
      <w:r w:rsidR="006A696A" w:rsidRPr="00CB7B67">
        <w:rPr>
          <w:rFonts w:ascii="Times New Roman" w:hAnsi="Times New Roman" w:cs="Times New Roman"/>
          <w:noProof/>
          <w:sz w:val="28"/>
          <w:szCs w:val="24"/>
          <w:lang w:val="en-US"/>
        </w:rPr>
        <w:t xml:space="preserve"> 36, </w:t>
      </w:r>
      <w:r w:rsidR="006A696A">
        <w:rPr>
          <w:rFonts w:ascii="Times New Roman" w:hAnsi="Times New Roman" w:cs="Times New Roman"/>
          <w:noProof/>
          <w:sz w:val="28"/>
          <w:szCs w:val="24"/>
          <w:lang w:val="en-US"/>
        </w:rPr>
        <w:t>№</w:t>
      </w:r>
      <w:r w:rsidR="006A696A" w:rsidRPr="00CB7B67">
        <w:rPr>
          <w:rFonts w:ascii="Times New Roman" w:hAnsi="Times New Roman" w:cs="Times New Roman"/>
          <w:noProof/>
          <w:sz w:val="28"/>
          <w:szCs w:val="24"/>
          <w:lang w:val="en-US"/>
        </w:rPr>
        <w:t xml:space="preserve"> 4</w:t>
      </w:r>
      <w:r w:rsidR="006A696A">
        <w:rPr>
          <w:rFonts w:ascii="Times New Roman" w:hAnsi="Times New Roman" w:cs="Times New Roman"/>
          <w:noProof/>
          <w:sz w:val="28"/>
          <w:szCs w:val="24"/>
          <w:lang w:val="kk-KZ"/>
        </w:rPr>
        <w:t>.</w:t>
      </w:r>
      <w:r w:rsidR="006A696A">
        <w:rPr>
          <w:rFonts w:ascii="Times New Roman" w:hAnsi="Times New Roman" w:cs="Times New Roman"/>
          <w:noProof/>
          <w:sz w:val="28"/>
          <w:szCs w:val="24"/>
          <w:lang w:val="en-US"/>
        </w:rPr>
        <w:t>- Р.</w:t>
      </w:r>
      <w:r w:rsidR="006A696A" w:rsidRPr="00CB7B67">
        <w:rPr>
          <w:rFonts w:ascii="Times New Roman" w:hAnsi="Times New Roman" w:cs="Times New Roman"/>
          <w:noProof/>
          <w:sz w:val="28"/>
          <w:szCs w:val="24"/>
          <w:lang w:val="en-US"/>
        </w:rPr>
        <w:t>416–426.</w:t>
      </w:r>
      <w:r w:rsidR="008C6800" w:rsidRPr="00EF7048">
        <w:rPr>
          <w:rFonts w:ascii="Times New Roman" w:hAnsi="Times New Roman" w:cs="Times New Roman"/>
          <w:noProof/>
          <w:sz w:val="28"/>
          <w:szCs w:val="24"/>
          <w:lang w:val="en-US"/>
        </w:rPr>
        <w:t xml:space="preserve"> doi: 10.1016/j.rbmo.2017.12.016.</w:t>
      </w:r>
    </w:p>
    <w:p w14:paraId="57D564E6" w14:textId="1B19E857" w:rsidR="008C6800" w:rsidRPr="00EF7048" w:rsidRDefault="00745BEB"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11</w:t>
      </w:r>
      <w:r w:rsidR="008C6800" w:rsidRPr="00EF7048">
        <w:rPr>
          <w:rFonts w:ascii="Times New Roman" w:hAnsi="Times New Roman" w:cs="Times New Roman"/>
          <w:noProof/>
          <w:sz w:val="28"/>
          <w:szCs w:val="24"/>
          <w:lang w:val="en-US"/>
        </w:rPr>
        <w:tab/>
        <w:t xml:space="preserve">Danhof </w:t>
      </w:r>
      <w:r w:rsidR="006A696A" w:rsidRPr="00EF7048">
        <w:rPr>
          <w:rFonts w:ascii="Times New Roman" w:hAnsi="Times New Roman" w:cs="Times New Roman"/>
          <w:noProof/>
          <w:sz w:val="28"/>
          <w:szCs w:val="24"/>
          <w:lang w:val="en-US"/>
        </w:rPr>
        <w:t>N. A.</w:t>
      </w:r>
      <w:r w:rsidR="006A696A">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Endometrial thickness as a biomarker for ongoing pregnancy in IUI for unexplained subf</w:t>
      </w:r>
      <w:r w:rsidR="006A696A" w:rsidRPr="00EF7048">
        <w:rPr>
          <w:rFonts w:ascii="Times New Roman" w:hAnsi="Times New Roman" w:cs="Times New Roman"/>
          <w:noProof/>
          <w:sz w:val="28"/>
          <w:szCs w:val="24"/>
          <w:lang w:val="en-US"/>
        </w:rPr>
        <w:t>ertility: a secondary analysis</w:t>
      </w:r>
      <w:r w:rsidR="008C6800" w:rsidRPr="00EF7048">
        <w:rPr>
          <w:rFonts w:ascii="Times New Roman" w:hAnsi="Times New Roman" w:cs="Times New Roman"/>
          <w:noProof/>
          <w:sz w:val="28"/>
          <w:szCs w:val="24"/>
          <w:lang w:val="en-US"/>
        </w:rPr>
        <w:t xml:space="preserve"> </w:t>
      </w:r>
      <w:r w:rsidR="006A696A" w:rsidRPr="00883522">
        <w:rPr>
          <w:rFonts w:ascii="Times New Roman" w:hAnsi="Times New Roman" w:cs="Times New Roman"/>
          <w:noProof/>
          <w:sz w:val="28"/>
          <w:szCs w:val="24"/>
          <w:lang w:val="en-US"/>
        </w:rPr>
        <w:t>//</w:t>
      </w:r>
      <w:r w:rsidR="008C6800" w:rsidRPr="00EF7048">
        <w:rPr>
          <w:rFonts w:ascii="Times New Roman" w:hAnsi="Times New Roman" w:cs="Times New Roman"/>
          <w:iCs/>
          <w:noProof/>
          <w:sz w:val="28"/>
          <w:szCs w:val="24"/>
          <w:lang w:val="en-US"/>
        </w:rPr>
        <w:t>Hum. Reprod. Open</w:t>
      </w:r>
      <w:r w:rsidR="008C6800" w:rsidRPr="00EF7048">
        <w:rPr>
          <w:rFonts w:ascii="Times New Roman" w:hAnsi="Times New Roman" w:cs="Times New Roman"/>
          <w:noProof/>
          <w:sz w:val="28"/>
          <w:szCs w:val="24"/>
          <w:lang w:val="en-US"/>
        </w:rPr>
        <w:t xml:space="preserve">, </w:t>
      </w:r>
      <w:r w:rsidR="006A696A">
        <w:rPr>
          <w:rFonts w:ascii="Times New Roman" w:hAnsi="Times New Roman" w:cs="Times New Roman"/>
          <w:noProof/>
          <w:sz w:val="28"/>
          <w:szCs w:val="24"/>
          <w:lang w:val="kk-KZ"/>
        </w:rPr>
        <w:t>- 20</w:t>
      </w:r>
      <w:r w:rsidR="006A696A">
        <w:rPr>
          <w:rFonts w:ascii="Times New Roman" w:hAnsi="Times New Roman" w:cs="Times New Roman"/>
          <w:noProof/>
          <w:sz w:val="28"/>
          <w:szCs w:val="24"/>
          <w:lang w:val="en-US"/>
        </w:rPr>
        <w:t>20</w:t>
      </w:r>
      <w:r w:rsidR="006A696A">
        <w:rPr>
          <w:rFonts w:ascii="Times New Roman" w:hAnsi="Times New Roman" w:cs="Times New Roman"/>
          <w:noProof/>
          <w:sz w:val="28"/>
          <w:szCs w:val="24"/>
          <w:lang w:val="kk-KZ"/>
        </w:rPr>
        <w:t>. -</w:t>
      </w:r>
      <w:r w:rsidR="006A696A" w:rsidRPr="00CB7B67">
        <w:rPr>
          <w:rFonts w:ascii="Times New Roman" w:hAnsi="Times New Roman" w:cs="Times New Roman"/>
          <w:noProof/>
          <w:sz w:val="28"/>
          <w:szCs w:val="24"/>
          <w:lang w:val="en-US"/>
        </w:rPr>
        <w:t xml:space="preserve"> </w:t>
      </w:r>
      <w:r w:rsidR="006A696A">
        <w:rPr>
          <w:rFonts w:ascii="Times New Roman" w:hAnsi="Times New Roman" w:cs="Times New Roman"/>
          <w:noProof/>
          <w:sz w:val="28"/>
          <w:szCs w:val="24"/>
          <w:lang w:val="en-US"/>
        </w:rPr>
        <w:t>Vol.</w:t>
      </w:r>
      <w:r w:rsidR="008C6800" w:rsidRPr="00EF7048">
        <w:rPr>
          <w:rFonts w:ascii="Times New Roman" w:hAnsi="Times New Roman" w:cs="Times New Roman"/>
          <w:noProof/>
          <w:sz w:val="28"/>
          <w:szCs w:val="24"/>
          <w:lang w:val="en-US"/>
        </w:rPr>
        <w:t xml:space="preserve"> 20</w:t>
      </w:r>
      <w:r w:rsidR="00A270F3">
        <w:rPr>
          <w:rFonts w:ascii="Times New Roman" w:hAnsi="Times New Roman" w:cs="Times New Roman"/>
          <w:noProof/>
          <w:sz w:val="28"/>
          <w:szCs w:val="24"/>
          <w:lang w:val="en-US"/>
        </w:rPr>
        <w:t>20</w:t>
      </w:r>
      <w:r w:rsidR="00A270F3" w:rsidRPr="005678F1">
        <w:rPr>
          <w:rFonts w:ascii="Times New Roman" w:hAnsi="Times New Roman" w:cs="Times New Roman"/>
          <w:noProof/>
          <w:sz w:val="28"/>
          <w:szCs w:val="24"/>
          <w:lang w:val="en-US"/>
        </w:rPr>
        <w:t>.</w:t>
      </w:r>
      <w:r w:rsidR="00A270F3">
        <w:rPr>
          <w:rFonts w:ascii="Times New Roman" w:hAnsi="Times New Roman" w:cs="Times New Roman"/>
          <w:noProof/>
          <w:sz w:val="28"/>
          <w:szCs w:val="24"/>
          <w:lang w:val="en-US"/>
        </w:rPr>
        <w:t xml:space="preserve"> № 1</w:t>
      </w:r>
      <w:r w:rsidR="00A270F3" w:rsidRPr="005678F1">
        <w:rPr>
          <w:rFonts w:ascii="Times New Roman" w:hAnsi="Times New Roman" w:cs="Times New Roman"/>
          <w:noProof/>
          <w:sz w:val="28"/>
          <w:szCs w:val="24"/>
          <w:lang w:val="en-US"/>
        </w:rPr>
        <w:t>.</w:t>
      </w:r>
      <w:r w:rsidR="006A696A" w:rsidRPr="00EF7048">
        <w:rPr>
          <w:rFonts w:ascii="Times New Roman" w:hAnsi="Times New Roman" w:cs="Times New Roman"/>
          <w:noProof/>
          <w:sz w:val="28"/>
          <w:szCs w:val="24"/>
          <w:lang w:val="en-US"/>
        </w:rPr>
        <w:t xml:space="preserve"> </w:t>
      </w:r>
      <w:r w:rsidR="002F588F" w:rsidRPr="005678F1">
        <w:rPr>
          <w:rFonts w:ascii="Times New Roman" w:hAnsi="Times New Roman" w:cs="Times New Roman"/>
          <w:noProof/>
          <w:sz w:val="28"/>
          <w:szCs w:val="24"/>
          <w:lang w:val="en-US"/>
        </w:rPr>
        <w:t>-</w:t>
      </w:r>
      <w:r w:rsidR="006A696A">
        <w:rPr>
          <w:rFonts w:ascii="Times New Roman" w:hAnsi="Times New Roman" w:cs="Times New Roman"/>
          <w:noProof/>
          <w:sz w:val="28"/>
          <w:szCs w:val="24"/>
          <w:lang w:val="en-US"/>
        </w:rPr>
        <w:t>P</w:t>
      </w:r>
      <w:r w:rsidR="006A696A" w:rsidRPr="00EF7048">
        <w:rPr>
          <w:rFonts w:ascii="Times New Roman" w:hAnsi="Times New Roman" w:cs="Times New Roman"/>
          <w:noProof/>
          <w:sz w:val="28"/>
          <w:szCs w:val="24"/>
          <w:lang w:val="en-US"/>
        </w:rPr>
        <w:t>. 1–6</w:t>
      </w:r>
      <w:r w:rsidR="006A696A">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 xml:space="preserve"> doi: 10.1093/hropen/hoz024.</w:t>
      </w:r>
    </w:p>
    <w:p w14:paraId="308CB162" w14:textId="46CFA50C" w:rsidR="008C6800" w:rsidRPr="00EF7048" w:rsidRDefault="00745BEB"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12</w:t>
      </w:r>
      <w:r w:rsidR="008C6800" w:rsidRPr="00EF7048">
        <w:rPr>
          <w:rFonts w:ascii="Times New Roman" w:hAnsi="Times New Roman" w:cs="Times New Roman"/>
          <w:noProof/>
          <w:sz w:val="28"/>
          <w:szCs w:val="24"/>
          <w:lang w:val="en-US"/>
        </w:rPr>
        <w:tab/>
      </w:r>
      <w:r w:rsidR="00DF7316" w:rsidRPr="00CB7B67">
        <w:rPr>
          <w:rFonts w:ascii="Times New Roman" w:hAnsi="Times New Roman" w:cs="Times New Roman"/>
          <w:noProof/>
          <w:sz w:val="28"/>
          <w:szCs w:val="24"/>
          <w:lang w:val="en-US"/>
        </w:rPr>
        <w:t>Albayrak  İ. G. Endometrial gene expression profiling of recurrent implantation failure after in vitro fertilization</w:t>
      </w:r>
      <w:r w:rsidR="00DF7316">
        <w:rPr>
          <w:rFonts w:ascii="Times New Roman" w:hAnsi="Times New Roman" w:cs="Times New Roman"/>
          <w:noProof/>
          <w:sz w:val="28"/>
          <w:szCs w:val="24"/>
          <w:lang w:val="kk-KZ"/>
        </w:rPr>
        <w:t xml:space="preserve"> //</w:t>
      </w:r>
      <w:r w:rsidR="00DF7316" w:rsidRPr="00CB7B67">
        <w:rPr>
          <w:rFonts w:ascii="Times New Roman" w:hAnsi="Times New Roman" w:cs="Times New Roman"/>
          <w:noProof/>
          <w:sz w:val="28"/>
          <w:szCs w:val="24"/>
          <w:lang w:val="en-US"/>
        </w:rPr>
        <w:t xml:space="preserve"> </w:t>
      </w:r>
      <w:r w:rsidR="00DF7316" w:rsidRPr="00CB7B67">
        <w:rPr>
          <w:rFonts w:ascii="Times New Roman" w:hAnsi="Times New Roman" w:cs="Times New Roman"/>
          <w:i/>
          <w:iCs/>
          <w:noProof/>
          <w:sz w:val="28"/>
          <w:szCs w:val="24"/>
          <w:lang w:val="en-US"/>
        </w:rPr>
        <w:t>Mol. Biol. Rep.</w:t>
      </w:r>
      <w:r w:rsidR="00DF7316">
        <w:rPr>
          <w:rFonts w:ascii="Times New Roman" w:hAnsi="Times New Roman" w:cs="Times New Roman"/>
          <w:i/>
          <w:iCs/>
          <w:noProof/>
          <w:sz w:val="28"/>
          <w:szCs w:val="24"/>
          <w:lang w:val="kk-KZ"/>
        </w:rPr>
        <w:t xml:space="preserve"> -</w:t>
      </w:r>
      <w:r w:rsidR="00DF7316" w:rsidRPr="00CB7B67">
        <w:rPr>
          <w:rFonts w:ascii="Times New Roman" w:hAnsi="Times New Roman" w:cs="Times New Roman"/>
          <w:noProof/>
          <w:sz w:val="28"/>
          <w:szCs w:val="24"/>
          <w:lang w:val="en-US"/>
        </w:rPr>
        <w:t xml:space="preserve">  2021</w:t>
      </w:r>
      <w:r w:rsidR="00DF7316">
        <w:rPr>
          <w:rFonts w:ascii="Times New Roman" w:hAnsi="Times New Roman" w:cs="Times New Roman"/>
          <w:noProof/>
          <w:sz w:val="28"/>
          <w:szCs w:val="24"/>
          <w:lang w:val="kk-KZ"/>
        </w:rPr>
        <w:t>. -</w:t>
      </w:r>
      <w:r w:rsidR="00DF7316">
        <w:rPr>
          <w:rFonts w:ascii="Times New Roman" w:hAnsi="Times New Roman" w:cs="Times New Roman"/>
          <w:noProof/>
          <w:sz w:val="28"/>
          <w:szCs w:val="24"/>
          <w:lang w:val="en-US"/>
        </w:rPr>
        <w:t>Vol.</w:t>
      </w:r>
      <w:r w:rsidR="00DF7316" w:rsidRPr="00CB7B67">
        <w:rPr>
          <w:rFonts w:ascii="Times New Roman" w:hAnsi="Times New Roman" w:cs="Times New Roman"/>
          <w:noProof/>
          <w:sz w:val="28"/>
          <w:szCs w:val="24"/>
          <w:lang w:val="en-US"/>
        </w:rPr>
        <w:t xml:space="preserve"> 48, </w:t>
      </w:r>
      <w:r w:rsidR="00DF7316">
        <w:rPr>
          <w:rFonts w:ascii="Times New Roman" w:hAnsi="Times New Roman" w:cs="Times New Roman"/>
          <w:noProof/>
          <w:sz w:val="28"/>
          <w:szCs w:val="24"/>
          <w:lang w:val="en-US"/>
        </w:rPr>
        <w:t>№</w:t>
      </w:r>
      <w:r w:rsidR="00DF7316" w:rsidRPr="00CB7B67">
        <w:rPr>
          <w:rFonts w:ascii="Times New Roman" w:hAnsi="Times New Roman" w:cs="Times New Roman"/>
          <w:noProof/>
          <w:sz w:val="28"/>
          <w:szCs w:val="24"/>
          <w:lang w:val="en-US"/>
        </w:rPr>
        <w:t>6</w:t>
      </w:r>
      <w:r w:rsidR="00DF7316">
        <w:rPr>
          <w:rFonts w:ascii="Times New Roman" w:hAnsi="Times New Roman" w:cs="Times New Roman"/>
          <w:noProof/>
          <w:sz w:val="28"/>
          <w:szCs w:val="24"/>
          <w:lang w:val="kk-KZ"/>
        </w:rPr>
        <w:t xml:space="preserve">. </w:t>
      </w:r>
      <w:r w:rsidR="00DF7316">
        <w:rPr>
          <w:rFonts w:ascii="Times New Roman" w:hAnsi="Times New Roman" w:cs="Times New Roman"/>
          <w:noProof/>
          <w:sz w:val="28"/>
          <w:szCs w:val="24"/>
          <w:lang w:val="en-US"/>
        </w:rPr>
        <w:t>- Р.</w:t>
      </w:r>
      <w:r w:rsidR="00DF7316" w:rsidRPr="00CB7B67">
        <w:rPr>
          <w:rFonts w:ascii="Times New Roman" w:hAnsi="Times New Roman" w:cs="Times New Roman"/>
          <w:noProof/>
          <w:sz w:val="28"/>
          <w:szCs w:val="24"/>
          <w:lang w:val="en-US"/>
        </w:rPr>
        <w:t>5075–5082</w:t>
      </w:r>
      <w:r w:rsidR="00DF7316">
        <w:rPr>
          <w:rFonts w:ascii="Times New Roman" w:hAnsi="Times New Roman" w:cs="Times New Roman"/>
          <w:noProof/>
          <w:sz w:val="28"/>
          <w:szCs w:val="24"/>
          <w:lang w:val="kk-KZ"/>
        </w:rPr>
        <w:t>.</w:t>
      </w:r>
      <w:r w:rsidR="008C6800" w:rsidRPr="00EF7048">
        <w:rPr>
          <w:rFonts w:ascii="Times New Roman" w:hAnsi="Times New Roman" w:cs="Times New Roman"/>
          <w:noProof/>
          <w:sz w:val="28"/>
          <w:szCs w:val="24"/>
          <w:lang w:val="en-US"/>
        </w:rPr>
        <w:t xml:space="preserve"> doi: 10.1007/s11033-021-06502-x.</w:t>
      </w:r>
    </w:p>
    <w:p w14:paraId="207DD0AC" w14:textId="0BEDAE7B" w:rsidR="008C6800" w:rsidRPr="00EF7048" w:rsidRDefault="00745BEB"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13</w:t>
      </w:r>
      <w:r w:rsidR="008C6800" w:rsidRPr="00EF7048">
        <w:rPr>
          <w:rFonts w:ascii="Times New Roman" w:hAnsi="Times New Roman" w:cs="Times New Roman"/>
          <w:noProof/>
          <w:sz w:val="28"/>
          <w:szCs w:val="24"/>
          <w:lang w:val="en-US"/>
        </w:rPr>
        <w:tab/>
      </w:r>
      <w:r w:rsidR="00DF7316" w:rsidRPr="00CB7B67">
        <w:rPr>
          <w:rFonts w:ascii="Times New Roman" w:hAnsi="Times New Roman" w:cs="Times New Roman"/>
          <w:noProof/>
          <w:sz w:val="28"/>
          <w:szCs w:val="24"/>
          <w:lang w:val="en-US"/>
        </w:rPr>
        <w:t>Seshadri S.</w:t>
      </w:r>
      <w:r w:rsidR="00DF7316">
        <w:rPr>
          <w:rFonts w:ascii="Times New Roman" w:hAnsi="Times New Roman" w:cs="Times New Roman"/>
          <w:noProof/>
          <w:sz w:val="28"/>
          <w:szCs w:val="24"/>
          <w:lang w:val="en-US"/>
        </w:rPr>
        <w:t>,</w:t>
      </w:r>
      <w:r w:rsidR="00DF7316" w:rsidRPr="00CB7B67">
        <w:rPr>
          <w:rFonts w:ascii="Times New Roman" w:hAnsi="Times New Roman" w:cs="Times New Roman"/>
          <w:noProof/>
          <w:sz w:val="28"/>
          <w:szCs w:val="24"/>
          <w:lang w:val="en-US"/>
        </w:rPr>
        <w:t xml:space="preserve"> K.</w:t>
      </w:r>
      <w:r w:rsidR="00DF7316" w:rsidRPr="00133F74">
        <w:rPr>
          <w:rFonts w:ascii="Times New Roman" w:hAnsi="Times New Roman" w:cs="Times New Roman"/>
          <w:noProof/>
          <w:sz w:val="28"/>
          <w:szCs w:val="24"/>
          <w:lang w:val="en-US"/>
        </w:rPr>
        <w:t xml:space="preserve"> </w:t>
      </w:r>
      <w:r w:rsidR="00DF7316" w:rsidRPr="00CB7B67">
        <w:rPr>
          <w:rFonts w:ascii="Times New Roman" w:hAnsi="Times New Roman" w:cs="Times New Roman"/>
          <w:noProof/>
          <w:sz w:val="28"/>
          <w:szCs w:val="24"/>
          <w:lang w:val="en-US"/>
        </w:rPr>
        <w:t>S. Sunkara</w:t>
      </w:r>
      <w:r w:rsidR="00DF7316" w:rsidRPr="00133F74">
        <w:rPr>
          <w:rFonts w:ascii="Times New Roman" w:hAnsi="Times New Roman" w:cs="Times New Roman"/>
          <w:noProof/>
          <w:sz w:val="28"/>
          <w:szCs w:val="24"/>
          <w:lang w:val="en-US"/>
        </w:rPr>
        <w:t xml:space="preserve"> </w:t>
      </w:r>
      <w:r w:rsidR="00DF7316" w:rsidRPr="00CB7B67">
        <w:rPr>
          <w:rFonts w:ascii="Times New Roman" w:hAnsi="Times New Roman" w:cs="Times New Roman"/>
          <w:noProof/>
          <w:sz w:val="28"/>
          <w:szCs w:val="24"/>
          <w:lang w:val="en-US"/>
        </w:rPr>
        <w:t xml:space="preserve">Natural killer cells in female infertility </w:t>
      </w:r>
      <w:r w:rsidR="00DF7316">
        <w:rPr>
          <w:rFonts w:ascii="Times New Roman" w:hAnsi="Times New Roman" w:cs="Times New Roman"/>
          <w:noProof/>
          <w:sz w:val="28"/>
          <w:szCs w:val="24"/>
          <w:lang w:val="en-US"/>
        </w:rPr>
        <w:t>,</w:t>
      </w:r>
      <w:r w:rsidR="00DF7316" w:rsidRPr="00CB7B67">
        <w:rPr>
          <w:rFonts w:ascii="Times New Roman" w:hAnsi="Times New Roman" w:cs="Times New Roman"/>
          <w:noProof/>
          <w:sz w:val="28"/>
          <w:szCs w:val="24"/>
          <w:lang w:val="en-US"/>
        </w:rPr>
        <w:t xml:space="preserve"> recurrent miscarriage: A systematic review </w:t>
      </w:r>
      <w:r w:rsidR="00DF7316">
        <w:rPr>
          <w:rFonts w:ascii="Times New Roman" w:hAnsi="Times New Roman" w:cs="Times New Roman"/>
          <w:noProof/>
          <w:sz w:val="28"/>
          <w:szCs w:val="24"/>
          <w:lang w:val="en-US"/>
        </w:rPr>
        <w:t>,</w:t>
      </w:r>
      <w:r w:rsidR="00DF7316" w:rsidRPr="00CB7B67">
        <w:rPr>
          <w:rFonts w:ascii="Times New Roman" w:hAnsi="Times New Roman" w:cs="Times New Roman"/>
          <w:noProof/>
          <w:sz w:val="28"/>
          <w:szCs w:val="24"/>
          <w:lang w:val="en-US"/>
        </w:rPr>
        <w:t xml:space="preserve"> meta-analysis</w:t>
      </w:r>
      <w:r w:rsidR="00DF7316" w:rsidRPr="00133F74">
        <w:rPr>
          <w:rFonts w:ascii="Times New Roman" w:hAnsi="Times New Roman" w:cs="Times New Roman"/>
          <w:noProof/>
          <w:sz w:val="28"/>
          <w:szCs w:val="24"/>
          <w:lang w:val="en-US"/>
        </w:rPr>
        <w:t xml:space="preserve"> //</w:t>
      </w:r>
      <w:r w:rsidR="00DF7316" w:rsidRPr="00CB7B67">
        <w:rPr>
          <w:rFonts w:ascii="Times New Roman" w:hAnsi="Times New Roman" w:cs="Times New Roman"/>
          <w:noProof/>
          <w:sz w:val="28"/>
          <w:szCs w:val="24"/>
          <w:lang w:val="en-US"/>
        </w:rPr>
        <w:t xml:space="preserve"> </w:t>
      </w:r>
      <w:r w:rsidR="00DF7316" w:rsidRPr="00CB7B67">
        <w:rPr>
          <w:rFonts w:ascii="Times New Roman" w:hAnsi="Times New Roman" w:cs="Times New Roman"/>
          <w:i/>
          <w:iCs/>
          <w:noProof/>
          <w:sz w:val="28"/>
          <w:szCs w:val="24"/>
          <w:lang w:val="en-US"/>
        </w:rPr>
        <w:t>Hum. Reprod</w:t>
      </w:r>
      <w:r w:rsidR="00DF7316" w:rsidRPr="00EF7048">
        <w:rPr>
          <w:rFonts w:ascii="Times New Roman" w:hAnsi="Times New Roman" w:cs="Times New Roman"/>
          <w:i/>
          <w:iCs/>
          <w:noProof/>
          <w:sz w:val="28"/>
          <w:szCs w:val="24"/>
          <w:lang w:val="en-US"/>
        </w:rPr>
        <w:t xml:space="preserve">. </w:t>
      </w:r>
      <w:r w:rsidR="00DF7316" w:rsidRPr="00CB7B67">
        <w:rPr>
          <w:rFonts w:ascii="Times New Roman" w:hAnsi="Times New Roman" w:cs="Times New Roman"/>
          <w:i/>
          <w:iCs/>
          <w:noProof/>
          <w:sz w:val="28"/>
          <w:szCs w:val="24"/>
          <w:lang w:val="en-US"/>
        </w:rPr>
        <w:t>Update</w:t>
      </w:r>
      <w:r w:rsidR="00DF7316" w:rsidRPr="00EF7048">
        <w:rPr>
          <w:rFonts w:ascii="Times New Roman" w:hAnsi="Times New Roman" w:cs="Times New Roman"/>
          <w:noProof/>
          <w:sz w:val="28"/>
          <w:szCs w:val="24"/>
          <w:lang w:val="en-US"/>
        </w:rPr>
        <w:t xml:space="preserve">. - 2014. - </w:t>
      </w:r>
      <w:r w:rsidR="00DF7316">
        <w:rPr>
          <w:rFonts w:ascii="Times New Roman" w:hAnsi="Times New Roman" w:cs="Times New Roman"/>
          <w:noProof/>
          <w:sz w:val="28"/>
          <w:szCs w:val="24"/>
          <w:lang w:val="en-US"/>
        </w:rPr>
        <w:t>Vol</w:t>
      </w:r>
      <w:r w:rsidR="00DF7316" w:rsidRPr="00EF7048">
        <w:rPr>
          <w:rFonts w:ascii="Times New Roman" w:hAnsi="Times New Roman" w:cs="Times New Roman"/>
          <w:noProof/>
          <w:sz w:val="28"/>
          <w:szCs w:val="24"/>
          <w:lang w:val="en-US"/>
        </w:rPr>
        <w:t xml:space="preserve">. 20, № 3- </w:t>
      </w:r>
      <w:r w:rsidR="00DF7316" w:rsidRPr="00A936AB">
        <w:rPr>
          <w:rFonts w:ascii="Times New Roman" w:hAnsi="Times New Roman" w:cs="Times New Roman"/>
          <w:noProof/>
          <w:sz w:val="28"/>
          <w:szCs w:val="24"/>
        </w:rPr>
        <w:t>Р</w:t>
      </w:r>
      <w:r w:rsidR="00DF7316" w:rsidRPr="00EF7048">
        <w:rPr>
          <w:rFonts w:ascii="Times New Roman" w:hAnsi="Times New Roman" w:cs="Times New Roman"/>
          <w:noProof/>
          <w:sz w:val="28"/>
          <w:szCs w:val="24"/>
          <w:lang w:val="en-US"/>
        </w:rPr>
        <w:t>.429–438.</w:t>
      </w:r>
      <w:r w:rsidR="008C6800" w:rsidRPr="00EF7048">
        <w:rPr>
          <w:rFonts w:ascii="Times New Roman" w:hAnsi="Times New Roman" w:cs="Times New Roman"/>
          <w:noProof/>
          <w:sz w:val="28"/>
          <w:szCs w:val="24"/>
          <w:lang w:val="en-US"/>
        </w:rPr>
        <w:t xml:space="preserve"> doi: 10.1093/humupd/dmt056.</w:t>
      </w:r>
    </w:p>
    <w:p w14:paraId="15BB28AF" w14:textId="79D9F5FC" w:rsidR="008C6800" w:rsidRPr="00EF7048" w:rsidRDefault="00745BEB" w:rsidP="00745B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14</w:t>
      </w:r>
      <w:r w:rsidR="008C6800" w:rsidRPr="00EF7048">
        <w:rPr>
          <w:rFonts w:ascii="Times New Roman" w:hAnsi="Times New Roman" w:cs="Times New Roman"/>
          <w:noProof/>
          <w:sz w:val="28"/>
          <w:szCs w:val="24"/>
          <w:lang w:val="en-US"/>
        </w:rPr>
        <w:tab/>
        <w:t>Goodman</w:t>
      </w:r>
      <w:r w:rsidR="00091951">
        <w:rPr>
          <w:rFonts w:ascii="Times New Roman" w:hAnsi="Times New Roman" w:cs="Times New Roman"/>
          <w:noProof/>
          <w:sz w:val="28"/>
          <w:szCs w:val="24"/>
          <w:lang w:val="en-US"/>
        </w:rPr>
        <w:t xml:space="preserve"> </w:t>
      </w:r>
      <w:r w:rsidR="00091951" w:rsidRPr="00EF7048">
        <w:rPr>
          <w:rFonts w:ascii="Times New Roman" w:hAnsi="Times New Roman" w:cs="Times New Roman"/>
          <w:noProof/>
          <w:sz w:val="28"/>
          <w:szCs w:val="24"/>
          <w:lang w:val="en-US"/>
        </w:rPr>
        <w:t>C.</w:t>
      </w:r>
      <w:r w:rsidR="008C6800" w:rsidRPr="00EF7048">
        <w:rPr>
          <w:rFonts w:ascii="Times New Roman" w:hAnsi="Times New Roman" w:cs="Times New Roman"/>
          <w:noProof/>
          <w:sz w:val="28"/>
          <w:szCs w:val="24"/>
          <w:lang w:val="en-US"/>
        </w:rPr>
        <w:t>, Jeyendran</w:t>
      </w:r>
      <w:r w:rsidR="00091951">
        <w:rPr>
          <w:rFonts w:ascii="Times New Roman" w:hAnsi="Times New Roman" w:cs="Times New Roman"/>
          <w:noProof/>
          <w:sz w:val="28"/>
          <w:szCs w:val="24"/>
          <w:lang w:val="en-US"/>
        </w:rPr>
        <w:t xml:space="preserve"> </w:t>
      </w:r>
      <w:r w:rsidR="00091951" w:rsidRPr="00EF7048">
        <w:rPr>
          <w:rFonts w:ascii="Times New Roman" w:hAnsi="Times New Roman" w:cs="Times New Roman"/>
          <w:noProof/>
          <w:sz w:val="28"/>
          <w:szCs w:val="24"/>
          <w:lang w:val="en-US"/>
        </w:rPr>
        <w:t>R. S.</w:t>
      </w:r>
      <w:r w:rsidR="008C6800" w:rsidRPr="00EF7048">
        <w:rPr>
          <w:rFonts w:ascii="Times New Roman" w:hAnsi="Times New Roman" w:cs="Times New Roman"/>
          <w:noProof/>
          <w:sz w:val="28"/>
          <w:szCs w:val="24"/>
          <w:lang w:val="en-US"/>
        </w:rPr>
        <w:t>, Coulam</w:t>
      </w:r>
      <w:r w:rsidR="00091951">
        <w:rPr>
          <w:rFonts w:ascii="Times New Roman" w:hAnsi="Times New Roman" w:cs="Times New Roman"/>
          <w:noProof/>
          <w:sz w:val="28"/>
          <w:szCs w:val="24"/>
          <w:lang w:val="en-US"/>
        </w:rPr>
        <w:t xml:space="preserve"> </w:t>
      </w:r>
      <w:r w:rsidR="00091951" w:rsidRPr="00EF7048">
        <w:rPr>
          <w:rFonts w:ascii="Times New Roman" w:hAnsi="Times New Roman" w:cs="Times New Roman"/>
          <w:noProof/>
          <w:sz w:val="28"/>
          <w:szCs w:val="24"/>
          <w:lang w:val="en-US"/>
        </w:rPr>
        <w:t xml:space="preserve">C. B. </w:t>
      </w:r>
      <w:r w:rsidR="008C6800" w:rsidRPr="00EF7048">
        <w:rPr>
          <w:rFonts w:ascii="Times New Roman" w:hAnsi="Times New Roman" w:cs="Times New Roman"/>
          <w:noProof/>
          <w:sz w:val="28"/>
          <w:szCs w:val="24"/>
          <w:lang w:val="en-US"/>
        </w:rPr>
        <w:t xml:space="preserve">Vascular endothelial growth factor gene polymorphism and implantation failure </w:t>
      </w:r>
      <w:r w:rsidR="00091951" w:rsidRPr="00133F74">
        <w:rPr>
          <w:rFonts w:ascii="Times New Roman" w:hAnsi="Times New Roman" w:cs="Times New Roman"/>
          <w:noProof/>
          <w:sz w:val="28"/>
          <w:szCs w:val="24"/>
          <w:lang w:val="en-US"/>
        </w:rPr>
        <w:t>//</w:t>
      </w:r>
      <w:r w:rsidR="00091951"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iCs/>
          <w:noProof/>
          <w:sz w:val="28"/>
          <w:szCs w:val="24"/>
          <w:lang w:val="en-US"/>
        </w:rPr>
        <w:t>Reprod. Biomed. Online</w:t>
      </w:r>
      <w:r w:rsidR="008C6800" w:rsidRPr="00EF7048">
        <w:rPr>
          <w:rFonts w:ascii="Times New Roman" w:hAnsi="Times New Roman" w:cs="Times New Roman"/>
          <w:noProof/>
          <w:sz w:val="28"/>
          <w:szCs w:val="24"/>
          <w:lang w:val="en-US"/>
        </w:rPr>
        <w:t xml:space="preserve">, </w:t>
      </w:r>
      <w:r w:rsidR="00091951">
        <w:rPr>
          <w:rFonts w:ascii="Times New Roman" w:hAnsi="Times New Roman" w:cs="Times New Roman"/>
          <w:i/>
          <w:iCs/>
          <w:noProof/>
          <w:sz w:val="28"/>
          <w:szCs w:val="24"/>
          <w:lang w:val="kk-KZ"/>
        </w:rPr>
        <w:t>-</w:t>
      </w:r>
      <w:r w:rsidR="00091951">
        <w:rPr>
          <w:rFonts w:ascii="Times New Roman" w:hAnsi="Times New Roman" w:cs="Times New Roman"/>
          <w:noProof/>
          <w:sz w:val="28"/>
          <w:szCs w:val="24"/>
          <w:lang w:val="en-US"/>
        </w:rPr>
        <w:t xml:space="preserve">  2008</w:t>
      </w:r>
      <w:r w:rsidR="00091951">
        <w:rPr>
          <w:rFonts w:ascii="Times New Roman" w:hAnsi="Times New Roman" w:cs="Times New Roman"/>
          <w:noProof/>
          <w:sz w:val="28"/>
          <w:szCs w:val="24"/>
          <w:lang w:val="kk-KZ"/>
        </w:rPr>
        <w:t>. -</w:t>
      </w:r>
      <w:r w:rsidR="00091951">
        <w:rPr>
          <w:rFonts w:ascii="Times New Roman" w:hAnsi="Times New Roman" w:cs="Times New Roman"/>
          <w:noProof/>
          <w:sz w:val="28"/>
          <w:szCs w:val="24"/>
          <w:lang w:val="en-US"/>
        </w:rPr>
        <w:t>Vol.</w:t>
      </w:r>
      <w:r w:rsidR="008C6800" w:rsidRPr="00EF7048">
        <w:rPr>
          <w:rFonts w:ascii="Times New Roman" w:hAnsi="Times New Roman" w:cs="Times New Roman"/>
          <w:noProof/>
          <w:sz w:val="28"/>
          <w:szCs w:val="24"/>
          <w:lang w:val="en-US"/>
        </w:rPr>
        <w:t xml:space="preserve"> 16, </w:t>
      </w:r>
      <w:r w:rsidR="002F588F">
        <w:rPr>
          <w:rFonts w:ascii="Times New Roman" w:hAnsi="Times New Roman" w:cs="Times New Roman"/>
          <w:noProof/>
          <w:sz w:val="28"/>
          <w:szCs w:val="24"/>
          <w:lang w:val="en-US"/>
        </w:rPr>
        <w:t>№5</w:t>
      </w:r>
      <w:r w:rsidR="002F588F" w:rsidRPr="005678F1">
        <w:rPr>
          <w:rFonts w:ascii="Times New Roman" w:hAnsi="Times New Roman" w:cs="Times New Roman"/>
          <w:noProof/>
          <w:sz w:val="28"/>
          <w:szCs w:val="24"/>
          <w:lang w:val="en-US"/>
        </w:rPr>
        <w:t>.-</w:t>
      </w:r>
      <w:r w:rsidR="00091951" w:rsidRPr="00EF7048">
        <w:rPr>
          <w:rFonts w:ascii="Times New Roman" w:hAnsi="Times New Roman" w:cs="Times New Roman"/>
          <w:noProof/>
          <w:sz w:val="28"/>
          <w:szCs w:val="24"/>
          <w:lang w:val="en-US"/>
        </w:rPr>
        <w:t xml:space="preserve"> </w:t>
      </w:r>
      <w:r w:rsidR="00091951">
        <w:rPr>
          <w:rFonts w:ascii="Times New Roman" w:hAnsi="Times New Roman" w:cs="Times New Roman"/>
          <w:noProof/>
          <w:sz w:val="28"/>
          <w:szCs w:val="24"/>
          <w:lang w:val="en-US"/>
        </w:rPr>
        <w:t>P</w:t>
      </w:r>
      <w:r w:rsidR="00091951" w:rsidRPr="00EF7048">
        <w:rPr>
          <w:rFonts w:ascii="Times New Roman" w:hAnsi="Times New Roman" w:cs="Times New Roman"/>
          <w:noProof/>
          <w:sz w:val="28"/>
          <w:szCs w:val="24"/>
          <w:lang w:val="en-US"/>
        </w:rPr>
        <w:t>. 720–723</w:t>
      </w:r>
      <w:r w:rsidR="00091951">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10.1016/S1472-6483(10)60487-7.</w:t>
      </w:r>
    </w:p>
    <w:p w14:paraId="48147F04" w14:textId="6F4C7C23" w:rsidR="008C6800" w:rsidRPr="008C6800" w:rsidRDefault="00745BEB" w:rsidP="00745BEB">
      <w:pPr>
        <w:widowControl w:val="0"/>
        <w:autoSpaceDE w:val="0"/>
        <w:autoSpaceDN w:val="0"/>
        <w:adjustRightInd w:val="0"/>
        <w:spacing w:after="0" w:line="240" w:lineRule="auto"/>
        <w:ind w:firstLine="709"/>
        <w:rPr>
          <w:rFonts w:ascii="Times New Roman" w:hAnsi="Times New Roman" w:cs="Times New Roman"/>
          <w:noProof/>
          <w:sz w:val="28"/>
          <w:szCs w:val="24"/>
        </w:rPr>
      </w:pPr>
      <w:r w:rsidRPr="00EF7048">
        <w:rPr>
          <w:rFonts w:ascii="Times New Roman" w:hAnsi="Times New Roman" w:cs="Times New Roman"/>
          <w:noProof/>
          <w:sz w:val="28"/>
          <w:szCs w:val="24"/>
          <w:lang w:val="en-US"/>
        </w:rPr>
        <w:t>15</w:t>
      </w:r>
      <w:r w:rsidR="008C6800" w:rsidRPr="00EF7048">
        <w:rPr>
          <w:rFonts w:ascii="Times New Roman" w:hAnsi="Times New Roman" w:cs="Times New Roman"/>
          <w:noProof/>
          <w:sz w:val="28"/>
          <w:szCs w:val="24"/>
          <w:lang w:val="en-US"/>
        </w:rPr>
        <w:tab/>
      </w:r>
      <w:r w:rsidR="00091951" w:rsidRPr="00CB7B67">
        <w:rPr>
          <w:rFonts w:ascii="Times New Roman" w:hAnsi="Times New Roman" w:cs="Times New Roman"/>
          <w:noProof/>
          <w:sz w:val="28"/>
          <w:szCs w:val="24"/>
          <w:lang w:val="en-US"/>
        </w:rPr>
        <w:t>Díaz-Gimeno  P. A genomic diagnostic tool for human endometrial receptivity based on the transcriptomic signature</w:t>
      </w:r>
      <w:r w:rsidR="00091951" w:rsidRPr="007B2647">
        <w:rPr>
          <w:rFonts w:ascii="Times New Roman" w:hAnsi="Times New Roman" w:cs="Times New Roman"/>
          <w:noProof/>
          <w:sz w:val="28"/>
          <w:szCs w:val="24"/>
          <w:lang w:val="en-US"/>
        </w:rPr>
        <w:t xml:space="preserve"> //</w:t>
      </w:r>
      <w:r w:rsidR="00091951" w:rsidRPr="00CB7B67">
        <w:rPr>
          <w:rFonts w:ascii="Times New Roman" w:hAnsi="Times New Roman" w:cs="Times New Roman"/>
          <w:noProof/>
          <w:sz w:val="28"/>
          <w:szCs w:val="24"/>
          <w:lang w:val="en-US"/>
        </w:rPr>
        <w:t xml:space="preserve"> </w:t>
      </w:r>
      <w:r w:rsidR="00091951" w:rsidRPr="00CB7B67">
        <w:rPr>
          <w:rFonts w:ascii="Times New Roman" w:hAnsi="Times New Roman" w:cs="Times New Roman"/>
          <w:i/>
          <w:iCs/>
          <w:noProof/>
          <w:sz w:val="28"/>
          <w:szCs w:val="24"/>
          <w:lang w:val="en-US"/>
        </w:rPr>
        <w:t>Fertil. Steril</w:t>
      </w:r>
      <w:r w:rsidR="00091951" w:rsidRPr="00EF7048">
        <w:rPr>
          <w:rFonts w:ascii="Times New Roman" w:hAnsi="Times New Roman" w:cs="Times New Roman"/>
          <w:i/>
          <w:iCs/>
          <w:noProof/>
          <w:sz w:val="28"/>
          <w:szCs w:val="24"/>
        </w:rPr>
        <w:t>. - 2011. -</w:t>
      </w:r>
      <w:r w:rsidR="00091951" w:rsidRPr="00EF7048">
        <w:rPr>
          <w:rFonts w:ascii="Times New Roman" w:hAnsi="Times New Roman" w:cs="Times New Roman"/>
          <w:noProof/>
          <w:sz w:val="28"/>
          <w:szCs w:val="24"/>
        </w:rPr>
        <w:t xml:space="preserve"> </w:t>
      </w:r>
      <w:r w:rsidR="00091951">
        <w:rPr>
          <w:rFonts w:ascii="Times New Roman" w:hAnsi="Times New Roman" w:cs="Times New Roman"/>
          <w:noProof/>
          <w:sz w:val="28"/>
          <w:szCs w:val="24"/>
          <w:lang w:val="en-US"/>
        </w:rPr>
        <w:t>Vol</w:t>
      </w:r>
      <w:r w:rsidR="00091951" w:rsidRPr="00EF7048">
        <w:rPr>
          <w:rFonts w:ascii="Times New Roman" w:hAnsi="Times New Roman" w:cs="Times New Roman"/>
          <w:noProof/>
          <w:sz w:val="28"/>
          <w:szCs w:val="24"/>
        </w:rPr>
        <w:t>. 95, №1.- Р.50–60.</w:t>
      </w:r>
    </w:p>
    <w:p w14:paraId="4A7A7696" w14:textId="77777777" w:rsidR="00091951" w:rsidRPr="00EF7048" w:rsidRDefault="00745BEB" w:rsidP="00091951">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rPr>
        <w:t>16</w:t>
      </w:r>
      <w:r w:rsidR="008C6800" w:rsidRPr="008C6800">
        <w:rPr>
          <w:rFonts w:ascii="Times New Roman" w:hAnsi="Times New Roman" w:cs="Times New Roman"/>
          <w:noProof/>
          <w:sz w:val="28"/>
          <w:szCs w:val="24"/>
        </w:rPr>
        <w:tab/>
      </w:r>
      <w:r w:rsidR="00091951" w:rsidRPr="00431D69">
        <w:rPr>
          <w:rFonts w:ascii="Times New Roman" w:hAnsi="Times New Roman" w:cs="Times New Roman"/>
          <w:noProof/>
          <w:sz w:val="28"/>
          <w:szCs w:val="24"/>
        </w:rPr>
        <w:t>Оплодотворения</w:t>
      </w:r>
      <w:r w:rsidR="00091951" w:rsidRPr="00431C79">
        <w:rPr>
          <w:rFonts w:ascii="Times New Roman" w:hAnsi="Times New Roman" w:cs="Times New Roman"/>
          <w:noProof/>
          <w:sz w:val="28"/>
          <w:szCs w:val="24"/>
        </w:rPr>
        <w:t xml:space="preserve"> </w:t>
      </w:r>
      <w:r w:rsidR="00091951" w:rsidRPr="00431D69">
        <w:rPr>
          <w:rFonts w:ascii="Times New Roman" w:hAnsi="Times New Roman" w:cs="Times New Roman"/>
          <w:noProof/>
          <w:sz w:val="28"/>
          <w:szCs w:val="24"/>
        </w:rPr>
        <w:t>П.Э. Факторы риска и профилактика ранних потерь беременности</w:t>
      </w:r>
      <w:r w:rsidR="00091951">
        <w:rPr>
          <w:rFonts w:ascii="Times New Roman" w:hAnsi="Times New Roman" w:cs="Times New Roman"/>
          <w:noProof/>
          <w:sz w:val="28"/>
          <w:szCs w:val="24"/>
          <w:lang w:val="kk-KZ"/>
        </w:rPr>
        <w:t xml:space="preserve">.- 2016. - </w:t>
      </w:r>
      <w:r w:rsidR="00091951" w:rsidRPr="00EF7048">
        <w:rPr>
          <w:rFonts w:ascii="Times New Roman" w:hAnsi="Times New Roman" w:cs="Times New Roman"/>
          <w:noProof/>
          <w:sz w:val="28"/>
          <w:szCs w:val="24"/>
          <w:lang w:val="en-US"/>
        </w:rPr>
        <w:t xml:space="preserve"> </w:t>
      </w:r>
      <w:r w:rsidR="00091951">
        <w:rPr>
          <w:rFonts w:ascii="Times New Roman" w:hAnsi="Times New Roman" w:cs="Times New Roman"/>
          <w:noProof/>
          <w:sz w:val="28"/>
          <w:szCs w:val="24"/>
          <w:lang w:val="kk-KZ"/>
        </w:rPr>
        <w:t>С</w:t>
      </w:r>
      <w:r w:rsidR="00091951" w:rsidRPr="00EF7048">
        <w:rPr>
          <w:rFonts w:ascii="Times New Roman" w:hAnsi="Times New Roman" w:cs="Times New Roman"/>
          <w:noProof/>
          <w:sz w:val="28"/>
          <w:szCs w:val="24"/>
          <w:lang w:val="en-US"/>
        </w:rPr>
        <w:t>. 88–94.</w:t>
      </w:r>
    </w:p>
    <w:p w14:paraId="68971089" w14:textId="4D4E2199" w:rsidR="008C6800" w:rsidRPr="008C6800" w:rsidRDefault="00745BEB" w:rsidP="00745BEB">
      <w:pPr>
        <w:widowControl w:val="0"/>
        <w:autoSpaceDE w:val="0"/>
        <w:autoSpaceDN w:val="0"/>
        <w:adjustRightInd w:val="0"/>
        <w:spacing w:after="0" w:line="240" w:lineRule="auto"/>
        <w:ind w:firstLine="709"/>
        <w:rPr>
          <w:rFonts w:ascii="Times New Roman" w:hAnsi="Times New Roman" w:cs="Times New Roman"/>
          <w:noProof/>
          <w:sz w:val="28"/>
          <w:szCs w:val="24"/>
        </w:rPr>
      </w:pPr>
      <w:r w:rsidRPr="00EF7048">
        <w:rPr>
          <w:rFonts w:ascii="Times New Roman" w:hAnsi="Times New Roman" w:cs="Times New Roman"/>
          <w:noProof/>
          <w:sz w:val="28"/>
          <w:szCs w:val="24"/>
          <w:lang w:val="en-US"/>
        </w:rPr>
        <w:t>17</w:t>
      </w:r>
      <w:r w:rsidR="008C6800" w:rsidRPr="00EF7048">
        <w:rPr>
          <w:rFonts w:ascii="Times New Roman" w:hAnsi="Times New Roman" w:cs="Times New Roman"/>
          <w:noProof/>
          <w:sz w:val="28"/>
          <w:szCs w:val="24"/>
          <w:lang w:val="en-US"/>
        </w:rPr>
        <w:tab/>
      </w:r>
      <w:r w:rsidR="00091951" w:rsidRPr="00CB7B67">
        <w:rPr>
          <w:rFonts w:ascii="Times New Roman" w:hAnsi="Times New Roman" w:cs="Times New Roman"/>
          <w:noProof/>
          <w:sz w:val="28"/>
          <w:szCs w:val="24"/>
          <w:lang w:val="en-US"/>
        </w:rPr>
        <w:t>Bushmeleva N.N.</w:t>
      </w:r>
      <w:r w:rsidR="00091951">
        <w:rPr>
          <w:rFonts w:ascii="Times New Roman" w:hAnsi="Times New Roman" w:cs="Times New Roman"/>
          <w:noProof/>
          <w:sz w:val="28"/>
          <w:szCs w:val="24"/>
          <w:lang w:val="en-US"/>
        </w:rPr>
        <w:t>,</w:t>
      </w:r>
      <w:r w:rsidR="00091951" w:rsidRPr="00CB7B67">
        <w:rPr>
          <w:rFonts w:ascii="Times New Roman" w:hAnsi="Times New Roman" w:cs="Times New Roman"/>
          <w:noProof/>
          <w:sz w:val="28"/>
          <w:szCs w:val="24"/>
          <w:lang w:val="en-US"/>
        </w:rPr>
        <w:t xml:space="preserve"> Vakhrusheva</w:t>
      </w:r>
      <w:r w:rsidR="00091951" w:rsidRPr="00A936AB">
        <w:rPr>
          <w:rFonts w:ascii="Times New Roman" w:hAnsi="Times New Roman" w:cs="Times New Roman"/>
          <w:noProof/>
          <w:sz w:val="28"/>
          <w:szCs w:val="24"/>
          <w:lang w:val="en-US"/>
        </w:rPr>
        <w:t xml:space="preserve"> </w:t>
      </w:r>
      <w:r w:rsidR="00091951" w:rsidRPr="00CB7B67">
        <w:rPr>
          <w:rFonts w:ascii="Times New Roman" w:hAnsi="Times New Roman" w:cs="Times New Roman"/>
          <w:noProof/>
          <w:sz w:val="28"/>
          <w:szCs w:val="24"/>
          <w:lang w:val="en-US"/>
        </w:rPr>
        <w:t>Y.N.</w:t>
      </w:r>
      <w:r w:rsidR="00091951">
        <w:rPr>
          <w:rFonts w:ascii="Times New Roman" w:hAnsi="Times New Roman" w:cs="Times New Roman"/>
          <w:noProof/>
          <w:sz w:val="28"/>
          <w:szCs w:val="24"/>
          <w:lang w:val="kk-KZ"/>
        </w:rPr>
        <w:t xml:space="preserve"> </w:t>
      </w:r>
      <w:r w:rsidR="00091951" w:rsidRPr="00CB7B67">
        <w:rPr>
          <w:rFonts w:ascii="Times New Roman" w:hAnsi="Times New Roman" w:cs="Times New Roman"/>
          <w:noProof/>
          <w:sz w:val="28"/>
          <w:szCs w:val="24"/>
          <w:lang w:val="en-US"/>
        </w:rPr>
        <w:t>Etiopathogenetic Aspect of Early Reproductive Loss Within the Framework of Improving Organization of Care Delivery To Women (Analytical Review)</w:t>
      </w:r>
      <w:r w:rsidR="00091951">
        <w:rPr>
          <w:rFonts w:ascii="Times New Roman" w:hAnsi="Times New Roman" w:cs="Times New Roman"/>
          <w:noProof/>
          <w:sz w:val="28"/>
          <w:szCs w:val="24"/>
          <w:lang w:val="kk-KZ"/>
        </w:rPr>
        <w:t xml:space="preserve"> //</w:t>
      </w:r>
      <w:r w:rsidR="00091951" w:rsidRPr="00CB7B67">
        <w:rPr>
          <w:rFonts w:ascii="Times New Roman" w:hAnsi="Times New Roman" w:cs="Times New Roman"/>
          <w:noProof/>
          <w:sz w:val="28"/>
          <w:szCs w:val="24"/>
          <w:lang w:val="en-US"/>
        </w:rPr>
        <w:t xml:space="preserve"> </w:t>
      </w:r>
      <w:r w:rsidR="00091951" w:rsidRPr="00A936AB">
        <w:rPr>
          <w:rFonts w:ascii="Times New Roman" w:hAnsi="Times New Roman" w:cs="Times New Roman"/>
          <w:noProof/>
          <w:sz w:val="28"/>
          <w:szCs w:val="24"/>
          <w:lang w:val="en-US"/>
        </w:rPr>
        <w:t>Soc. Asp. Popul</w:t>
      </w:r>
      <w:r w:rsidR="00091951" w:rsidRPr="00EF7048">
        <w:rPr>
          <w:rFonts w:ascii="Times New Roman" w:hAnsi="Times New Roman" w:cs="Times New Roman"/>
          <w:noProof/>
          <w:sz w:val="28"/>
          <w:szCs w:val="24"/>
        </w:rPr>
        <w:t xml:space="preserve">. </w:t>
      </w:r>
      <w:r w:rsidR="00091951" w:rsidRPr="00A936AB">
        <w:rPr>
          <w:rFonts w:ascii="Times New Roman" w:hAnsi="Times New Roman" w:cs="Times New Roman"/>
          <w:noProof/>
          <w:sz w:val="28"/>
          <w:szCs w:val="24"/>
          <w:lang w:val="en-US"/>
        </w:rPr>
        <w:t>Heal</w:t>
      </w:r>
      <w:r w:rsidR="00091951" w:rsidRPr="00EF7048">
        <w:rPr>
          <w:rFonts w:ascii="Times New Roman" w:hAnsi="Times New Roman" w:cs="Times New Roman"/>
          <w:noProof/>
          <w:sz w:val="28"/>
          <w:szCs w:val="24"/>
        </w:rPr>
        <w:t>.</w:t>
      </w:r>
      <w:r w:rsidR="00091951">
        <w:rPr>
          <w:rFonts w:ascii="Times New Roman" w:hAnsi="Times New Roman" w:cs="Times New Roman"/>
          <w:noProof/>
          <w:sz w:val="28"/>
          <w:szCs w:val="24"/>
          <w:lang w:val="kk-KZ"/>
        </w:rPr>
        <w:t xml:space="preserve"> - 2020. -</w:t>
      </w:r>
      <w:r w:rsidR="00091951" w:rsidRPr="00EF7048">
        <w:rPr>
          <w:rFonts w:ascii="Times New Roman" w:hAnsi="Times New Roman" w:cs="Times New Roman"/>
          <w:noProof/>
          <w:sz w:val="28"/>
          <w:szCs w:val="24"/>
        </w:rPr>
        <w:t xml:space="preserve"> </w:t>
      </w:r>
      <w:r w:rsidR="00091951">
        <w:rPr>
          <w:rFonts w:ascii="Times New Roman" w:hAnsi="Times New Roman" w:cs="Times New Roman"/>
          <w:noProof/>
          <w:sz w:val="28"/>
          <w:szCs w:val="24"/>
          <w:lang w:val="en-US"/>
        </w:rPr>
        <w:t>Vol</w:t>
      </w:r>
      <w:r w:rsidR="00091951" w:rsidRPr="00EF7048">
        <w:rPr>
          <w:rFonts w:ascii="Times New Roman" w:hAnsi="Times New Roman" w:cs="Times New Roman"/>
          <w:noProof/>
          <w:sz w:val="28"/>
          <w:szCs w:val="24"/>
        </w:rPr>
        <w:t>. 66, №5</w:t>
      </w:r>
      <w:r w:rsidR="00091951">
        <w:rPr>
          <w:rFonts w:ascii="Times New Roman" w:hAnsi="Times New Roman" w:cs="Times New Roman"/>
          <w:noProof/>
          <w:sz w:val="28"/>
          <w:szCs w:val="24"/>
          <w:lang w:val="kk-KZ"/>
        </w:rPr>
        <w:t xml:space="preserve">. </w:t>
      </w:r>
      <w:r w:rsidR="00091951" w:rsidRPr="00EF7048">
        <w:rPr>
          <w:rFonts w:ascii="Times New Roman" w:hAnsi="Times New Roman" w:cs="Times New Roman"/>
          <w:noProof/>
          <w:sz w:val="28"/>
          <w:szCs w:val="24"/>
        </w:rPr>
        <w:t xml:space="preserve">- </w:t>
      </w:r>
      <w:r w:rsidR="00091951">
        <w:rPr>
          <w:rFonts w:ascii="Times New Roman" w:hAnsi="Times New Roman" w:cs="Times New Roman"/>
          <w:noProof/>
          <w:sz w:val="28"/>
          <w:szCs w:val="24"/>
          <w:lang w:val="kk-KZ"/>
        </w:rPr>
        <w:t>6 р.</w:t>
      </w:r>
      <w:r w:rsidR="00091951" w:rsidRPr="00EF7048">
        <w:rPr>
          <w:rFonts w:ascii="Times New Roman" w:hAnsi="Times New Roman" w:cs="Times New Roman"/>
          <w:noProof/>
          <w:sz w:val="28"/>
          <w:szCs w:val="24"/>
        </w:rPr>
        <w:t xml:space="preserve"> </w:t>
      </w:r>
      <w:r w:rsidR="008C6800" w:rsidRPr="008C6800">
        <w:rPr>
          <w:rFonts w:ascii="Times New Roman" w:hAnsi="Times New Roman" w:cs="Times New Roman"/>
          <w:noProof/>
          <w:sz w:val="28"/>
          <w:szCs w:val="24"/>
        </w:rPr>
        <w:t xml:space="preserve"> doi: 10.21045/2071-5021-2020-66-5-6.</w:t>
      </w:r>
    </w:p>
    <w:p w14:paraId="066257D3" w14:textId="00B2D556" w:rsidR="008C6800" w:rsidRPr="008C6800" w:rsidRDefault="00745BEB" w:rsidP="00745BEB">
      <w:pPr>
        <w:widowControl w:val="0"/>
        <w:autoSpaceDE w:val="0"/>
        <w:autoSpaceDN w:val="0"/>
        <w:adjustRightInd w:val="0"/>
        <w:spacing w:after="0" w:line="240" w:lineRule="auto"/>
        <w:rPr>
          <w:rFonts w:ascii="Times New Roman" w:hAnsi="Times New Roman" w:cs="Times New Roman"/>
          <w:noProof/>
          <w:sz w:val="28"/>
          <w:szCs w:val="24"/>
        </w:rPr>
      </w:pPr>
      <w:r>
        <w:rPr>
          <w:rFonts w:ascii="Times New Roman" w:hAnsi="Times New Roman" w:cs="Times New Roman"/>
          <w:noProof/>
          <w:sz w:val="28"/>
          <w:szCs w:val="24"/>
        </w:rPr>
        <w:t>18</w:t>
      </w:r>
      <w:r w:rsidR="008C6800" w:rsidRPr="008C6800">
        <w:rPr>
          <w:rFonts w:ascii="Times New Roman" w:hAnsi="Times New Roman" w:cs="Times New Roman"/>
          <w:noProof/>
          <w:sz w:val="28"/>
          <w:szCs w:val="24"/>
        </w:rPr>
        <w:tab/>
      </w:r>
      <w:r w:rsidR="00091951" w:rsidRPr="00431D69">
        <w:rPr>
          <w:rFonts w:ascii="Times New Roman" w:hAnsi="Times New Roman" w:cs="Times New Roman"/>
          <w:noProof/>
          <w:sz w:val="28"/>
          <w:szCs w:val="24"/>
        </w:rPr>
        <w:t xml:space="preserve">Локшин В.Н.  Вспомогательные </w:t>
      </w:r>
      <w:r w:rsidR="00091951">
        <w:rPr>
          <w:rFonts w:ascii="Times New Roman" w:hAnsi="Times New Roman" w:cs="Times New Roman"/>
          <w:noProof/>
          <w:sz w:val="28"/>
          <w:szCs w:val="24"/>
          <w:lang w:val="kk-KZ"/>
        </w:rPr>
        <w:t>р</w:t>
      </w:r>
      <w:r w:rsidR="00091951" w:rsidRPr="00431D69">
        <w:rPr>
          <w:rFonts w:ascii="Times New Roman" w:hAnsi="Times New Roman" w:cs="Times New Roman"/>
          <w:noProof/>
          <w:sz w:val="28"/>
          <w:szCs w:val="24"/>
        </w:rPr>
        <w:t xml:space="preserve">епродуктивные </w:t>
      </w:r>
      <w:r w:rsidR="00091951">
        <w:rPr>
          <w:rFonts w:ascii="Times New Roman" w:hAnsi="Times New Roman" w:cs="Times New Roman"/>
          <w:noProof/>
          <w:sz w:val="28"/>
          <w:szCs w:val="24"/>
          <w:lang w:val="kk-KZ"/>
        </w:rPr>
        <w:t>т</w:t>
      </w:r>
      <w:r w:rsidR="00091951" w:rsidRPr="00431D69">
        <w:rPr>
          <w:rFonts w:ascii="Times New Roman" w:hAnsi="Times New Roman" w:cs="Times New Roman"/>
          <w:noProof/>
          <w:sz w:val="28"/>
          <w:szCs w:val="24"/>
        </w:rPr>
        <w:t xml:space="preserve">ехнологии </w:t>
      </w:r>
      <w:r w:rsidR="00091951">
        <w:rPr>
          <w:rFonts w:ascii="Times New Roman" w:hAnsi="Times New Roman" w:cs="Times New Roman"/>
          <w:noProof/>
          <w:sz w:val="28"/>
          <w:szCs w:val="24"/>
          <w:lang w:val="kk-KZ"/>
        </w:rPr>
        <w:t>в</w:t>
      </w:r>
      <w:r w:rsidR="00091951" w:rsidRPr="00431D69">
        <w:rPr>
          <w:rFonts w:ascii="Times New Roman" w:hAnsi="Times New Roman" w:cs="Times New Roman"/>
          <w:noProof/>
          <w:sz w:val="28"/>
          <w:szCs w:val="24"/>
        </w:rPr>
        <w:t xml:space="preserve"> Казахстане </w:t>
      </w:r>
      <w:r w:rsidR="00091951">
        <w:rPr>
          <w:rFonts w:ascii="Times New Roman" w:hAnsi="Times New Roman" w:cs="Times New Roman"/>
          <w:noProof/>
          <w:sz w:val="28"/>
          <w:szCs w:val="24"/>
          <w:lang w:val="kk-KZ"/>
        </w:rPr>
        <w:t>з</w:t>
      </w:r>
      <w:r w:rsidR="00091951" w:rsidRPr="00431D69">
        <w:rPr>
          <w:rFonts w:ascii="Times New Roman" w:hAnsi="Times New Roman" w:cs="Times New Roman"/>
          <w:noProof/>
          <w:sz w:val="28"/>
          <w:szCs w:val="24"/>
        </w:rPr>
        <w:t xml:space="preserve">а 2019 </w:t>
      </w:r>
      <w:r w:rsidR="00091951">
        <w:rPr>
          <w:rFonts w:ascii="Times New Roman" w:hAnsi="Times New Roman" w:cs="Times New Roman"/>
          <w:noProof/>
          <w:sz w:val="28"/>
          <w:szCs w:val="24"/>
          <w:lang w:val="kk-KZ"/>
        </w:rPr>
        <w:t>г</w:t>
      </w:r>
      <w:r w:rsidR="00091951" w:rsidRPr="00431D69">
        <w:rPr>
          <w:rFonts w:ascii="Times New Roman" w:hAnsi="Times New Roman" w:cs="Times New Roman"/>
          <w:noProof/>
          <w:sz w:val="28"/>
          <w:szCs w:val="24"/>
        </w:rPr>
        <w:t>од</w:t>
      </w:r>
      <w:r w:rsidR="00091951">
        <w:rPr>
          <w:rFonts w:ascii="Times New Roman" w:hAnsi="Times New Roman" w:cs="Times New Roman"/>
          <w:noProof/>
          <w:sz w:val="28"/>
          <w:szCs w:val="24"/>
          <w:lang w:val="kk-KZ"/>
        </w:rPr>
        <w:t xml:space="preserve"> //</w:t>
      </w:r>
      <w:r w:rsidR="00091951" w:rsidRPr="00431D69">
        <w:rPr>
          <w:rFonts w:ascii="Times New Roman" w:hAnsi="Times New Roman" w:cs="Times New Roman"/>
          <w:noProof/>
          <w:sz w:val="28"/>
          <w:szCs w:val="24"/>
        </w:rPr>
        <w:t xml:space="preserve"> </w:t>
      </w:r>
      <w:r w:rsidR="00091951" w:rsidRPr="00431D69">
        <w:rPr>
          <w:rFonts w:ascii="Times New Roman" w:hAnsi="Times New Roman" w:cs="Times New Roman"/>
          <w:i/>
          <w:iCs/>
          <w:noProof/>
          <w:sz w:val="28"/>
          <w:szCs w:val="24"/>
        </w:rPr>
        <w:t>Reprod.</w:t>
      </w:r>
      <w:r w:rsidR="00091951">
        <w:rPr>
          <w:rFonts w:ascii="Times New Roman" w:hAnsi="Times New Roman" w:cs="Times New Roman"/>
          <w:i/>
          <w:iCs/>
          <w:noProof/>
          <w:sz w:val="28"/>
          <w:szCs w:val="24"/>
          <w:lang w:val="kk-KZ"/>
        </w:rPr>
        <w:t xml:space="preserve">- </w:t>
      </w:r>
      <w:r w:rsidR="00091951" w:rsidRPr="00431C79">
        <w:rPr>
          <w:rFonts w:ascii="Times New Roman" w:hAnsi="Times New Roman" w:cs="Times New Roman"/>
          <w:noProof/>
          <w:sz w:val="28"/>
          <w:szCs w:val="24"/>
          <w:lang w:val="kk-KZ"/>
        </w:rPr>
        <w:t>2022. -</w:t>
      </w:r>
      <w:r w:rsidR="00091951" w:rsidRPr="00431C79">
        <w:rPr>
          <w:rFonts w:ascii="Times New Roman" w:hAnsi="Times New Roman" w:cs="Times New Roman"/>
          <w:noProof/>
          <w:sz w:val="28"/>
          <w:szCs w:val="24"/>
        </w:rPr>
        <w:t xml:space="preserve"> </w:t>
      </w:r>
      <w:r w:rsidR="00091951" w:rsidRPr="00431C79">
        <w:rPr>
          <w:rFonts w:ascii="Times New Roman" w:hAnsi="Times New Roman" w:cs="Times New Roman"/>
          <w:noProof/>
          <w:sz w:val="28"/>
          <w:szCs w:val="24"/>
          <w:lang w:val="kk-KZ"/>
        </w:rPr>
        <w:t>Т.</w:t>
      </w:r>
      <w:r w:rsidR="00091951" w:rsidRPr="00431C79">
        <w:rPr>
          <w:rFonts w:ascii="Times New Roman" w:hAnsi="Times New Roman" w:cs="Times New Roman"/>
          <w:noProof/>
          <w:sz w:val="28"/>
          <w:szCs w:val="24"/>
        </w:rPr>
        <w:t>3, №</w:t>
      </w:r>
      <w:r w:rsidR="00091951" w:rsidRPr="00431D69">
        <w:rPr>
          <w:rFonts w:ascii="Times New Roman" w:hAnsi="Times New Roman" w:cs="Times New Roman"/>
          <w:noProof/>
          <w:sz w:val="28"/>
          <w:szCs w:val="24"/>
        </w:rPr>
        <w:t>3(52)</w:t>
      </w:r>
      <w:r w:rsidR="00091951">
        <w:rPr>
          <w:rFonts w:ascii="Times New Roman" w:hAnsi="Times New Roman" w:cs="Times New Roman"/>
          <w:noProof/>
          <w:sz w:val="28"/>
          <w:szCs w:val="24"/>
          <w:lang w:val="kk-KZ"/>
        </w:rPr>
        <w:t xml:space="preserve">. </w:t>
      </w:r>
      <w:r w:rsidR="00091951">
        <w:rPr>
          <w:rFonts w:ascii="Times New Roman" w:hAnsi="Times New Roman" w:cs="Times New Roman"/>
          <w:noProof/>
          <w:sz w:val="28"/>
          <w:szCs w:val="24"/>
        </w:rPr>
        <w:t>- Р.</w:t>
      </w:r>
      <w:r w:rsidR="00091951" w:rsidRPr="00431D69">
        <w:rPr>
          <w:rFonts w:ascii="Times New Roman" w:hAnsi="Times New Roman" w:cs="Times New Roman"/>
          <w:noProof/>
          <w:sz w:val="28"/>
          <w:szCs w:val="24"/>
        </w:rPr>
        <w:t>7–14</w:t>
      </w:r>
      <w:r w:rsidR="00091951">
        <w:rPr>
          <w:rFonts w:ascii="Times New Roman" w:hAnsi="Times New Roman" w:cs="Times New Roman"/>
          <w:noProof/>
          <w:sz w:val="28"/>
          <w:szCs w:val="24"/>
          <w:lang w:val="kk-KZ"/>
        </w:rPr>
        <w:t>.</w:t>
      </w:r>
      <w:r w:rsidR="008C6800" w:rsidRPr="008C6800">
        <w:rPr>
          <w:rFonts w:ascii="Times New Roman" w:hAnsi="Times New Roman" w:cs="Times New Roman"/>
          <w:noProof/>
          <w:sz w:val="28"/>
          <w:szCs w:val="24"/>
        </w:rPr>
        <w:t xml:space="preserve"> doi: 10.37800/rm.3.2022.7-14.</w:t>
      </w:r>
    </w:p>
    <w:p w14:paraId="05CFFD64" w14:textId="27EC37ED" w:rsidR="008C6800" w:rsidRPr="008C6800"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rPr>
      </w:pPr>
      <w:r>
        <w:rPr>
          <w:rFonts w:ascii="Times New Roman" w:hAnsi="Times New Roman" w:cs="Times New Roman"/>
          <w:noProof/>
          <w:sz w:val="28"/>
          <w:szCs w:val="24"/>
        </w:rPr>
        <w:t>19</w:t>
      </w:r>
      <w:r w:rsidR="00091951">
        <w:rPr>
          <w:rFonts w:ascii="Times New Roman" w:hAnsi="Times New Roman" w:cs="Times New Roman"/>
          <w:noProof/>
          <w:sz w:val="28"/>
          <w:szCs w:val="24"/>
        </w:rPr>
        <w:tab/>
      </w:r>
      <w:r w:rsidR="008C6800" w:rsidRPr="008C6800">
        <w:rPr>
          <w:rFonts w:ascii="Times New Roman" w:hAnsi="Times New Roman" w:cs="Times New Roman"/>
          <w:noProof/>
          <w:sz w:val="28"/>
          <w:szCs w:val="24"/>
        </w:rPr>
        <w:t>Приказ Министра здравоохранения Республики Казахстан. Об утверждении правил и условий проведения вспомогательных репродуктивных методов и технологий: утв. 15 декабр</w:t>
      </w:r>
      <w:r w:rsidR="00091951">
        <w:rPr>
          <w:rFonts w:ascii="Times New Roman" w:hAnsi="Times New Roman" w:cs="Times New Roman"/>
          <w:noProof/>
          <w:sz w:val="28"/>
          <w:szCs w:val="24"/>
        </w:rPr>
        <w:t>я 2020 года, № ҚР ДСМ-272/2020</w:t>
      </w:r>
      <w:r w:rsidR="00091951" w:rsidRPr="00EF7048">
        <w:rPr>
          <w:rFonts w:ascii="Times New Roman" w:hAnsi="Times New Roman" w:cs="Times New Roman"/>
          <w:noProof/>
          <w:sz w:val="28"/>
          <w:szCs w:val="24"/>
        </w:rPr>
        <w:t>.</w:t>
      </w:r>
      <w:r w:rsidR="008C6800" w:rsidRPr="008C6800">
        <w:rPr>
          <w:rFonts w:ascii="Times New Roman" w:hAnsi="Times New Roman" w:cs="Times New Roman"/>
          <w:noProof/>
          <w:sz w:val="28"/>
          <w:szCs w:val="24"/>
        </w:rPr>
        <w:t xml:space="preserve">  https://adilet.zan.kz/rus/docs/V2100023144</w:t>
      </w:r>
    </w:p>
    <w:p w14:paraId="1738A099" w14:textId="73CBAB7B" w:rsidR="008C6800" w:rsidRPr="008C6800"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rPr>
      </w:pPr>
      <w:r>
        <w:rPr>
          <w:rFonts w:ascii="Times New Roman" w:hAnsi="Times New Roman" w:cs="Times New Roman"/>
          <w:noProof/>
          <w:sz w:val="28"/>
          <w:szCs w:val="24"/>
        </w:rPr>
        <w:t>20</w:t>
      </w:r>
      <w:r w:rsidR="008C6800" w:rsidRPr="008C6800">
        <w:rPr>
          <w:rFonts w:ascii="Times New Roman" w:hAnsi="Times New Roman" w:cs="Times New Roman"/>
          <w:noProof/>
          <w:sz w:val="28"/>
          <w:szCs w:val="24"/>
        </w:rPr>
        <w:tab/>
      </w:r>
      <w:r w:rsidR="00091951" w:rsidRPr="00431D69">
        <w:rPr>
          <w:rFonts w:ascii="Times New Roman" w:hAnsi="Times New Roman" w:cs="Times New Roman"/>
          <w:noProof/>
          <w:sz w:val="28"/>
          <w:szCs w:val="24"/>
        </w:rPr>
        <w:t>Курманова</w:t>
      </w:r>
      <w:r w:rsidR="00091951" w:rsidRPr="00431C79">
        <w:rPr>
          <w:rFonts w:ascii="Times New Roman" w:hAnsi="Times New Roman" w:cs="Times New Roman"/>
          <w:noProof/>
          <w:sz w:val="28"/>
          <w:szCs w:val="24"/>
        </w:rPr>
        <w:t xml:space="preserve"> </w:t>
      </w:r>
      <w:r w:rsidR="00091951" w:rsidRPr="00431D69">
        <w:rPr>
          <w:rFonts w:ascii="Times New Roman" w:hAnsi="Times New Roman" w:cs="Times New Roman"/>
          <w:noProof/>
          <w:sz w:val="28"/>
          <w:szCs w:val="24"/>
        </w:rPr>
        <w:t>А.М., Мамедалиева</w:t>
      </w:r>
      <w:r w:rsidR="00091951" w:rsidRPr="00431C79">
        <w:rPr>
          <w:rFonts w:ascii="Times New Roman" w:hAnsi="Times New Roman" w:cs="Times New Roman"/>
          <w:noProof/>
          <w:sz w:val="28"/>
          <w:szCs w:val="24"/>
        </w:rPr>
        <w:t xml:space="preserve"> </w:t>
      </w:r>
      <w:r w:rsidR="00091951" w:rsidRPr="00431D69">
        <w:rPr>
          <w:rFonts w:ascii="Times New Roman" w:hAnsi="Times New Roman" w:cs="Times New Roman"/>
          <w:noProof/>
          <w:sz w:val="28"/>
          <w:szCs w:val="24"/>
        </w:rPr>
        <w:t>Н.М., Мошкалова</w:t>
      </w:r>
      <w:r w:rsidR="00091951" w:rsidRPr="00431C79">
        <w:rPr>
          <w:rFonts w:ascii="Times New Roman" w:hAnsi="Times New Roman" w:cs="Times New Roman"/>
          <w:noProof/>
          <w:sz w:val="28"/>
          <w:szCs w:val="24"/>
        </w:rPr>
        <w:t xml:space="preserve"> </w:t>
      </w:r>
      <w:r w:rsidR="00091951" w:rsidRPr="00431D69">
        <w:rPr>
          <w:rFonts w:ascii="Times New Roman" w:hAnsi="Times New Roman" w:cs="Times New Roman"/>
          <w:noProof/>
          <w:sz w:val="28"/>
          <w:szCs w:val="24"/>
        </w:rPr>
        <w:t>Г.Н., Салимбаева</w:t>
      </w:r>
      <w:r w:rsidR="00091951" w:rsidRPr="00431C79">
        <w:rPr>
          <w:rFonts w:ascii="Times New Roman" w:hAnsi="Times New Roman" w:cs="Times New Roman"/>
          <w:noProof/>
          <w:sz w:val="28"/>
          <w:szCs w:val="24"/>
        </w:rPr>
        <w:t xml:space="preserve"> </w:t>
      </w:r>
      <w:r w:rsidR="00091951" w:rsidRPr="00431D69">
        <w:rPr>
          <w:rFonts w:ascii="Times New Roman" w:hAnsi="Times New Roman" w:cs="Times New Roman"/>
          <w:noProof/>
          <w:sz w:val="28"/>
          <w:szCs w:val="24"/>
        </w:rPr>
        <w:t>Д.Н., Арипова</w:t>
      </w:r>
      <w:r w:rsidR="00091951" w:rsidRPr="00431C79">
        <w:rPr>
          <w:rFonts w:ascii="Times New Roman" w:hAnsi="Times New Roman" w:cs="Times New Roman"/>
          <w:noProof/>
          <w:sz w:val="28"/>
          <w:szCs w:val="24"/>
        </w:rPr>
        <w:t xml:space="preserve"> </w:t>
      </w:r>
      <w:r w:rsidR="00091951" w:rsidRPr="00431D69">
        <w:rPr>
          <w:rFonts w:ascii="Times New Roman" w:hAnsi="Times New Roman" w:cs="Times New Roman"/>
          <w:noProof/>
          <w:sz w:val="28"/>
          <w:szCs w:val="24"/>
        </w:rPr>
        <w:t>Р.С., Анартаева</w:t>
      </w:r>
      <w:r w:rsidR="00091951" w:rsidRPr="00431C79">
        <w:rPr>
          <w:rFonts w:ascii="Times New Roman" w:hAnsi="Times New Roman" w:cs="Times New Roman"/>
          <w:noProof/>
          <w:sz w:val="28"/>
          <w:szCs w:val="24"/>
        </w:rPr>
        <w:t xml:space="preserve"> </w:t>
      </w:r>
      <w:r w:rsidR="00091951" w:rsidRPr="00431D69">
        <w:rPr>
          <w:rFonts w:ascii="Times New Roman" w:hAnsi="Times New Roman" w:cs="Times New Roman"/>
          <w:noProof/>
          <w:sz w:val="28"/>
          <w:szCs w:val="24"/>
        </w:rPr>
        <w:t xml:space="preserve">Г.Ж. Мониторинг </w:t>
      </w:r>
      <w:r w:rsidR="00091951">
        <w:rPr>
          <w:rFonts w:ascii="Times New Roman" w:hAnsi="Times New Roman" w:cs="Times New Roman"/>
          <w:noProof/>
          <w:sz w:val="28"/>
          <w:szCs w:val="24"/>
          <w:lang w:val="kk-KZ"/>
        </w:rPr>
        <w:t>к</w:t>
      </w:r>
      <w:r w:rsidR="00091951" w:rsidRPr="00431D69">
        <w:rPr>
          <w:rFonts w:ascii="Times New Roman" w:hAnsi="Times New Roman" w:cs="Times New Roman"/>
          <w:noProof/>
          <w:sz w:val="28"/>
          <w:szCs w:val="24"/>
        </w:rPr>
        <w:t xml:space="preserve">ачества </w:t>
      </w:r>
      <w:r w:rsidR="00091951">
        <w:rPr>
          <w:rFonts w:ascii="Times New Roman" w:hAnsi="Times New Roman" w:cs="Times New Roman"/>
          <w:noProof/>
          <w:sz w:val="28"/>
          <w:szCs w:val="24"/>
          <w:lang w:val="kk-KZ"/>
        </w:rPr>
        <w:t>в</w:t>
      </w:r>
      <w:r w:rsidR="00091951" w:rsidRPr="00431D69">
        <w:rPr>
          <w:rFonts w:ascii="Times New Roman" w:hAnsi="Times New Roman" w:cs="Times New Roman"/>
          <w:noProof/>
          <w:sz w:val="28"/>
          <w:szCs w:val="24"/>
        </w:rPr>
        <w:t xml:space="preserve">спомогательных </w:t>
      </w:r>
      <w:r w:rsidR="00091951">
        <w:rPr>
          <w:rFonts w:ascii="Times New Roman" w:hAnsi="Times New Roman" w:cs="Times New Roman"/>
          <w:noProof/>
          <w:sz w:val="28"/>
          <w:szCs w:val="24"/>
          <w:lang w:val="kk-KZ"/>
        </w:rPr>
        <w:t>р</w:t>
      </w:r>
      <w:r w:rsidR="00091951" w:rsidRPr="00431D69">
        <w:rPr>
          <w:rFonts w:ascii="Times New Roman" w:hAnsi="Times New Roman" w:cs="Times New Roman"/>
          <w:noProof/>
          <w:sz w:val="28"/>
          <w:szCs w:val="24"/>
        </w:rPr>
        <w:t xml:space="preserve">епродуктивных </w:t>
      </w:r>
      <w:r w:rsidR="00091951">
        <w:rPr>
          <w:rFonts w:ascii="Times New Roman" w:hAnsi="Times New Roman" w:cs="Times New Roman"/>
          <w:noProof/>
          <w:sz w:val="28"/>
          <w:szCs w:val="24"/>
          <w:lang w:val="kk-KZ"/>
        </w:rPr>
        <w:t>т</w:t>
      </w:r>
      <w:r w:rsidR="00091951" w:rsidRPr="00431D69">
        <w:rPr>
          <w:rFonts w:ascii="Times New Roman" w:hAnsi="Times New Roman" w:cs="Times New Roman"/>
          <w:noProof/>
          <w:sz w:val="28"/>
          <w:szCs w:val="24"/>
        </w:rPr>
        <w:t xml:space="preserve">ехнологий </w:t>
      </w:r>
      <w:r w:rsidR="00091951">
        <w:rPr>
          <w:rFonts w:ascii="Times New Roman" w:hAnsi="Times New Roman" w:cs="Times New Roman"/>
          <w:noProof/>
          <w:sz w:val="28"/>
          <w:szCs w:val="24"/>
          <w:lang w:val="kk-KZ"/>
        </w:rPr>
        <w:t>в</w:t>
      </w:r>
      <w:r w:rsidR="00091951" w:rsidRPr="00431D69">
        <w:rPr>
          <w:rFonts w:ascii="Times New Roman" w:hAnsi="Times New Roman" w:cs="Times New Roman"/>
          <w:noProof/>
          <w:sz w:val="28"/>
          <w:szCs w:val="24"/>
        </w:rPr>
        <w:t xml:space="preserve"> системе обязательного социального медицинского страхования</w:t>
      </w:r>
      <w:r w:rsidR="00091951">
        <w:rPr>
          <w:rFonts w:ascii="Times New Roman" w:hAnsi="Times New Roman" w:cs="Times New Roman"/>
          <w:noProof/>
          <w:sz w:val="28"/>
          <w:szCs w:val="24"/>
          <w:lang w:val="kk-KZ"/>
        </w:rPr>
        <w:t xml:space="preserve"> //</w:t>
      </w:r>
      <w:r w:rsidR="00091951" w:rsidRPr="00431D69">
        <w:rPr>
          <w:rFonts w:ascii="Times New Roman" w:hAnsi="Times New Roman" w:cs="Times New Roman"/>
          <w:noProof/>
          <w:sz w:val="28"/>
          <w:szCs w:val="24"/>
        </w:rPr>
        <w:t xml:space="preserve"> </w:t>
      </w:r>
      <w:r w:rsidR="00091951" w:rsidRPr="00431C79">
        <w:rPr>
          <w:rFonts w:ascii="Times New Roman" w:hAnsi="Times New Roman" w:cs="Times New Roman"/>
          <w:noProof/>
          <w:sz w:val="28"/>
          <w:szCs w:val="24"/>
        </w:rPr>
        <w:t>Научно — Практический Журнал Фтизиопульмонология</w:t>
      </w:r>
      <w:r w:rsidR="00091951">
        <w:rPr>
          <w:rFonts w:ascii="Times New Roman" w:hAnsi="Times New Roman" w:cs="Times New Roman"/>
          <w:noProof/>
          <w:sz w:val="28"/>
          <w:szCs w:val="24"/>
          <w:lang w:val="kk-KZ"/>
        </w:rPr>
        <w:t xml:space="preserve">. - 2024. - </w:t>
      </w:r>
      <w:r w:rsidR="00091951">
        <w:rPr>
          <w:rFonts w:ascii="Times New Roman" w:hAnsi="Times New Roman" w:cs="Times New Roman"/>
          <w:noProof/>
          <w:sz w:val="28"/>
          <w:szCs w:val="24"/>
        </w:rPr>
        <w:t>№</w:t>
      </w:r>
      <w:r w:rsidR="00091951" w:rsidRPr="00431D69">
        <w:rPr>
          <w:rFonts w:ascii="Times New Roman" w:hAnsi="Times New Roman" w:cs="Times New Roman"/>
          <w:noProof/>
          <w:sz w:val="28"/>
          <w:szCs w:val="24"/>
        </w:rPr>
        <w:t xml:space="preserve"> 2</w:t>
      </w:r>
      <w:r w:rsidR="00091951">
        <w:rPr>
          <w:rFonts w:ascii="Times New Roman" w:hAnsi="Times New Roman" w:cs="Times New Roman"/>
          <w:noProof/>
          <w:sz w:val="28"/>
          <w:szCs w:val="24"/>
          <w:lang w:val="kk-KZ"/>
        </w:rPr>
        <w:t xml:space="preserve"> </w:t>
      </w:r>
      <w:r w:rsidR="00091951">
        <w:rPr>
          <w:rFonts w:ascii="Times New Roman" w:hAnsi="Times New Roman" w:cs="Times New Roman"/>
          <w:noProof/>
          <w:sz w:val="28"/>
          <w:szCs w:val="24"/>
        </w:rPr>
        <w:t xml:space="preserve">- </w:t>
      </w:r>
      <w:r w:rsidR="00091951">
        <w:rPr>
          <w:rFonts w:ascii="Times New Roman" w:hAnsi="Times New Roman" w:cs="Times New Roman"/>
          <w:noProof/>
          <w:sz w:val="28"/>
          <w:szCs w:val="24"/>
          <w:lang w:val="kk-KZ"/>
        </w:rPr>
        <w:t>С</w:t>
      </w:r>
      <w:r w:rsidR="00091951">
        <w:rPr>
          <w:rFonts w:ascii="Times New Roman" w:hAnsi="Times New Roman" w:cs="Times New Roman"/>
          <w:noProof/>
          <w:sz w:val="28"/>
          <w:szCs w:val="24"/>
        </w:rPr>
        <w:t>.</w:t>
      </w:r>
      <w:r w:rsidR="00091951" w:rsidRPr="00431D69">
        <w:rPr>
          <w:rFonts w:ascii="Times New Roman" w:hAnsi="Times New Roman" w:cs="Times New Roman"/>
          <w:noProof/>
          <w:sz w:val="28"/>
          <w:szCs w:val="24"/>
        </w:rPr>
        <w:t>74–81</w:t>
      </w:r>
      <w:r w:rsidR="00091951">
        <w:rPr>
          <w:rFonts w:ascii="Times New Roman" w:hAnsi="Times New Roman" w:cs="Times New Roman"/>
          <w:noProof/>
          <w:sz w:val="28"/>
          <w:szCs w:val="24"/>
          <w:lang w:val="kk-KZ"/>
        </w:rPr>
        <w:t>.</w:t>
      </w:r>
      <w:r w:rsidR="008C6800" w:rsidRPr="008C6800">
        <w:rPr>
          <w:rFonts w:ascii="Times New Roman" w:hAnsi="Times New Roman" w:cs="Times New Roman"/>
          <w:noProof/>
          <w:sz w:val="28"/>
          <w:szCs w:val="24"/>
        </w:rPr>
        <w:t xml:space="preserve"> doi: 10.26212/2227-1937.2024.72.69.010.</w:t>
      </w:r>
    </w:p>
    <w:p w14:paraId="7275DB0E" w14:textId="05681DCE" w:rsidR="008C6800" w:rsidRPr="008C6800" w:rsidRDefault="00745BEB" w:rsidP="00DC4AEB">
      <w:pPr>
        <w:widowControl w:val="0"/>
        <w:autoSpaceDE w:val="0"/>
        <w:autoSpaceDN w:val="0"/>
        <w:adjustRightInd w:val="0"/>
        <w:spacing w:after="0" w:line="240" w:lineRule="auto"/>
        <w:ind w:firstLine="709"/>
        <w:rPr>
          <w:rFonts w:ascii="Times New Roman" w:hAnsi="Times New Roman" w:cs="Times New Roman"/>
          <w:noProof/>
          <w:sz w:val="28"/>
          <w:szCs w:val="24"/>
        </w:rPr>
      </w:pPr>
      <w:r>
        <w:rPr>
          <w:rFonts w:ascii="Times New Roman" w:hAnsi="Times New Roman" w:cs="Times New Roman"/>
          <w:noProof/>
          <w:sz w:val="28"/>
          <w:szCs w:val="24"/>
        </w:rPr>
        <w:t>21</w:t>
      </w:r>
      <w:r w:rsidR="008C6800" w:rsidRPr="008C6800">
        <w:rPr>
          <w:rFonts w:ascii="Times New Roman" w:hAnsi="Times New Roman" w:cs="Times New Roman"/>
          <w:noProof/>
          <w:sz w:val="28"/>
          <w:szCs w:val="24"/>
        </w:rPr>
        <w:tab/>
      </w:r>
      <w:r w:rsidR="00091951" w:rsidRPr="00431D69">
        <w:rPr>
          <w:rFonts w:ascii="Times New Roman" w:hAnsi="Times New Roman" w:cs="Times New Roman"/>
          <w:noProof/>
          <w:sz w:val="28"/>
          <w:szCs w:val="24"/>
        </w:rPr>
        <w:t>Самойлович</w:t>
      </w:r>
      <w:r w:rsidR="00091951" w:rsidRPr="00431C79">
        <w:rPr>
          <w:rFonts w:ascii="Times New Roman" w:hAnsi="Times New Roman" w:cs="Times New Roman"/>
          <w:noProof/>
          <w:sz w:val="28"/>
          <w:szCs w:val="24"/>
        </w:rPr>
        <w:t xml:space="preserve"> </w:t>
      </w:r>
      <w:r w:rsidR="00091951" w:rsidRPr="00431D69">
        <w:rPr>
          <w:rFonts w:ascii="Times New Roman" w:hAnsi="Times New Roman" w:cs="Times New Roman"/>
          <w:noProof/>
          <w:sz w:val="28"/>
          <w:szCs w:val="24"/>
        </w:rPr>
        <w:t>Я.А.</w:t>
      </w:r>
      <w:r w:rsidR="00091951">
        <w:rPr>
          <w:rFonts w:ascii="Times New Roman" w:hAnsi="Times New Roman" w:cs="Times New Roman"/>
          <w:noProof/>
          <w:sz w:val="28"/>
          <w:szCs w:val="24"/>
          <w:lang w:val="kk-KZ"/>
        </w:rPr>
        <w:t xml:space="preserve"> </w:t>
      </w:r>
      <w:r w:rsidR="00091951" w:rsidRPr="00431D69">
        <w:rPr>
          <w:rFonts w:ascii="Times New Roman" w:hAnsi="Times New Roman" w:cs="Times New Roman"/>
          <w:noProof/>
          <w:sz w:val="28"/>
          <w:szCs w:val="24"/>
        </w:rPr>
        <w:t>Особенности ВРТ при бесплодии, ассоциированном с патологией матки и эндометрия</w:t>
      </w:r>
      <w:r w:rsidR="00091951">
        <w:rPr>
          <w:rFonts w:ascii="Times New Roman" w:hAnsi="Times New Roman" w:cs="Times New Roman"/>
          <w:noProof/>
          <w:sz w:val="28"/>
          <w:szCs w:val="24"/>
          <w:lang w:val="kk-KZ"/>
        </w:rPr>
        <w:t xml:space="preserve"> //</w:t>
      </w:r>
      <w:r w:rsidR="00091951" w:rsidRPr="00431D69">
        <w:rPr>
          <w:rFonts w:ascii="Times New Roman" w:hAnsi="Times New Roman" w:cs="Times New Roman"/>
          <w:noProof/>
          <w:sz w:val="28"/>
          <w:szCs w:val="24"/>
        </w:rPr>
        <w:t xml:space="preserve"> </w:t>
      </w:r>
      <w:r w:rsidR="00091951" w:rsidRPr="00431C79">
        <w:rPr>
          <w:rFonts w:ascii="Times New Roman" w:hAnsi="Times New Roman" w:cs="Times New Roman"/>
          <w:noProof/>
          <w:sz w:val="28"/>
          <w:szCs w:val="24"/>
        </w:rPr>
        <w:t>Репродуктивная медицина</w:t>
      </w:r>
      <w:r w:rsidR="00091951">
        <w:rPr>
          <w:rFonts w:ascii="Times New Roman" w:hAnsi="Times New Roman" w:cs="Times New Roman"/>
          <w:noProof/>
          <w:sz w:val="28"/>
          <w:szCs w:val="24"/>
          <w:lang w:val="kk-KZ"/>
        </w:rPr>
        <w:t xml:space="preserve">. - 2018. - </w:t>
      </w:r>
      <w:r w:rsidR="00091951" w:rsidRPr="00431D69">
        <w:rPr>
          <w:rFonts w:ascii="Times New Roman" w:hAnsi="Times New Roman" w:cs="Times New Roman"/>
          <w:noProof/>
          <w:sz w:val="28"/>
          <w:szCs w:val="24"/>
        </w:rPr>
        <w:t xml:space="preserve"> </w:t>
      </w:r>
      <w:r w:rsidR="00091951">
        <w:rPr>
          <w:rFonts w:ascii="Times New Roman" w:hAnsi="Times New Roman" w:cs="Times New Roman"/>
          <w:noProof/>
          <w:sz w:val="28"/>
          <w:szCs w:val="24"/>
          <w:lang w:val="kk-KZ"/>
        </w:rPr>
        <w:t>Т</w:t>
      </w:r>
      <w:r w:rsidR="00091951">
        <w:rPr>
          <w:rFonts w:ascii="Times New Roman" w:hAnsi="Times New Roman" w:cs="Times New Roman"/>
          <w:noProof/>
          <w:sz w:val="28"/>
          <w:szCs w:val="24"/>
        </w:rPr>
        <w:t>.</w:t>
      </w:r>
      <w:r w:rsidR="00091951" w:rsidRPr="00431D69">
        <w:rPr>
          <w:rFonts w:ascii="Times New Roman" w:hAnsi="Times New Roman" w:cs="Times New Roman"/>
          <w:noProof/>
          <w:sz w:val="28"/>
          <w:szCs w:val="24"/>
        </w:rPr>
        <w:t xml:space="preserve"> 3, </w:t>
      </w:r>
      <w:r w:rsidR="00091951">
        <w:rPr>
          <w:rFonts w:ascii="Times New Roman" w:hAnsi="Times New Roman" w:cs="Times New Roman"/>
          <w:noProof/>
          <w:sz w:val="28"/>
          <w:szCs w:val="24"/>
        </w:rPr>
        <w:t>№</w:t>
      </w:r>
      <w:r w:rsidR="00091951" w:rsidRPr="00431D69">
        <w:rPr>
          <w:rFonts w:ascii="Times New Roman" w:hAnsi="Times New Roman" w:cs="Times New Roman"/>
          <w:noProof/>
          <w:sz w:val="28"/>
          <w:szCs w:val="24"/>
        </w:rPr>
        <w:t xml:space="preserve"> 36</w:t>
      </w:r>
      <w:r w:rsidR="00091951">
        <w:rPr>
          <w:rFonts w:ascii="Times New Roman" w:hAnsi="Times New Roman" w:cs="Times New Roman"/>
          <w:noProof/>
          <w:sz w:val="28"/>
          <w:szCs w:val="24"/>
          <w:lang w:val="kk-KZ"/>
        </w:rPr>
        <w:t xml:space="preserve">. </w:t>
      </w:r>
      <w:r w:rsidR="00091951">
        <w:rPr>
          <w:rFonts w:ascii="Times New Roman" w:hAnsi="Times New Roman" w:cs="Times New Roman"/>
          <w:noProof/>
          <w:sz w:val="28"/>
          <w:szCs w:val="24"/>
        </w:rPr>
        <w:t xml:space="preserve">- </w:t>
      </w:r>
      <w:r w:rsidR="00091951">
        <w:rPr>
          <w:rFonts w:ascii="Times New Roman" w:hAnsi="Times New Roman" w:cs="Times New Roman"/>
          <w:noProof/>
          <w:sz w:val="28"/>
          <w:szCs w:val="24"/>
          <w:lang w:val="kk-KZ"/>
        </w:rPr>
        <w:t>С</w:t>
      </w:r>
      <w:r w:rsidR="00091951">
        <w:rPr>
          <w:rFonts w:ascii="Times New Roman" w:hAnsi="Times New Roman" w:cs="Times New Roman"/>
          <w:noProof/>
          <w:sz w:val="28"/>
          <w:szCs w:val="24"/>
        </w:rPr>
        <w:t>.</w:t>
      </w:r>
      <w:r w:rsidR="00091951" w:rsidRPr="00431D69">
        <w:rPr>
          <w:rFonts w:ascii="Times New Roman" w:hAnsi="Times New Roman" w:cs="Times New Roman"/>
          <w:noProof/>
          <w:sz w:val="28"/>
          <w:szCs w:val="24"/>
        </w:rPr>
        <w:t>27–37.</w:t>
      </w:r>
    </w:p>
    <w:p w14:paraId="2E61A13F" w14:textId="3111A56D" w:rsidR="008C6800" w:rsidRPr="00EF7048" w:rsidRDefault="00745BEB" w:rsidP="00DC4AEB">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22</w:t>
      </w:r>
      <w:r w:rsidR="008C6800" w:rsidRPr="00EF7048">
        <w:rPr>
          <w:rFonts w:ascii="Times New Roman" w:hAnsi="Times New Roman" w:cs="Times New Roman"/>
          <w:noProof/>
          <w:sz w:val="28"/>
          <w:szCs w:val="24"/>
          <w:lang w:val="en-US"/>
        </w:rPr>
        <w:tab/>
      </w:r>
      <w:r w:rsidR="00091951" w:rsidRPr="00CB7B67">
        <w:rPr>
          <w:rFonts w:ascii="Times New Roman" w:hAnsi="Times New Roman" w:cs="Times New Roman"/>
          <w:noProof/>
          <w:sz w:val="28"/>
          <w:szCs w:val="24"/>
          <w:lang w:val="en-US"/>
        </w:rPr>
        <w:t>Lessey B.A.</w:t>
      </w:r>
      <w:r w:rsidR="00091951">
        <w:rPr>
          <w:rFonts w:ascii="Times New Roman" w:hAnsi="Times New Roman" w:cs="Times New Roman"/>
          <w:noProof/>
          <w:sz w:val="28"/>
          <w:szCs w:val="24"/>
          <w:lang w:val="kk-KZ"/>
        </w:rPr>
        <w:t xml:space="preserve">, </w:t>
      </w:r>
      <w:r w:rsidR="00091951" w:rsidRPr="00CB7B67">
        <w:rPr>
          <w:rFonts w:ascii="Times New Roman" w:hAnsi="Times New Roman" w:cs="Times New Roman"/>
          <w:noProof/>
          <w:sz w:val="28"/>
          <w:szCs w:val="24"/>
          <w:lang w:val="en-US"/>
        </w:rPr>
        <w:t>Young</w:t>
      </w:r>
      <w:r w:rsidR="00091951" w:rsidRPr="00431C79">
        <w:rPr>
          <w:rFonts w:ascii="Times New Roman" w:hAnsi="Times New Roman" w:cs="Times New Roman"/>
          <w:noProof/>
          <w:sz w:val="28"/>
          <w:szCs w:val="24"/>
          <w:lang w:val="en-US"/>
        </w:rPr>
        <w:t xml:space="preserve"> </w:t>
      </w:r>
      <w:r w:rsidR="00091951" w:rsidRPr="00CB7B67">
        <w:rPr>
          <w:rFonts w:ascii="Times New Roman" w:hAnsi="Times New Roman" w:cs="Times New Roman"/>
          <w:noProof/>
          <w:sz w:val="28"/>
          <w:szCs w:val="24"/>
          <w:lang w:val="en-US"/>
        </w:rPr>
        <w:t>S. L.</w:t>
      </w:r>
      <w:r w:rsidR="00091951">
        <w:rPr>
          <w:rFonts w:ascii="Times New Roman" w:hAnsi="Times New Roman" w:cs="Times New Roman"/>
          <w:noProof/>
          <w:sz w:val="28"/>
          <w:szCs w:val="24"/>
          <w:lang w:val="kk-KZ"/>
        </w:rPr>
        <w:t xml:space="preserve"> </w:t>
      </w:r>
      <w:r w:rsidR="00091951" w:rsidRPr="00CB7B67">
        <w:rPr>
          <w:rFonts w:ascii="Times New Roman" w:hAnsi="Times New Roman" w:cs="Times New Roman"/>
          <w:noProof/>
          <w:sz w:val="28"/>
          <w:szCs w:val="24"/>
          <w:lang w:val="en-US"/>
        </w:rPr>
        <w:t>What exactly is endometrial receptivity?</w:t>
      </w:r>
      <w:r w:rsidR="00091951">
        <w:rPr>
          <w:rFonts w:ascii="Times New Roman" w:hAnsi="Times New Roman" w:cs="Times New Roman"/>
          <w:noProof/>
          <w:sz w:val="28"/>
          <w:szCs w:val="24"/>
          <w:lang w:val="kk-KZ"/>
        </w:rPr>
        <w:t xml:space="preserve"> //</w:t>
      </w:r>
      <w:r w:rsidR="00091951" w:rsidRPr="00CB7B67">
        <w:rPr>
          <w:rFonts w:ascii="Times New Roman" w:hAnsi="Times New Roman" w:cs="Times New Roman"/>
          <w:noProof/>
          <w:sz w:val="28"/>
          <w:szCs w:val="24"/>
          <w:lang w:val="en-US"/>
        </w:rPr>
        <w:t xml:space="preserve"> </w:t>
      </w:r>
      <w:r w:rsidR="00091951" w:rsidRPr="00431C79">
        <w:rPr>
          <w:rFonts w:ascii="Times New Roman" w:hAnsi="Times New Roman" w:cs="Times New Roman"/>
          <w:noProof/>
          <w:sz w:val="28"/>
          <w:szCs w:val="24"/>
          <w:lang w:val="en-US"/>
        </w:rPr>
        <w:t>Fertil. Steril.</w:t>
      </w:r>
      <w:r w:rsidR="00091951" w:rsidRPr="00431C79">
        <w:rPr>
          <w:rFonts w:ascii="Times New Roman" w:hAnsi="Times New Roman" w:cs="Times New Roman"/>
          <w:noProof/>
          <w:sz w:val="28"/>
          <w:szCs w:val="24"/>
          <w:lang w:val="kk-KZ"/>
        </w:rPr>
        <w:t xml:space="preserve"> - 2019. </w:t>
      </w:r>
      <w:r w:rsidR="00091951">
        <w:rPr>
          <w:rFonts w:ascii="Times New Roman" w:hAnsi="Times New Roman" w:cs="Times New Roman"/>
          <w:i/>
          <w:iCs/>
          <w:noProof/>
          <w:sz w:val="28"/>
          <w:szCs w:val="24"/>
          <w:lang w:val="kk-KZ"/>
        </w:rPr>
        <w:t>-</w:t>
      </w:r>
      <w:r w:rsidR="00091951" w:rsidRPr="00CB7B67">
        <w:rPr>
          <w:rFonts w:ascii="Times New Roman" w:hAnsi="Times New Roman" w:cs="Times New Roman"/>
          <w:noProof/>
          <w:sz w:val="28"/>
          <w:szCs w:val="24"/>
          <w:lang w:val="en-US"/>
        </w:rPr>
        <w:t xml:space="preserve"> </w:t>
      </w:r>
      <w:r w:rsidR="00091951">
        <w:rPr>
          <w:rFonts w:ascii="Times New Roman" w:hAnsi="Times New Roman" w:cs="Times New Roman"/>
          <w:noProof/>
          <w:sz w:val="28"/>
          <w:szCs w:val="24"/>
          <w:lang w:val="en-US"/>
        </w:rPr>
        <w:t>Vol.</w:t>
      </w:r>
      <w:r w:rsidR="00091951" w:rsidRPr="00CB7B67">
        <w:rPr>
          <w:rFonts w:ascii="Times New Roman" w:hAnsi="Times New Roman" w:cs="Times New Roman"/>
          <w:noProof/>
          <w:sz w:val="28"/>
          <w:szCs w:val="24"/>
          <w:lang w:val="en-US"/>
        </w:rPr>
        <w:t xml:space="preserve"> 111, </w:t>
      </w:r>
      <w:r w:rsidR="00091951">
        <w:rPr>
          <w:rFonts w:ascii="Times New Roman" w:hAnsi="Times New Roman" w:cs="Times New Roman"/>
          <w:noProof/>
          <w:sz w:val="28"/>
          <w:szCs w:val="24"/>
          <w:lang w:val="en-US"/>
        </w:rPr>
        <w:t>№</w:t>
      </w:r>
      <w:r w:rsidR="00091951" w:rsidRPr="00CB7B67">
        <w:rPr>
          <w:rFonts w:ascii="Times New Roman" w:hAnsi="Times New Roman" w:cs="Times New Roman"/>
          <w:noProof/>
          <w:sz w:val="28"/>
          <w:szCs w:val="24"/>
          <w:lang w:val="en-US"/>
        </w:rPr>
        <w:t>4</w:t>
      </w:r>
      <w:r w:rsidR="00091951">
        <w:rPr>
          <w:rFonts w:ascii="Times New Roman" w:hAnsi="Times New Roman" w:cs="Times New Roman"/>
          <w:noProof/>
          <w:sz w:val="28"/>
          <w:szCs w:val="24"/>
          <w:lang w:val="kk-KZ"/>
        </w:rPr>
        <w:t xml:space="preserve">. </w:t>
      </w:r>
      <w:r w:rsidR="00091951">
        <w:rPr>
          <w:rFonts w:ascii="Times New Roman" w:hAnsi="Times New Roman" w:cs="Times New Roman"/>
          <w:noProof/>
          <w:sz w:val="28"/>
          <w:szCs w:val="24"/>
          <w:lang w:val="en-US"/>
        </w:rPr>
        <w:t>- Р.</w:t>
      </w:r>
      <w:r w:rsidR="00091951" w:rsidRPr="00CB7B67">
        <w:rPr>
          <w:rFonts w:ascii="Times New Roman" w:hAnsi="Times New Roman" w:cs="Times New Roman"/>
          <w:noProof/>
          <w:sz w:val="28"/>
          <w:szCs w:val="24"/>
          <w:lang w:val="en-US"/>
        </w:rPr>
        <w:t>611–617</w:t>
      </w:r>
      <w:r w:rsidR="00091951">
        <w:rPr>
          <w:rFonts w:ascii="Times New Roman" w:hAnsi="Times New Roman" w:cs="Times New Roman"/>
          <w:noProof/>
          <w:sz w:val="28"/>
          <w:szCs w:val="24"/>
          <w:lang w:val="kk-KZ"/>
        </w:rPr>
        <w:t xml:space="preserve">. </w:t>
      </w:r>
      <w:r w:rsidR="008C6800" w:rsidRPr="00EF7048">
        <w:rPr>
          <w:rFonts w:ascii="Times New Roman" w:hAnsi="Times New Roman" w:cs="Times New Roman"/>
          <w:noProof/>
          <w:sz w:val="28"/>
          <w:szCs w:val="24"/>
          <w:lang w:val="en-US"/>
        </w:rPr>
        <w:t xml:space="preserve"> doi: 10.1016/j.fertnstert.2019.02.009.</w:t>
      </w:r>
    </w:p>
    <w:p w14:paraId="7273BCC9" w14:textId="144E7156" w:rsidR="008C6800" w:rsidRPr="008C6800" w:rsidRDefault="00745BEB" w:rsidP="00DC4AEB">
      <w:pPr>
        <w:widowControl w:val="0"/>
        <w:autoSpaceDE w:val="0"/>
        <w:autoSpaceDN w:val="0"/>
        <w:adjustRightInd w:val="0"/>
        <w:spacing w:after="0" w:line="240" w:lineRule="auto"/>
        <w:ind w:firstLine="709"/>
        <w:rPr>
          <w:rFonts w:ascii="Times New Roman" w:hAnsi="Times New Roman" w:cs="Times New Roman"/>
          <w:noProof/>
          <w:sz w:val="28"/>
          <w:szCs w:val="24"/>
        </w:rPr>
      </w:pPr>
      <w:r w:rsidRPr="00EF7048">
        <w:rPr>
          <w:rFonts w:ascii="Times New Roman" w:hAnsi="Times New Roman" w:cs="Times New Roman"/>
          <w:noProof/>
          <w:sz w:val="28"/>
          <w:szCs w:val="24"/>
          <w:lang w:val="en-US"/>
        </w:rPr>
        <w:t>23</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Milki</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A.A., Lathi</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R.B.</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Karyotype of miscarriages in relation to maternal weight</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 </w:t>
      </w:r>
      <w:r w:rsidR="0024789C" w:rsidRPr="00A936AB">
        <w:rPr>
          <w:rFonts w:ascii="Times New Roman" w:hAnsi="Times New Roman" w:cs="Times New Roman"/>
          <w:noProof/>
          <w:sz w:val="28"/>
          <w:szCs w:val="24"/>
          <w:lang w:val="en-US"/>
        </w:rPr>
        <w:t>Hum. Reprod</w:t>
      </w:r>
      <w:r w:rsidR="0024789C" w:rsidRPr="00A936AB">
        <w:rPr>
          <w:rFonts w:ascii="Times New Roman" w:hAnsi="Times New Roman" w:cs="Times New Roman"/>
          <w:noProof/>
          <w:sz w:val="28"/>
          <w:szCs w:val="24"/>
        </w:rPr>
        <w:t>.</w:t>
      </w:r>
      <w:r w:rsidR="0024789C">
        <w:rPr>
          <w:rFonts w:ascii="Times New Roman" w:hAnsi="Times New Roman" w:cs="Times New Roman"/>
          <w:noProof/>
          <w:sz w:val="28"/>
          <w:szCs w:val="24"/>
          <w:lang w:val="kk-KZ"/>
        </w:rPr>
        <w:t xml:space="preserve"> - 2010. -</w:t>
      </w:r>
      <w:r w:rsidR="0024789C" w:rsidRPr="00A936AB">
        <w:rPr>
          <w:rFonts w:ascii="Times New Roman" w:hAnsi="Times New Roman" w:cs="Times New Roman"/>
          <w:noProof/>
          <w:sz w:val="28"/>
          <w:szCs w:val="24"/>
        </w:rPr>
        <w:t xml:space="preserve"> </w:t>
      </w:r>
      <w:r w:rsidR="0024789C" w:rsidRPr="00A936AB">
        <w:rPr>
          <w:rFonts w:ascii="Times New Roman" w:hAnsi="Times New Roman" w:cs="Times New Roman"/>
          <w:noProof/>
          <w:sz w:val="28"/>
          <w:szCs w:val="24"/>
          <w:lang w:val="en-US"/>
        </w:rPr>
        <w:t>V</w:t>
      </w:r>
      <w:r w:rsidR="0024789C">
        <w:rPr>
          <w:rFonts w:ascii="Times New Roman" w:hAnsi="Times New Roman" w:cs="Times New Roman"/>
          <w:noProof/>
          <w:sz w:val="28"/>
          <w:szCs w:val="24"/>
          <w:lang w:val="en-US"/>
        </w:rPr>
        <w:t>ol</w:t>
      </w:r>
      <w:r w:rsidR="0024789C" w:rsidRPr="00431C79">
        <w:rPr>
          <w:rFonts w:ascii="Times New Roman" w:hAnsi="Times New Roman" w:cs="Times New Roman"/>
          <w:noProof/>
          <w:sz w:val="28"/>
          <w:szCs w:val="24"/>
        </w:rPr>
        <w:t>. 25, № 5- Р.1123–1126</w:t>
      </w:r>
      <w:r w:rsidR="0024789C">
        <w:rPr>
          <w:rFonts w:ascii="Times New Roman" w:hAnsi="Times New Roman" w:cs="Times New Roman"/>
          <w:noProof/>
          <w:sz w:val="28"/>
          <w:szCs w:val="24"/>
          <w:lang w:val="kk-KZ"/>
        </w:rPr>
        <w:t>.</w:t>
      </w:r>
      <w:r w:rsidR="0024789C" w:rsidRPr="00431C79">
        <w:rPr>
          <w:rFonts w:ascii="Times New Roman" w:hAnsi="Times New Roman" w:cs="Times New Roman"/>
          <w:noProof/>
          <w:sz w:val="28"/>
          <w:szCs w:val="24"/>
        </w:rPr>
        <w:t xml:space="preserve"> </w:t>
      </w:r>
      <w:r w:rsidR="008C6800" w:rsidRPr="008C6800">
        <w:rPr>
          <w:rFonts w:ascii="Times New Roman" w:hAnsi="Times New Roman" w:cs="Times New Roman"/>
          <w:noProof/>
          <w:sz w:val="28"/>
          <w:szCs w:val="24"/>
        </w:rPr>
        <w:t>doi:10.1093/humrep/deq025.</w:t>
      </w:r>
    </w:p>
    <w:p w14:paraId="5D1E4F1F" w14:textId="510C4479" w:rsidR="008C6800" w:rsidRPr="008C6800"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rPr>
      </w:pPr>
      <w:r>
        <w:rPr>
          <w:rFonts w:ascii="Times New Roman" w:hAnsi="Times New Roman" w:cs="Times New Roman"/>
          <w:noProof/>
          <w:sz w:val="28"/>
          <w:szCs w:val="24"/>
        </w:rPr>
        <w:t>24</w:t>
      </w:r>
      <w:r w:rsidR="008C6800" w:rsidRPr="008C6800">
        <w:rPr>
          <w:rFonts w:ascii="Times New Roman" w:hAnsi="Times New Roman" w:cs="Times New Roman"/>
          <w:noProof/>
          <w:sz w:val="28"/>
          <w:szCs w:val="24"/>
        </w:rPr>
        <w:tab/>
      </w:r>
      <w:r w:rsidR="0024789C" w:rsidRPr="00431D69">
        <w:rPr>
          <w:rFonts w:ascii="Times New Roman" w:hAnsi="Times New Roman" w:cs="Times New Roman"/>
          <w:noProof/>
          <w:sz w:val="28"/>
          <w:szCs w:val="24"/>
        </w:rPr>
        <w:t>Боровкова</w:t>
      </w:r>
      <w:r w:rsidR="0024789C" w:rsidRPr="00431C79">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Е</w:t>
      </w:r>
      <w:r w:rsidR="0024789C" w:rsidRPr="00431C79">
        <w:rPr>
          <w:rFonts w:ascii="Times New Roman" w:hAnsi="Times New Roman" w:cs="Times New Roman"/>
          <w:noProof/>
          <w:sz w:val="28"/>
          <w:szCs w:val="24"/>
        </w:rPr>
        <w:t>.</w:t>
      </w:r>
      <w:r w:rsidR="0024789C" w:rsidRPr="00431D69">
        <w:rPr>
          <w:rFonts w:ascii="Times New Roman" w:hAnsi="Times New Roman" w:cs="Times New Roman"/>
          <w:noProof/>
          <w:sz w:val="28"/>
          <w:szCs w:val="24"/>
        </w:rPr>
        <w:t>И</w:t>
      </w:r>
      <w:r w:rsidR="0024789C" w:rsidRPr="00431C79">
        <w:rPr>
          <w:rFonts w:ascii="Times New Roman" w:hAnsi="Times New Roman" w:cs="Times New Roman"/>
          <w:noProof/>
          <w:sz w:val="28"/>
          <w:szCs w:val="24"/>
        </w:rPr>
        <w:t>.</w:t>
      </w:r>
      <w:r w:rsidR="0024789C" w:rsidRPr="00A936AB">
        <w:rPr>
          <w:rFonts w:ascii="Times New Roman" w:hAnsi="Times New Roman" w:cs="Times New Roman"/>
          <w:noProof/>
          <w:sz w:val="28"/>
          <w:szCs w:val="24"/>
        </w:rPr>
        <w:t>,</w:t>
      </w:r>
      <w:r w:rsidR="0024789C" w:rsidRPr="00431C79">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Мартынова</w:t>
      </w:r>
      <w:r w:rsidR="0024789C" w:rsidRPr="00431C79">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И</w:t>
      </w:r>
      <w:r w:rsidR="0024789C" w:rsidRPr="00431C79">
        <w:rPr>
          <w:rFonts w:ascii="Times New Roman" w:hAnsi="Times New Roman" w:cs="Times New Roman"/>
          <w:noProof/>
          <w:sz w:val="28"/>
          <w:szCs w:val="24"/>
        </w:rPr>
        <w:t>.</w:t>
      </w:r>
      <w:r w:rsidR="0024789C" w:rsidRPr="00431D69">
        <w:rPr>
          <w:rFonts w:ascii="Times New Roman" w:hAnsi="Times New Roman" w:cs="Times New Roman"/>
          <w:noProof/>
          <w:sz w:val="28"/>
          <w:szCs w:val="24"/>
        </w:rPr>
        <w:t>В</w:t>
      </w:r>
      <w:r w:rsidR="0024789C" w:rsidRPr="00431C79">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Самопроизвольный</w:t>
      </w:r>
      <w:r w:rsidR="0024789C" w:rsidRPr="00431C79">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выкидыш</w:t>
      </w:r>
      <w:r w:rsidR="0024789C" w:rsidRPr="00431C79">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состояние</w:t>
      </w:r>
      <w:r w:rsidR="0024789C" w:rsidRPr="00431C79">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изучение</w:t>
      </w:r>
      <w:r w:rsidR="0024789C" w:rsidRPr="00431C79">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вопроса</w:t>
      </w:r>
      <w:r w:rsidR="0024789C" w:rsidRPr="00431C79">
        <w:rPr>
          <w:rFonts w:ascii="Times New Roman" w:hAnsi="Times New Roman" w:cs="Times New Roman"/>
          <w:noProof/>
          <w:sz w:val="28"/>
          <w:szCs w:val="24"/>
        </w:rPr>
        <w:t xml:space="preserve">. - </w:t>
      </w:r>
      <w:r w:rsidR="0024789C">
        <w:rPr>
          <w:rFonts w:ascii="Times New Roman" w:hAnsi="Times New Roman" w:cs="Times New Roman"/>
          <w:noProof/>
          <w:sz w:val="28"/>
          <w:szCs w:val="24"/>
          <w:lang w:val="kk-KZ"/>
        </w:rPr>
        <w:t>2014. - С</w:t>
      </w:r>
      <w:r w:rsidR="0024789C" w:rsidRPr="00431C79">
        <w:rPr>
          <w:rFonts w:ascii="Times New Roman" w:hAnsi="Times New Roman" w:cs="Times New Roman"/>
          <w:noProof/>
          <w:sz w:val="28"/>
          <w:szCs w:val="24"/>
        </w:rPr>
        <w:t>. 52–56.</w:t>
      </w:r>
    </w:p>
    <w:p w14:paraId="6ECE4BE0" w14:textId="52509A8F" w:rsidR="008C6800" w:rsidRPr="00EF7048"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Pr>
          <w:rFonts w:ascii="Times New Roman" w:hAnsi="Times New Roman" w:cs="Times New Roman"/>
          <w:noProof/>
          <w:sz w:val="28"/>
          <w:szCs w:val="24"/>
        </w:rPr>
        <w:t>25</w:t>
      </w:r>
      <w:r w:rsidR="008C6800" w:rsidRPr="008C6800">
        <w:rPr>
          <w:rFonts w:ascii="Times New Roman" w:hAnsi="Times New Roman" w:cs="Times New Roman"/>
          <w:noProof/>
          <w:sz w:val="28"/>
          <w:szCs w:val="24"/>
        </w:rPr>
        <w:tab/>
      </w:r>
      <w:r w:rsidR="0024789C" w:rsidRPr="00431D69">
        <w:rPr>
          <w:rFonts w:ascii="Times New Roman" w:hAnsi="Times New Roman" w:cs="Times New Roman"/>
          <w:noProof/>
          <w:sz w:val="28"/>
          <w:szCs w:val="24"/>
        </w:rPr>
        <w:t>Волков В.Г.</w:t>
      </w:r>
      <w:r w:rsidR="0024789C">
        <w:rPr>
          <w:rFonts w:ascii="Times New Roman" w:hAnsi="Times New Roman" w:cs="Times New Roman"/>
          <w:noProof/>
          <w:sz w:val="28"/>
          <w:szCs w:val="24"/>
        </w:rPr>
        <w:t>,</w:t>
      </w:r>
      <w:r w:rsidR="0024789C" w:rsidRPr="00431D69">
        <w:rPr>
          <w:rFonts w:ascii="Times New Roman" w:hAnsi="Times New Roman" w:cs="Times New Roman"/>
          <w:noProof/>
          <w:sz w:val="28"/>
          <w:szCs w:val="24"/>
        </w:rPr>
        <w:t xml:space="preserve"> Ахильгова</w:t>
      </w:r>
      <w:r w:rsidR="0024789C" w:rsidRPr="00A936AB">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З.С.</w:t>
      </w:r>
      <w:r w:rsidR="0024789C">
        <w:rPr>
          <w:rFonts w:ascii="Times New Roman" w:hAnsi="Times New Roman" w:cs="Times New Roman"/>
          <w:noProof/>
          <w:sz w:val="28"/>
          <w:szCs w:val="24"/>
          <w:lang w:val="kk-KZ"/>
        </w:rPr>
        <w:t xml:space="preserve"> </w:t>
      </w:r>
      <w:r w:rsidR="0024789C" w:rsidRPr="00431D69">
        <w:rPr>
          <w:rFonts w:ascii="Times New Roman" w:hAnsi="Times New Roman" w:cs="Times New Roman"/>
          <w:noProof/>
          <w:sz w:val="28"/>
          <w:szCs w:val="24"/>
        </w:rPr>
        <w:t>Факторы риска ранних потерь беременности</w:t>
      </w:r>
      <w:r w:rsidR="0024789C">
        <w:rPr>
          <w:rFonts w:ascii="Times New Roman" w:hAnsi="Times New Roman" w:cs="Times New Roman"/>
          <w:noProof/>
          <w:sz w:val="28"/>
          <w:szCs w:val="24"/>
          <w:lang w:val="kk-KZ"/>
        </w:rPr>
        <w:t xml:space="preserve">. - 2020. - </w:t>
      </w:r>
      <w:r w:rsidR="0024789C">
        <w:rPr>
          <w:rFonts w:ascii="Times New Roman" w:hAnsi="Times New Roman" w:cs="Times New Roman"/>
          <w:noProof/>
          <w:sz w:val="28"/>
          <w:szCs w:val="24"/>
        </w:rPr>
        <w:t>Vol.</w:t>
      </w:r>
      <w:r w:rsidR="0024789C" w:rsidRPr="00431D69">
        <w:rPr>
          <w:rFonts w:ascii="Times New Roman" w:hAnsi="Times New Roman" w:cs="Times New Roman"/>
          <w:noProof/>
          <w:sz w:val="28"/>
          <w:szCs w:val="24"/>
        </w:rPr>
        <w:t xml:space="preserve"> 5</w:t>
      </w:r>
      <w:r w:rsidR="0024789C">
        <w:rPr>
          <w:rFonts w:ascii="Times New Roman" w:hAnsi="Times New Roman" w:cs="Times New Roman"/>
          <w:noProof/>
          <w:sz w:val="28"/>
          <w:szCs w:val="24"/>
        </w:rPr>
        <w:t>- Р.</w:t>
      </w:r>
      <w:r w:rsidR="0024789C" w:rsidRPr="00431D69">
        <w:rPr>
          <w:rFonts w:ascii="Times New Roman" w:hAnsi="Times New Roman" w:cs="Times New Roman"/>
          <w:noProof/>
          <w:sz w:val="28"/>
          <w:szCs w:val="24"/>
        </w:rPr>
        <w:t>66–72</w:t>
      </w:r>
      <w:r w:rsidR="0024789C">
        <w:rPr>
          <w:rFonts w:ascii="Times New Roman" w:hAnsi="Times New Roman" w:cs="Times New Roman"/>
          <w:noProof/>
          <w:sz w:val="28"/>
          <w:szCs w:val="24"/>
          <w:lang w:val="kk-KZ"/>
        </w:rPr>
        <w:t>.</w:t>
      </w:r>
      <w:r w:rsidR="0024789C" w:rsidRPr="00431D69">
        <w:rPr>
          <w:rFonts w:ascii="Times New Roman" w:hAnsi="Times New Roman" w:cs="Times New Roman"/>
          <w:noProof/>
          <w:sz w:val="28"/>
          <w:szCs w:val="24"/>
        </w:rPr>
        <w:t xml:space="preserve"> </w:t>
      </w:r>
      <w:r w:rsidR="008C6800" w:rsidRPr="008C6800">
        <w:rPr>
          <w:rFonts w:ascii="Times New Roman" w:hAnsi="Times New Roman" w:cs="Times New Roman"/>
          <w:noProof/>
          <w:sz w:val="28"/>
          <w:szCs w:val="24"/>
        </w:rPr>
        <w:t xml:space="preserve"> </w:t>
      </w:r>
      <w:r w:rsidR="008C6800" w:rsidRPr="00EF7048">
        <w:rPr>
          <w:rFonts w:ascii="Times New Roman" w:hAnsi="Times New Roman" w:cs="Times New Roman"/>
          <w:noProof/>
          <w:sz w:val="28"/>
          <w:szCs w:val="24"/>
          <w:lang w:val="en-US"/>
        </w:rPr>
        <w:t>doi: 10.24411/2075-4094-2020-16597.</w:t>
      </w:r>
    </w:p>
    <w:p w14:paraId="7B41B4A0" w14:textId="6065AA33" w:rsidR="008C6800" w:rsidRPr="00EF7048"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26</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Vitzthum</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V. J., Spielvogel</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H., Thornburg J.</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West</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B. A prospective study of early pregnancy loss in humans</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 </w:t>
      </w:r>
      <w:r w:rsidR="0024789C" w:rsidRPr="00A936AB">
        <w:rPr>
          <w:rFonts w:ascii="Times New Roman" w:hAnsi="Times New Roman" w:cs="Times New Roman"/>
          <w:noProof/>
          <w:sz w:val="28"/>
          <w:szCs w:val="24"/>
          <w:lang w:val="en-US"/>
        </w:rPr>
        <w:t>Fertil. Steril.</w:t>
      </w:r>
      <w:r w:rsidR="0024789C">
        <w:rPr>
          <w:rFonts w:ascii="Times New Roman" w:hAnsi="Times New Roman" w:cs="Times New Roman"/>
          <w:noProof/>
          <w:sz w:val="28"/>
          <w:szCs w:val="24"/>
          <w:lang w:val="kk-KZ"/>
        </w:rPr>
        <w:t xml:space="preserve"> - 2006. -</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86,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2</w:t>
      </w:r>
      <w:r w:rsidR="0024789C">
        <w:rPr>
          <w:rFonts w:ascii="Times New Roman" w:hAnsi="Times New Roman" w:cs="Times New Roman"/>
          <w:noProof/>
          <w:sz w:val="28"/>
          <w:szCs w:val="24"/>
          <w:lang w:val="kk-KZ"/>
        </w:rPr>
        <w:t>.</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373–379</w:t>
      </w:r>
      <w:r w:rsidR="0024789C">
        <w:rPr>
          <w:rFonts w:ascii="Times New Roman" w:hAnsi="Times New Roman" w:cs="Times New Roman"/>
          <w:noProof/>
          <w:sz w:val="28"/>
          <w:szCs w:val="24"/>
          <w:lang w:val="kk-KZ"/>
        </w:rPr>
        <w:t>.</w:t>
      </w:r>
      <w:r w:rsidR="0024789C"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10.1016/j.fertnstert.2006.01.021.</w:t>
      </w:r>
    </w:p>
    <w:p w14:paraId="22BB5FD4" w14:textId="2B22C7F2" w:rsidR="008C6800" w:rsidRPr="00EF7048"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27</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Zargar</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M., Razmkhah</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N., Nikbakht</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R.</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Evaluating the factors associated with pregnancy loss in pregnant women undergoing assisted reproductive techniques</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 </w:t>
      </w:r>
      <w:r w:rsidR="0024789C" w:rsidRPr="00A936AB">
        <w:rPr>
          <w:rFonts w:ascii="Times New Roman" w:hAnsi="Times New Roman" w:cs="Times New Roman"/>
          <w:noProof/>
          <w:sz w:val="28"/>
          <w:szCs w:val="24"/>
          <w:lang w:val="en-US"/>
        </w:rPr>
        <w:t>Middle East Fertil. Soc. J.</w:t>
      </w:r>
      <w:r w:rsidR="0024789C">
        <w:rPr>
          <w:rFonts w:ascii="Times New Roman" w:hAnsi="Times New Roman" w:cs="Times New Roman"/>
          <w:noProof/>
          <w:sz w:val="28"/>
          <w:szCs w:val="24"/>
          <w:lang w:val="kk-KZ"/>
        </w:rPr>
        <w:t xml:space="preserve"> - 2018. -</w:t>
      </w:r>
      <w:r w:rsidR="0024789C" w:rsidRPr="00A936AB">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23,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4</w:t>
      </w:r>
      <w:r w:rsidR="0024789C">
        <w:rPr>
          <w:rFonts w:ascii="Times New Roman" w:hAnsi="Times New Roman" w:cs="Times New Roman"/>
          <w:noProof/>
          <w:sz w:val="28"/>
          <w:szCs w:val="24"/>
          <w:lang w:val="kk-KZ"/>
        </w:rPr>
        <w:t>.</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342–345</w:t>
      </w:r>
      <w:r w:rsidR="0024789C">
        <w:rPr>
          <w:rFonts w:ascii="Times New Roman" w:hAnsi="Times New Roman" w:cs="Times New Roman"/>
          <w:noProof/>
          <w:sz w:val="28"/>
          <w:szCs w:val="24"/>
          <w:lang w:val="kk-KZ"/>
        </w:rPr>
        <w:t>.</w:t>
      </w:r>
      <w:r w:rsidR="008C6800" w:rsidRPr="00EF7048">
        <w:rPr>
          <w:rFonts w:ascii="Times New Roman" w:hAnsi="Times New Roman" w:cs="Times New Roman"/>
          <w:noProof/>
          <w:sz w:val="28"/>
          <w:szCs w:val="24"/>
          <w:lang w:val="en-US"/>
        </w:rPr>
        <w:t xml:space="preserve"> doi: 10.1016/j.mefs.2018.04.009.</w:t>
      </w:r>
    </w:p>
    <w:p w14:paraId="09580BAE" w14:textId="0B5CEC23" w:rsidR="008C6800" w:rsidRPr="00EF7048"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28</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Farquharson</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R.G., Jauniaux</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E., Exalto</w:t>
      </w:r>
      <w:r w:rsidR="0024789C" w:rsidRPr="00A936AB">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N.</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Updated</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revised nomenclature for description of early pregnancy events</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Hum. Reprod.</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20,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11</w:t>
      </w:r>
      <w:r w:rsidR="0024789C">
        <w:rPr>
          <w:rFonts w:ascii="Times New Roman" w:hAnsi="Times New Roman" w:cs="Times New Roman"/>
          <w:noProof/>
          <w:sz w:val="28"/>
          <w:szCs w:val="24"/>
          <w:lang w:val="en-US"/>
        </w:rPr>
        <w:t>- Р.3008–3011, 2005,</w:t>
      </w:r>
      <w:r w:rsidR="008C6800" w:rsidRPr="00EF7048">
        <w:rPr>
          <w:rFonts w:ascii="Times New Roman" w:hAnsi="Times New Roman" w:cs="Times New Roman"/>
          <w:noProof/>
          <w:sz w:val="28"/>
          <w:szCs w:val="24"/>
          <w:lang w:val="en-US"/>
        </w:rPr>
        <w:t xml:space="preserve"> doi: 10.1093/humrep/dei167.</w:t>
      </w:r>
    </w:p>
    <w:p w14:paraId="11C4C684" w14:textId="630E5D1D" w:rsidR="008C6800" w:rsidRPr="00EF7048"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29</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Magnus</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M. C., Wilcox</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A. J., Morken</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N. H., Weinberg</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C. R., Håberg</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S.E.</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Role of maternal age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pregnancy history in risk of miscarriage: Prospective register based study</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BMJ</w:t>
      </w:r>
      <w:r w:rsidR="0024789C">
        <w:rPr>
          <w:rFonts w:ascii="Times New Roman" w:hAnsi="Times New Roman" w:cs="Times New Roman"/>
          <w:i/>
          <w:iCs/>
          <w:noProof/>
          <w:sz w:val="28"/>
          <w:szCs w:val="24"/>
          <w:lang w:val="kk-KZ"/>
        </w:rPr>
        <w:t xml:space="preserve">. </w:t>
      </w:r>
      <w:r w:rsidR="0024789C" w:rsidRPr="006779B1">
        <w:rPr>
          <w:rFonts w:ascii="Times New Roman" w:hAnsi="Times New Roman" w:cs="Times New Roman"/>
          <w:noProof/>
          <w:sz w:val="28"/>
          <w:szCs w:val="24"/>
          <w:lang w:val="kk-KZ"/>
        </w:rPr>
        <w:t>- 2019. -</w:t>
      </w:r>
      <w:r w:rsidR="0024789C" w:rsidRPr="006779B1">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364</w:t>
      </w:r>
      <w:r w:rsidR="0024789C">
        <w:rPr>
          <w:rFonts w:ascii="Times New Roman" w:hAnsi="Times New Roman" w:cs="Times New Roman"/>
          <w:noProof/>
          <w:sz w:val="28"/>
          <w:szCs w:val="24"/>
          <w:lang w:val="kk-KZ"/>
        </w:rPr>
        <w:t xml:space="preserve">. </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1–8</w:t>
      </w:r>
      <w:r w:rsidR="0024789C">
        <w:rPr>
          <w:rFonts w:ascii="Times New Roman" w:hAnsi="Times New Roman" w:cs="Times New Roman"/>
          <w:noProof/>
          <w:sz w:val="28"/>
          <w:szCs w:val="24"/>
          <w:lang w:val="kk-KZ"/>
        </w:rPr>
        <w:t>.</w:t>
      </w:r>
      <w:r w:rsidR="008C6800" w:rsidRPr="00EF7048">
        <w:rPr>
          <w:rFonts w:ascii="Times New Roman" w:hAnsi="Times New Roman" w:cs="Times New Roman"/>
          <w:noProof/>
          <w:sz w:val="28"/>
          <w:szCs w:val="24"/>
          <w:lang w:val="en-US"/>
        </w:rPr>
        <w:t xml:space="preserve"> doi: 10.1136/bmj.l869.</w:t>
      </w:r>
    </w:p>
    <w:p w14:paraId="45006130" w14:textId="4027A0A3" w:rsidR="008C6800" w:rsidRPr="00EF7048"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30</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Nagaoka</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S.I., Hassold</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T.J., Hunt</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P.A.</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Human aneuploidy: Mechanisms</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new insights into an age-old problem</w:t>
      </w:r>
      <w:r w:rsidR="0024789C">
        <w:rPr>
          <w:rFonts w:ascii="Times New Roman" w:hAnsi="Times New Roman" w:cs="Times New Roman"/>
          <w:noProof/>
          <w:sz w:val="28"/>
          <w:szCs w:val="24"/>
          <w:lang w:val="kk-KZ"/>
        </w:rPr>
        <w:t xml:space="preserve"> // </w:t>
      </w:r>
      <w:r w:rsidR="0024789C" w:rsidRPr="006779B1">
        <w:rPr>
          <w:rFonts w:ascii="Times New Roman" w:hAnsi="Times New Roman" w:cs="Times New Roman"/>
          <w:noProof/>
          <w:sz w:val="28"/>
          <w:szCs w:val="24"/>
          <w:lang w:val="en-US"/>
        </w:rPr>
        <w:t>Nat. Rev. Genet.</w:t>
      </w:r>
      <w:r w:rsidR="0024789C">
        <w:rPr>
          <w:rFonts w:ascii="Times New Roman" w:hAnsi="Times New Roman" w:cs="Times New Roman"/>
          <w:i/>
          <w:iCs/>
          <w:noProof/>
          <w:sz w:val="28"/>
          <w:szCs w:val="24"/>
          <w:lang w:val="kk-KZ"/>
        </w:rPr>
        <w:t xml:space="preserve"> - </w:t>
      </w:r>
      <w:r w:rsidR="0024789C" w:rsidRPr="006779B1">
        <w:rPr>
          <w:rFonts w:ascii="Times New Roman" w:hAnsi="Times New Roman" w:cs="Times New Roman"/>
          <w:noProof/>
          <w:sz w:val="28"/>
          <w:szCs w:val="24"/>
          <w:lang w:val="kk-KZ"/>
        </w:rPr>
        <w:t>2012. -</w:t>
      </w:r>
      <w:r w:rsidR="0024789C" w:rsidRPr="006779B1">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13,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7</w:t>
      </w:r>
      <w:r w:rsidR="0024789C">
        <w:rPr>
          <w:rFonts w:ascii="Times New Roman" w:hAnsi="Times New Roman" w:cs="Times New Roman"/>
          <w:noProof/>
          <w:sz w:val="28"/>
          <w:szCs w:val="24"/>
          <w:lang w:val="kk-KZ"/>
        </w:rPr>
        <w:t>.</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493–504</w:t>
      </w:r>
      <w:r w:rsidR="0024789C">
        <w:rPr>
          <w:rFonts w:ascii="Times New Roman" w:hAnsi="Times New Roman" w:cs="Times New Roman"/>
          <w:noProof/>
          <w:sz w:val="28"/>
          <w:szCs w:val="24"/>
          <w:lang w:val="kk-KZ"/>
        </w:rPr>
        <w:t>.</w:t>
      </w:r>
      <w:r w:rsidR="0024789C"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 xml:space="preserve"> doi: 10.1038/nrg3245.</w:t>
      </w:r>
    </w:p>
    <w:p w14:paraId="3A9D40DC" w14:textId="5F8DE4DD" w:rsidR="008C6800" w:rsidRPr="00EF7048" w:rsidRDefault="00745BEB"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31</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Tersoglio  A.E. Regenerative therapy by endometrial mesenchymal stem cells in thin endometrium with repeated implantation failure. A novel strategy</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J. Bras. Reprod. Assist.</w:t>
      </w:r>
      <w:r w:rsidR="0024789C">
        <w:rPr>
          <w:rFonts w:ascii="Times New Roman" w:hAnsi="Times New Roman" w:cs="Times New Roman"/>
          <w:i/>
          <w:iCs/>
          <w:noProof/>
          <w:sz w:val="28"/>
          <w:szCs w:val="24"/>
          <w:lang w:val="kk-KZ"/>
        </w:rPr>
        <w:t xml:space="preserve"> - </w:t>
      </w:r>
      <w:r w:rsidR="0024789C" w:rsidRPr="006779B1">
        <w:rPr>
          <w:rFonts w:ascii="Times New Roman" w:hAnsi="Times New Roman" w:cs="Times New Roman"/>
          <w:noProof/>
          <w:sz w:val="28"/>
          <w:szCs w:val="24"/>
          <w:lang w:val="kk-KZ"/>
        </w:rPr>
        <w:t>2020. -</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24,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2</w:t>
      </w:r>
      <w:r w:rsidR="0024789C">
        <w:rPr>
          <w:rFonts w:ascii="Times New Roman" w:hAnsi="Times New Roman" w:cs="Times New Roman"/>
          <w:noProof/>
          <w:sz w:val="28"/>
          <w:szCs w:val="24"/>
          <w:lang w:val="kk-KZ"/>
        </w:rPr>
        <w:t xml:space="preserve">. </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118–127</w:t>
      </w:r>
      <w:r w:rsidR="0024789C">
        <w:rPr>
          <w:rFonts w:ascii="Times New Roman" w:hAnsi="Times New Roman" w:cs="Times New Roman"/>
          <w:noProof/>
          <w:sz w:val="28"/>
          <w:szCs w:val="24"/>
          <w:lang w:val="kk-KZ"/>
        </w:rPr>
        <w:t>.</w:t>
      </w:r>
      <w:r w:rsidR="008C6800" w:rsidRPr="00EF7048">
        <w:rPr>
          <w:rFonts w:ascii="Times New Roman" w:hAnsi="Times New Roman" w:cs="Times New Roman"/>
          <w:noProof/>
          <w:sz w:val="28"/>
          <w:szCs w:val="24"/>
          <w:lang w:val="en-US"/>
        </w:rPr>
        <w:t xml:space="preserve"> doi: 10.5935/1518-0557.20190061.</w:t>
      </w:r>
    </w:p>
    <w:p w14:paraId="3DCE0A45" w14:textId="0B1C50F9"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32</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Li Y. Evaluation of peripheral</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uterine immune status of chronic endometritis in patients with recurrent reproductive failure</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 </w:t>
      </w:r>
      <w:r w:rsidR="0024789C" w:rsidRPr="006779B1">
        <w:rPr>
          <w:rFonts w:ascii="Times New Roman" w:hAnsi="Times New Roman" w:cs="Times New Roman"/>
          <w:noProof/>
          <w:sz w:val="28"/>
          <w:szCs w:val="24"/>
          <w:lang w:val="en-US"/>
        </w:rPr>
        <w:t>Fertil. Steril.</w:t>
      </w:r>
      <w:r w:rsidR="0024789C">
        <w:rPr>
          <w:rFonts w:ascii="Times New Roman" w:hAnsi="Times New Roman" w:cs="Times New Roman"/>
          <w:noProof/>
          <w:sz w:val="28"/>
          <w:szCs w:val="24"/>
          <w:lang w:val="kk-KZ"/>
        </w:rPr>
        <w:t xml:space="preserve"> - 2020. -</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113,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1</w:t>
      </w:r>
      <w:r w:rsidR="0024789C">
        <w:rPr>
          <w:rFonts w:ascii="Times New Roman" w:hAnsi="Times New Roman" w:cs="Times New Roman"/>
          <w:noProof/>
          <w:sz w:val="28"/>
          <w:szCs w:val="24"/>
          <w:lang w:val="kk-KZ"/>
        </w:rPr>
        <w:t>.</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 xml:space="preserve">187-196. </w:t>
      </w:r>
      <w:r w:rsidR="008C6800" w:rsidRPr="00EF7048">
        <w:rPr>
          <w:rFonts w:ascii="Times New Roman" w:hAnsi="Times New Roman" w:cs="Times New Roman"/>
          <w:noProof/>
          <w:sz w:val="28"/>
          <w:szCs w:val="24"/>
          <w:lang w:val="en-US"/>
        </w:rPr>
        <w:t xml:space="preserve"> doi: 10.1016/j.fertnstert.2019.09.001.</w:t>
      </w:r>
    </w:p>
    <w:p w14:paraId="246CC472" w14:textId="7D532C71"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33</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Coomarasamy  A. Micronized vaginal progesterone to prevent miscarriage: a critical evaluation of r</w:t>
      </w:r>
      <w:r w:rsidR="0024789C">
        <w:rPr>
          <w:rFonts w:ascii="Times New Roman" w:hAnsi="Times New Roman" w:cs="Times New Roman"/>
          <w:noProof/>
          <w:sz w:val="28"/>
          <w:szCs w:val="24"/>
          <w:lang w:val="en-US"/>
        </w:rPr>
        <w:t>and</w:t>
      </w:r>
      <w:r w:rsidR="0024789C" w:rsidRPr="00CB7B67">
        <w:rPr>
          <w:rFonts w:ascii="Times New Roman" w:hAnsi="Times New Roman" w:cs="Times New Roman"/>
          <w:noProof/>
          <w:sz w:val="28"/>
          <w:szCs w:val="24"/>
          <w:lang w:val="en-US"/>
        </w:rPr>
        <w:t>omized evidence</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 </w:t>
      </w:r>
      <w:r w:rsidR="0024789C" w:rsidRPr="006779B1">
        <w:rPr>
          <w:rFonts w:ascii="Times New Roman" w:hAnsi="Times New Roman" w:cs="Times New Roman"/>
          <w:noProof/>
          <w:sz w:val="28"/>
          <w:szCs w:val="24"/>
          <w:lang w:val="en-US"/>
        </w:rPr>
        <w:t>Am. J. Obstet. Gynecol.</w:t>
      </w:r>
      <w:r w:rsidR="0024789C">
        <w:rPr>
          <w:rFonts w:ascii="Times New Roman" w:hAnsi="Times New Roman" w:cs="Times New Roman"/>
          <w:noProof/>
          <w:sz w:val="28"/>
          <w:szCs w:val="24"/>
          <w:lang w:val="kk-KZ"/>
        </w:rPr>
        <w:t xml:space="preserve"> -2020. -</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223,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2</w:t>
      </w:r>
      <w:r w:rsidR="0024789C">
        <w:rPr>
          <w:rFonts w:ascii="Times New Roman" w:hAnsi="Times New Roman" w:cs="Times New Roman"/>
          <w:noProof/>
          <w:sz w:val="28"/>
          <w:szCs w:val="24"/>
          <w:lang w:val="kk-KZ"/>
        </w:rPr>
        <w:t>.</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167–176</w:t>
      </w:r>
      <w:r w:rsidR="0024789C">
        <w:rPr>
          <w:rFonts w:ascii="Times New Roman" w:hAnsi="Times New Roman" w:cs="Times New Roman"/>
          <w:noProof/>
          <w:sz w:val="28"/>
          <w:szCs w:val="24"/>
          <w:lang w:val="kk-KZ"/>
        </w:rPr>
        <w:t>.</w:t>
      </w:r>
      <w:r w:rsidR="0024789C"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 xml:space="preserve"> doi: 10.1016/j.ajog.2019.12.006.</w:t>
      </w:r>
    </w:p>
    <w:p w14:paraId="7BB918E9" w14:textId="5B8F0725"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34</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Ruiz-Alonso</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M., Valbuena</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D., Gomez</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C., Cuzzi</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J., Simon</w:t>
      </w:r>
      <w:r w:rsidR="0024789C" w:rsidRPr="006779B1">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C.</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Endometrial Receptivity Analysis (ERA): data versus opinions</w:t>
      </w:r>
      <w:r w:rsidR="0024789C">
        <w:rPr>
          <w:rFonts w:ascii="Times New Roman" w:hAnsi="Times New Roman" w:cs="Times New Roman"/>
          <w:noProof/>
          <w:sz w:val="28"/>
          <w:szCs w:val="24"/>
          <w:lang w:val="kk-KZ"/>
        </w:rPr>
        <w:t xml:space="preserve"> //</w:t>
      </w:r>
      <w:r w:rsidR="0024789C" w:rsidRPr="00CB7B67">
        <w:rPr>
          <w:rFonts w:ascii="Times New Roman" w:hAnsi="Times New Roman" w:cs="Times New Roman"/>
          <w:noProof/>
          <w:sz w:val="28"/>
          <w:szCs w:val="24"/>
          <w:lang w:val="en-US"/>
        </w:rPr>
        <w:t xml:space="preserve"> </w:t>
      </w:r>
      <w:r w:rsidR="0024789C" w:rsidRPr="00133F74">
        <w:rPr>
          <w:rFonts w:ascii="Times New Roman" w:hAnsi="Times New Roman" w:cs="Times New Roman"/>
          <w:noProof/>
          <w:sz w:val="28"/>
          <w:szCs w:val="24"/>
          <w:lang w:val="en-US"/>
        </w:rPr>
        <w:t>Hum. Reprod.</w:t>
      </w:r>
      <w:r w:rsidR="0024789C" w:rsidRPr="00CB7B67">
        <w:rPr>
          <w:rFonts w:ascii="Times New Roman" w:hAnsi="Times New Roman" w:cs="Times New Roman"/>
          <w:i/>
          <w:iCs/>
          <w:noProof/>
          <w:sz w:val="28"/>
          <w:szCs w:val="24"/>
          <w:lang w:val="en-US"/>
        </w:rPr>
        <w:t xml:space="preserve"> Open</w:t>
      </w:r>
      <w:r w:rsidR="0024789C">
        <w:rPr>
          <w:rFonts w:ascii="Times New Roman" w:hAnsi="Times New Roman" w:cs="Times New Roman"/>
          <w:noProof/>
          <w:sz w:val="28"/>
          <w:szCs w:val="24"/>
          <w:lang w:val="kk-KZ"/>
        </w:rPr>
        <w:t>. - 2021. -</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2021,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2</w:t>
      </w:r>
      <w:r w:rsidR="0024789C">
        <w:rPr>
          <w:rFonts w:ascii="Times New Roman" w:hAnsi="Times New Roman" w:cs="Times New Roman"/>
          <w:noProof/>
          <w:sz w:val="28"/>
          <w:szCs w:val="24"/>
          <w:lang w:val="kk-KZ"/>
        </w:rPr>
        <w:t>.</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1–11</w:t>
      </w:r>
      <w:r w:rsidR="0024789C">
        <w:rPr>
          <w:rFonts w:ascii="Times New Roman" w:hAnsi="Times New Roman" w:cs="Times New Roman"/>
          <w:noProof/>
          <w:sz w:val="28"/>
          <w:szCs w:val="24"/>
          <w:lang w:val="kk-KZ"/>
        </w:rPr>
        <w:t>.</w:t>
      </w:r>
      <w:r w:rsidR="0024789C"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10.1093/hropen/hoab011.</w:t>
      </w:r>
    </w:p>
    <w:p w14:paraId="06FD9823" w14:textId="67799069"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35</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Ticconi</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C., Pietropolli</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A., Di Simone</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N., Piccione</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E.,  Fazleabas</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A., Endometrial immune dysfunction in recurrent pregnancy loss</w:t>
      </w:r>
      <w:r w:rsidR="0024789C">
        <w:rPr>
          <w:rFonts w:ascii="Times New Roman" w:hAnsi="Times New Roman" w:cs="Times New Roman"/>
          <w:noProof/>
          <w:sz w:val="28"/>
          <w:szCs w:val="24"/>
          <w:lang w:val="kk-KZ"/>
        </w:rPr>
        <w:t xml:space="preserve"> // </w:t>
      </w:r>
      <w:r w:rsidR="0024789C" w:rsidRPr="00133F74">
        <w:rPr>
          <w:rFonts w:ascii="Times New Roman" w:hAnsi="Times New Roman" w:cs="Times New Roman"/>
          <w:noProof/>
          <w:sz w:val="28"/>
          <w:szCs w:val="24"/>
          <w:lang w:val="en-US"/>
        </w:rPr>
        <w:t>Int. J. Mol. Sci.</w:t>
      </w:r>
      <w:r w:rsidR="0024789C">
        <w:rPr>
          <w:rFonts w:ascii="Times New Roman" w:hAnsi="Times New Roman" w:cs="Times New Roman"/>
          <w:i/>
          <w:iCs/>
          <w:noProof/>
          <w:sz w:val="28"/>
          <w:szCs w:val="24"/>
          <w:lang w:val="kk-KZ"/>
        </w:rPr>
        <w:t xml:space="preserve"> - </w:t>
      </w:r>
      <w:r w:rsidR="0024789C" w:rsidRPr="00133F74">
        <w:rPr>
          <w:rFonts w:ascii="Times New Roman" w:hAnsi="Times New Roman" w:cs="Times New Roman"/>
          <w:noProof/>
          <w:sz w:val="28"/>
          <w:szCs w:val="24"/>
          <w:lang w:val="kk-KZ"/>
        </w:rPr>
        <w:t xml:space="preserve">2019. </w:t>
      </w:r>
      <w:r w:rsidR="0024789C">
        <w:rPr>
          <w:rFonts w:ascii="Times New Roman" w:hAnsi="Times New Roman" w:cs="Times New Roman"/>
          <w:i/>
          <w:iCs/>
          <w:noProof/>
          <w:sz w:val="28"/>
          <w:szCs w:val="24"/>
          <w:lang w:val="kk-KZ"/>
        </w:rPr>
        <w:t>-</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20,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21</w:t>
      </w:r>
      <w:r w:rsidR="0024789C">
        <w:rPr>
          <w:rFonts w:ascii="Times New Roman" w:hAnsi="Times New Roman" w:cs="Times New Roman"/>
          <w:noProof/>
          <w:sz w:val="28"/>
          <w:szCs w:val="24"/>
          <w:lang w:val="kk-KZ"/>
        </w:rPr>
        <w:t>. - 15 р.</w:t>
      </w:r>
      <w:r w:rsidR="008C6800" w:rsidRPr="00EF7048">
        <w:rPr>
          <w:rFonts w:ascii="Times New Roman" w:hAnsi="Times New Roman" w:cs="Times New Roman"/>
          <w:noProof/>
          <w:sz w:val="28"/>
          <w:szCs w:val="24"/>
          <w:lang w:val="en-US"/>
        </w:rPr>
        <w:t xml:space="preserve"> doi: 10.3390/ijms20215332.</w:t>
      </w:r>
    </w:p>
    <w:p w14:paraId="49C222FF" w14:textId="2FBF8F05"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36</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Larsen</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E. C., Christiansen</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O. B., Kolte A. M., Macklon</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N.</w:t>
      </w:r>
      <w:r w:rsidR="0024789C">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New insights into mechanisms behind miscarriage</w:t>
      </w:r>
      <w:r w:rsidR="0024789C">
        <w:rPr>
          <w:rFonts w:ascii="Times New Roman" w:hAnsi="Times New Roman" w:cs="Times New Roman"/>
          <w:noProof/>
          <w:sz w:val="28"/>
          <w:szCs w:val="24"/>
          <w:lang w:val="en-US"/>
        </w:rPr>
        <w:t xml:space="preserve"> </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BMC Med.</w:t>
      </w:r>
      <w:r w:rsidR="0024789C" w:rsidRPr="00133F74">
        <w:rPr>
          <w:rFonts w:ascii="Times New Roman" w:hAnsi="Times New Roman" w:cs="Times New Roman"/>
          <w:i/>
          <w:iCs/>
          <w:noProof/>
          <w:sz w:val="28"/>
          <w:szCs w:val="24"/>
          <w:lang w:val="en-US"/>
        </w:rPr>
        <w:t xml:space="preserve"> - </w:t>
      </w:r>
      <w:r w:rsidR="0024789C" w:rsidRPr="00133F74">
        <w:rPr>
          <w:rFonts w:ascii="Times New Roman" w:hAnsi="Times New Roman" w:cs="Times New Roman"/>
          <w:noProof/>
          <w:sz w:val="28"/>
          <w:szCs w:val="24"/>
          <w:lang w:val="en-US"/>
        </w:rPr>
        <w:t xml:space="preserve">2013. </w:t>
      </w:r>
      <w:r w:rsidR="0024789C" w:rsidRPr="00133F74">
        <w:rPr>
          <w:rFonts w:ascii="Times New Roman" w:hAnsi="Times New Roman" w:cs="Times New Roman"/>
          <w:i/>
          <w:iCs/>
          <w:noProof/>
          <w:sz w:val="28"/>
          <w:szCs w:val="24"/>
          <w:lang w:val="en-US"/>
        </w:rPr>
        <w:t>-</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11,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1</w:t>
      </w:r>
      <w:r w:rsidR="0024789C" w:rsidRPr="00133F74">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 xml:space="preserve"> doi: 10.1186/1741-7015-11-154.</w:t>
      </w:r>
    </w:p>
    <w:p w14:paraId="37C577E4" w14:textId="6EA73203" w:rsidR="008C6800" w:rsidRPr="008C6800" w:rsidRDefault="00CC3DF3" w:rsidP="0024789C">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Pr>
          <w:rFonts w:ascii="Times New Roman" w:hAnsi="Times New Roman" w:cs="Times New Roman"/>
          <w:noProof/>
          <w:sz w:val="28"/>
          <w:szCs w:val="24"/>
        </w:rPr>
        <w:t>37</w:t>
      </w:r>
      <w:r w:rsidR="008C6800" w:rsidRPr="008C6800">
        <w:rPr>
          <w:rFonts w:ascii="Times New Roman" w:hAnsi="Times New Roman" w:cs="Times New Roman"/>
          <w:noProof/>
          <w:sz w:val="28"/>
          <w:szCs w:val="24"/>
        </w:rPr>
        <w:tab/>
      </w:r>
      <w:r w:rsidR="0024789C" w:rsidRPr="00431D69">
        <w:rPr>
          <w:rFonts w:ascii="Times New Roman" w:hAnsi="Times New Roman" w:cs="Times New Roman"/>
          <w:noProof/>
          <w:sz w:val="28"/>
          <w:szCs w:val="24"/>
        </w:rPr>
        <w:t>Радзинский</w:t>
      </w:r>
      <w:r w:rsidR="0024789C" w:rsidRPr="00133F74">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В</w:t>
      </w:r>
      <w:r w:rsidR="0024789C" w:rsidRPr="00A936AB">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Е</w:t>
      </w:r>
      <w:r w:rsidR="0024789C" w:rsidRPr="00A936AB">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Маклецова</w:t>
      </w:r>
      <w:r w:rsidR="0024789C" w:rsidRPr="00133F74">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С</w:t>
      </w:r>
      <w:r w:rsidR="0024789C" w:rsidRPr="00A936AB">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А</w:t>
      </w:r>
      <w:r w:rsidR="0024789C" w:rsidRPr="00A936AB">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Алеев</w:t>
      </w:r>
      <w:r w:rsidR="0024789C" w:rsidRPr="00133F74">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И</w:t>
      </w:r>
      <w:r w:rsidR="0024789C" w:rsidRPr="00A936AB">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А</w:t>
      </w:r>
      <w:r w:rsidR="0024789C" w:rsidRPr="00A936AB">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Руднева</w:t>
      </w:r>
      <w:r w:rsidR="0024789C" w:rsidRPr="00133F74">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О</w:t>
      </w:r>
      <w:r w:rsidR="0024789C" w:rsidRPr="00A936AB">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Д</w:t>
      </w:r>
      <w:r w:rsidR="0024789C" w:rsidRPr="00A936AB">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Рябинкина</w:t>
      </w:r>
      <w:r w:rsidR="0024789C" w:rsidRPr="00133F74">
        <w:rPr>
          <w:rFonts w:ascii="Times New Roman" w:hAnsi="Times New Roman" w:cs="Times New Roman"/>
          <w:noProof/>
          <w:sz w:val="28"/>
          <w:szCs w:val="24"/>
        </w:rPr>
        <w:t xml:space="preserve"> </w:t>
      </w:r>
      <w:r w:rsidR="0024789C" w:rsidRPr="00431D69">
        <w:rPr>
          <w:rFonts w:ascii="Times New Roman" w:hAnsi="Times New Roman" w:cs="Times New Roman"/>
          <w:noProof/>
          <w:sz w:val="28"/>
          <w:szCs w:val="24"/>
        </w:rPr>
        <w:t>Т</w:t>
      </w:r>
      <w:r w:rsidR="0024789C" w:rsidRPr="00A936AB">
        <w:rPr>
          <w:rFonts w:ascii="Times New Roman" w:hAnsi="Times New Roman" w:cs="Times New Roman"/>
          <w:noProof/>
          <w:sz w:val="28"/>
          <w:szCs w:val="24"/>
        </w:rPr>
        <w:t>.</w:t>
      </w:r>
      <w:r w:rsidR="0024789C" w:rsidRPr="00431D69">
        <w:rPr>
          <w:rFonts w:ascii="Times New Roman" w:hAnsi="Times New Roman" w:cs="Times New Roman"/>
          <w:noProof/>
          <w:sz w:val="28"/>
          <w:szCs w:val="24"/>
        </w:rPr>
        <w:t>С</w:t>
      </w:r>
      <w:r w:rsidR="0024789C" w:rsidRPr="00A936AB">
        <w:rPr>
          <w:rFonts w:ascii="Times New Roman" w:hAnsi="Times New Roman" w:cs="Times New Roman"/>
          <w:noProof/>
          <w:sz w:val="28"/>
          <w:szCs w:val="24"/>
        </w:rPr>
        <w:t>.</w:t>
      </w:r>
      <w:r w:rsidR="0024789C" w:rsidRPr="00133F74">
        <w:rPr>
          <w:rFonts w:ascii="Times New Roman" w:hAnsi="Times New Roman" w:cs="Times New Roman"/>
          <w:noProof/>
          <w:sz w:val="28"/>
          <w:szCs w:val="24"/>
        </w:rPr>
        <w:t>Неразвивающаяся беременность. методические рекомендации марс (</w:t>
      </w:r>
      <w:r w:rsidR="0024789C">
        <w:rPr>
          <w:rFonts w:ascii="Times New Roman" w:hAnsi="Times New Roman" w:cs="Times New Roman"/>
          <w:noProof/>
          <w:sz w:val="28"/>
          <w:szCs w:val="24"/>
        </w:rPr>
        <w:t>М</w:t>
      </w:r>
      <w:r w:rsidR="0024789C" w:rsidRPr="00133F74">
        <w:rPr>
          <w:rFonts w:ascii="Times New Roman" w:hAnsi="Times New Roman" w:cs="Times New Roman"/>
          <w:noProof/>
          <w:sz w:val="28"/>
          <w:szCs w:val="24"/>
        </w:rPr>
        <w:t xml:space="preserve">еждисциплинарной ассоциации специалистов репродуктивной медицины). </w:t>
      </w:r>
      <w:r w:rsidR="0024789C">
        <w:rPr>
          <w:rFonts w:ascii="Times New Roman" w:hAnsi="Times New Roman" w:cs="Times New Roman"/>
          <w:noProof/>
          <w:sz w:val="28"/>
          <w:szCs w:val="24"/>
        </w:rPr>
        <w:t xml:space="preserve">- </w:t>
      </w:r>
      <w:r w:rsidR="0024789C" w:rsidRPr="00133F74">
        <w:rPr>
          <w:rFonts w:ascii="Times New Roman" w:hAnsi="Times New Roman" w:cs="Times New Roman"/>
          <w:noProof/>
          <w:sz w:val="28"/>
          <w:szCs w:val="24"/>
        </w:rPr>
        <w:t>2015.</w:t>
      </w:r>
    </w:p>
    <w:p w14:paraId="5DB3BACE" w14:textId="77777777" w:rsidR="0024789C" w:rsidRPr="00CB7B67" w:rsidRDefault="00CC3DF3" w:rsidP="0024789C">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38</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Liu</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K. E., Hartman</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M., Hartman</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A., Luo</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Z.-C.,  Mahutte</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N.</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The impact of a thin endometrial lining on fresh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frozen–thaw IVF outcomes: an analysis of over 40 000 embryo transfers</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Hum. Reprod.</w:t>
      </w:r>
      <w:r w:rsidR="0024789C" w:rsidRPr="00133F74">
        <w:rPr>
          <w:rFonts w:ascii="Times New Roman" w:hAnsi="Times New Roman" w:cs="Times New Roman"/>
          <w:i/>
          <w:iCs/>
          <w:noProof/>
          <w:sz w:val="28"/>
          <w:szCs w:val="24"/>
          <w:lang w:val="en-US"/>
        </w:rPr>
        <w:t xml:space="preserve"> - </w:t>
      </w:r>
      <w:r w:rsidR="0024789C" w:rsidRPr="00133F74">
        <w:rPr>
          <w:rFonts w:ascii="Times New Roman" w:hAnsi="Times New Roman" w:cs="Times New Roman"/>
          <w:noProof/>
          <w:sz w:val="28"/>
          <w:szCs w:val="24"/>
          <w:lang w:val="en-US"/>
        </w:rPr>
        <w:t xml:space="preserve">2018. </w:t>
      </w:r>
      <w:r w:rsidR="0024789C" w:rsidRPr="00133F74">
        <w:rPr>
          <w:rFonts w:ascii="Times New Roman" w:hAnsi="Times New Roman" w:cs="Times New Roman"/>
          <w:i/>
          <w:iCs/>
          <w:noProof/>
          <w:sz w:val="28"/>
          <w:szCs w:val="24"/>
          <w:lang w:val="en-US"/>
        </w:rPr>
        <w:t>-</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33,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10</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1883–1888.</w:t>
      </w:r>
    </w:p>
    <w:p w14:paraId="4DB34317" w14:textId="64775418"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39</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Gao</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G., Cui</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X., Li</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S., Ding</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P., Zhang</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S., Zhang</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Y.</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Endometrial thickness</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IVF cycle outcomes: a meta-analysis</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Reprod. Biomed. Online</w:t>
      </w:r>
      <w:r w:rsidR="0024789C" w:rsidRPr="00133F74">
        <w:rPr>
          <w:rFonts w:ascii="Times New Roman" w:hAnsi="Times New Roman" w:cs="Times New Roman"/>
          <w:i/>
          <w:iCs/>
          <w:noProof/>
          <w:sz w:val="28"/>
          <w:szCs w:val="24"/>
          <w:lang w:val="en-US"/>
        </w:rPr>
        <w:t>. - 2020. -</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40,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1</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124–133</w:t>
      </w:r>
      <w:r w:rsidR="0024789C" w:rsidRPr="00133F74">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 xml:space="preserve"> doi: 10.1016/j.rbmo.2019.09.005.</w:t>
      </w:r>
    </w:p>
    <w:p w14:paraId="456153F9" w14:textId="77777777" w:rsidR="0024789C"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40</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Homminga I.</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Hoek</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A.</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Thin endometrial lining : is it more prevalent in patients utilizing preimplantation genetic testing for monogenic disease ( PGT-M )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related to prior hormonal contraceptive use ?</w:t>
      </w:r>
      <w:r w:rsidR="0024789C" w:rsidRPr="00133F74">
        <w:rPr>
          <w:rFonts w:ascii="Times New Roman" w:hAnsi="Times New Roman" w:cs="Times New Roman"/>
          <w:noProof/>
          <w:sz w:val="28"/>
          <w:szCs w:val="24"/>
          <w:lang w:val="en-US"/>
        </w:rPr>
        <w:t>. - 2022.</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 xml:space="preserve"> 1–10.</w:t>
      </w:r>
    </w:p>
    <w:p w14:paraId="350DE95A" w14:textId="06263991"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41</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Zhao</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J., Zhang</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Q., Wang</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Y., Li</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Y.</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Endometrial pattern, thickness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growth in predicting pregnancy outcome following 3319 IVF cycle</w:t>
      </w:r>
      <w:r w:rsidR="0024789C" w:rsidRPr="00133F74">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Reprod. Biomed. Online</w:t>
      </w:r>
      <w:r w:rsidR="0024789C" w:rsidRPr="00883522">
        <w:rPr>
          <w:rFonts w:ascii="Times New Roman" w:hAnsi="Times New Roman" w:cs="Times New Roman"/>
          <w:noProof/>
          <w:sz w:val="28"/>
          <w:szCs w:val="24"/>
          <w:lang w:val="en-US"/>
        </w:rPr>
        <w:t>. - 2014. -</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29,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3</w:t>
      </w:r>
      <w:r w:rsidR="0024789C" w:rsidRPr="00883522">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291–298</w:t>
      </w:r>
      <w:r w:rsidR="0024789C" w:rsidRPr="00883522">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doi:10.1016/j.rbmo.2014.05.011.</w:t>
      </w:r>
    </w:p>
    <w:p w14:paraId="71BDE85A" w14:textId="15F71C2F"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42</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Miwa</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I., Tamura</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H., Takasaki</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A., Yamagata</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Y., Shimamura</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K., Sugino</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N.</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Pathophysiologic features of ‘thin’ endometrium</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Fertil. Steril.</w:t>
      </w:r>
      <w:r w:rsidR="0024789C" w:rsidRPr="00883522">
        <w:rPr>
          <w:rFonts w:ascii="Times New Roman" w:hAnsi="Times New Roman" w:cs="Times New Roman"/>
          <w:i/>
          <w:iCs/>
          <w:noProof/>
          <w:sz w:val="28"/>
          <w:szCs w:val="24"/>
          <w:lang w:val="en-US"/>
        </w:rPr>
        <w:t>- 2009.-</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91,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4</w:t>
      </w:r>
      <w:r w:rsidR="0024789C" w:rsidRPr="00883522">
        <w:rPr>
          <w:rFonts w:ascii="Times New Roman" w:hAnsi="Times New Roman" w:cs="Times New Roman"/>
          <w:noProof/>
          <w:sz w:val="28"/>
          <w:szCs w:val="24"/>
          <w:lang w:val="en-US"/>
        </w:rPr>
        <w:t>.</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998–1004</w:t>
      </w:r>
      <w:r w:rsidR="0024789C" w:rsidRPr="00883522">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 xml:space="preserve"> doi: 10.1016/j.fertnstert.2008.01.029.</w:t>
      </w:r>
    </w:p>
    <w:p w14:paraId="1D87A98D" w14:textId="2B91D663"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43</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Gao  M. Abnormal expression of estrogen receptor is associated with thin endometrium</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Gynecol. Endocrinol.</w:t>
      </w:r>
      <w:r w:rsidR="0024789C" w:rsidRPr="00883522">
        <w:rPr>
          <w:rFonts w:ascii="Times New Roman" w:hAnsi="Times New Roman" w:cs="Times New Roman"/>
          <w:noProof/>
          <w:sz w:val="28"/>
          <w:szCs w:val="24"/>
          <w:lang w:val="en-US"/>
        </w:rPr>
        <w:t xml:space="preserve"> - 2019.-</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35,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6</w:t>
      </w:r>
      <w:r w:rsidR="0024789C" w:rsidRPr="00883522">
        <w:rPr>
          <w:rFonts w:ascii="Times New Roman" w:hAnsi="Times New Roman" w:cs="Times New Roman"/>
          <w:noProof/>
          <w:sz w:val="28"/>
          <w:szCs w:val="24"/>
          <w:lang w:val="en-US"/>
        </w:rPr>
        <w:t>.</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544–547</w:t>
      </w:r>
      <w:r w:rsidR="0024789C" w:rsidRPr="00883522">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 xml:space="preserve"> doi: 10.1080/09513590.2018.1554035.</w:t>
      </w:r>
    </w:p>
    <w:p w14:paraId="78804C94" w14:textId="7CA8FC8E"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44</w:t>
      </w:r>
      <w:r w:rsidR="008C6800" w:rsidRPr="00EF7048">
        <w:rPr>
          <w:rFonts w:ascii="Times New Roman" w:hAnsi="Times New Roman" w:cs="Times New Roman"/>
          <w:noProof/>
          <w:sz w:val="28"/>
          <w:szCs w:val="24"/>
          <w:lang w:val="en-US"/>
        </w:rPr>
        <w:tab/>
      </w:r>
      <w:r w:rsidR="0024789C" w:rsidRPr="00CB7B67">
        <w:rPr>
          <w:rFonts w:ascii="Times New Roman" w:hAnsi="Times New Roman" w:cs="Times New Roman"/>
          <w:noProof/>
          <w:sz w:val="28"/>
          <w:szCs w:val="24"/>
          <w:lang w:val="en-US"/>
        </w:rPr>
        <w:t>Shang</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Y., Wu</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M., He</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R., Ye</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Y., Sun</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X.</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Administration of growth hormone improves endometrial function in women undergoing in vitro fertilization: a systematic review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meta-analysis</w:t>
      </w:r>
      <w:r w:rsidR="0024789C" w:rsidRPr="00883522">
        <w:rPr>
          <w:rFonts w:ascii="Times New Roman" w:hAnsi="Times New Roman" w:cs="Times New Roman"/>
          <w:noProof/>
          <w:sz w:val="28"/>
          <w:szCs w:val="24"/>
          <w:lang w:val="en-US"/>
        </w:rPr>
        <w:t xml:space="preserve"> //</w:t>
      </w:r>
      <w:r w:rsidR="0024789C" w:rsidRPr="00CB7B67">
        <w:rPr>
          <w:rFonts w:ascii="Times New Roman" w:hAnsi="Times New Roman" w:cs="Times New Roman"/>
          <w:noProof/>
          <w:sz w:val="28"/>
          <w:szCs w:val="24"/>
          <w:lang w:val="en-US"/>
        </w:rPr>
        <w:t xml:space="preserve"> </w:t>
      </w:r>
      <w:r w:rsidR="0024789C" w:rsidRPr="00CB7B67">
        <w:rPr>
          <w:rFonts w:ascii="Times New Roman" w:hAnsi="Times New Roman" w:cs="Times New Roman"/>
          <w:i/>
          <w:iCs/>
          <w:noProof/>
          <w:sz w:val="28"/>
          <w:szCs w:val="24"/>
          <w:lang w:val="en-US"/>
        </w:rPr>
        <w:t>Hum. Reprod. Update</w:t>
      </w:r>
      <w:r w:rsidR="0024789C" w:rsidRPr="00883522">
        <w:rPr>
          <w:rFonts w:ascii="Times New Roman" w:hAnsi="Times New Roman" w:cs="Times New Roman"/>
          <w:noProof/>
          <w:sz w:val="28"/>
          <w:szCs w:val="24"/>
          <w:lang w:val="en-US"/>
        </w:rPr>
        <w:t>. - 2022. -</w:t>
      </w:r>
      <w:r w:rsidR="0024789C" w:rsidRPr="00CB7B67">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Vol.</w:t>
      </w:r>
      <w:r w:rsidR="0024789C" w:rsidRPr="00CB7B67">
        <w:rPr>
          <w:rFonts w:ascii="Times New Roman" w:hAnsi="Times New Roman" w:cs="Times New Roman"/>
          <w:noProof/>
          <w:sz w:val="28"/>
          <w:szCs w:val="24"/>
          <w:lang w:val="en-US"/>
        </w:rPr>
        <w:t xml:space="preserve"> 28, </w:t>
      </w:r>
      <w:r w:rsidR="0024789C">
        <w:rPr>
          <w:rFonts w:ascii="Times New Roman" w:hAnsi="Times New Roman" w:cs="Times New Roman"/>
          <w:noProof/>
          <w:sz w:val="28"/>
          <w:szCs w:val="24"/>
          <w:lang w:val="en-US"/>
        </w:rPr>
        <w:t>№</w:t>
      </w:r>
      <w:r w:rsidR="0024789C" w:rsidRPr="00CB7B67">
        <w:rPr>
          <w:rFonts w:ascii="Times New Roman" w:hAnsi="Times New Roman" w:cs="Times New Roman"/>
          <w:noProof/>
          <w:sz w:val="28"/>
          <w:szCs w:val="24"/>
          <w:lang w:val="en-US"/>
        </w:rPr>
        <w:t xml:space="preserve"> 6</w:t>
      </w:r>
      <w:r w:rsidR="0024789C" w:rsidRPr="00883522">
        <w:rPr>
          <w:rFonts w:ascii="Times New Roman" w:hAnsi="Times New Roman" w:cs="Times New Roman"/>
          <w:noProof/>
          <w:sz w:val="28"/>
          <w:szCs w:val="24"/>
          <w:lang w:val="en-US"/>
        </w:rPr>
        <w:t xml:space="preserve">. </w:t>
      </w:r>
      <w:r w:rsidR="0024789C">
        <w:rPr>
          <w:rFonts w:ascii="Times New Roman" w:hAnsi="Times New Roman" w:cs="Times New Roman"/>
          <w:noProof/>
          <w:sz w:val="28"/>
          <w:szCs w:val="24"/>
          <w:lang w:val="en-US"/>
        </w:rPr>
        <w:t>- Р.</w:t>
      </w:r>
      <w:r w:rsidR="0024789C" w:rsidRPr="00CB7B67">
        <w:rPr>
          <w:rFonts w:ascii="Times New Roman" w:hAnsi="Times New Roman" w:cs="Times New Roman"/>
          <w:noProof/>
          <w:sz w:val="28"/>
          <w:szCs w:val="24"/>
          <w:lang w:val="en-US"/>
        </w:rPr>
        <w:t>838–857</w:t>
      </w:r>
      <w:r w:rsidR="0024789C" w:rsidRPr="00883522">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 xml:space="preserve"> doi: 10.1093/humupd/dmac028.</w:t>
      </w:r>
    </w:p>
    <w:p w14:paraId="6D06B91B" w14:textId="35F7040B"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45</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 xml:space="preserve">Lédée  N. Endometrial vascularity by three-dimensional power Doppler ultrasound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cytokines: a complementary approach to assess uterine receptivity</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J. Reprod. Immunol.</w:t>
      </w:r>
      <w:r w:rsidR="00050DA8" w:rsidRPr="00883522">
        <w:rPr>
          <w:rFonts w:ascii="Times New Roman" w:hAnsi="Times New Roman" w:cs="Times New Roman"/>
          <w:noProof/>
          <w:sz w:val="28"/>
          <w:szCs w:val="24"/>
          <w:lang w:val="en-US"/>
        </w:rPr>
        <w:t xml:space="preserve"> - 2008.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77,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1</w:t>
      </w:r>
      <w:r w:rsidR="00050DA8" w:rsidRPr="00883522">
        <w:rPr>
          <w:rFonts w:ascii="Times New Roman" w:hAnsi="Times New Roman" w:cs="Times New Roman"/>
          <w:noProof/>
          <w:sz w:val="28"/>
          <w:szCs w:val="24"/>
          <w:lang w:val="en-US"/>
        </w:rPr>
        <w:t>.</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57–6</w:t>
      </w:r>
      <w:r w:rsidR="00050DA8" w:rsidRPr="00883522">
        <w:rPr>
          <w:rFonts w:ascii="Times New Roman" w:hAnsi="Times New Roman" w:cs="Times New Roman"/>
          <w:noProof/>
          <w:sz w:val="28"/>
          <w:szCs w:val="24"/>
          <w:lang w:val="en-US"/>
        </w:rPr>
        <w:t>8.</w:t>
      </w:r>
      <w:r w:rsidR="008C6800" w:rsidRPr="00EF7048">
        <w:rPr>
          <w:rFonts w:ascii="Times New Roman" w:hAnsi="Times New Roman" w:cs="Times New Roman"/>
          <w:noProof/>
          <w:sz w:val="28"/>
          <w:szCs w:val="24"/>
          <w:lang w:val="en-US"/>
        </w:rPr>
        <w:t xml:space="preserve"> doi: 10.1016/j.jri.2007.07.006.</w:t>
      </w:r>
    </w:p>
    <w:p w14:paraId="35F83E04" w14:textId="37A9D482"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46</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Mahutte</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N., Hartman</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M., Meng</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L., Lanes A., Luo</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Z.C., Liu</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K.E. Optimal endometrial thickness in fresh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frozen-thaw in vitro fertilization cycles: an analysis of live birth rates from 96,000 autologous embryo transfers</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Fertil. Steril.</w:t>
      </w:r>
      <w:r w:rsidR="00050DA8" w:rsidRPr="00CB7B67">
        <w:rPr>
          <w:rFonts w:ascii="Times New Roman" w:hAnsi="Times New Roman" w:cs="Times New Roman"/>
          <w:noProof/>
          <w:sz w:val="28"/>
          <w:szCs w:val="24"/>
          <w:lang w:val="en-US"/>
        </w:rPr>
        <w:t xml:space="preserve"> </w:t>
      </w:r>
      <w:r w:rsidR="00050DA8" w:rsidRPr="00883522">
        <w:rPr>
          <w:rFonts w:ascii="Times New Roman" w:hAnsi="Times New Roman" w:cs="Times New Roman"/>
          <w:noProof/>
          <w:sz w:val="28"/>
          <w:szCs w:val="24"/>
          <w:lang w:val="en-US"/>
        </w:rPr>
        <w:t>- 2022.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117,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4</w:t>
      </w:r>
      <w:r w:rsidR="00050DA8" w:rsidRPr="00883522">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10.1016/j.fertnstert.2021.12.025.</w:t>
      </w:r>
    </w:p>
    <w:p w14:paraId="0F6FE703" w14:textId="0AE7707D"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47</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Kim</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H., Shin</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J.E., Koo</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H.S., Kwon</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H., Choi</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D.H.,  Kim</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J.H.,</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Effect of autologous platelet-rich plasma treatment on refractory thin endometrium during the frozen embryo transfer cycle: A pilot study</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 xml:space="preserve">Front. Endocrinol. </w:t>
      </w:r>
      <w:r w:rsidR="00050DA8" w:rsidRPr="00334BA6">
        <w:rPr>
          <w:rFonts w:ascii="Times New Roman" w:hAnsi="Times New Roman" w:cs="Times New Roman"/>
          <w:i/>
          <w:iCs/>
          <w:noProof/>
          <w:sz w:val="28"/>
          <w:szCs w:val="24"/>
          <w:lang w:val="en-US"/>
        </w:rPr>
        <w:t>(</w:t>
      </w:r>
      <w:r w:rsidR="00050DA8" w:rsidRPr="00CB7B67">
        <w:rPr>
          <w:rFonts w:ascii="Times New Roman" w:hAnsi="Times New Roman" w:cs="Times New Roman"/>
          <w:i/>
          <w:iCs/>
          <w:noProof/>
          <w:sz w:val="28"/>
          <w:szCs w:val="24"/>
          <w:lang w:val="en-US"/>
        </w:rPr>
        <w:t>Lausanne</w:t>
      </w:r>
      <w:r w:rsidR="00050DA8" w:rsidRPr="00334BA6">
        <w:rPr>
          <w:rFonts w:ascii="Times New Roman" w:hAnsi="Times New Roman" w:cs="Times New Roman"/>
          <w:i/>
          <w:iCs/>
          <w:noProof/>
          <w:sz w:val="28"/>
          <w:szCs w:val="24"/>
          <w:lang w:val="en-US"/>
        </w:rPr>
        <w:t xml:space="preserve">). -2019. - </w:t>
      </w:r>
      <w:r w:rsidR="00050DA8" w:rsidRPr="00334BA6">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334BA6">
        <w:rPr>
          <w:rFonts w:ascii="Times New Roman" w:hAnsi="Times New Roman" w:cs="Times New Roman"/>
          <w:noProof/>
          <w:sz w:val="28"/>
          <w:szCs w:val="24"/>
          <w:lang w:val="en-US"/>
        </w:rPr>
        <w:t xml:space="preserve">. 10, № 2. - </w:t>
      </w:r>
      <w:r w:rsidR="00050DA8" w:rsidRPr="00133F74">
        <w:rPr>
          <w:rFonts w:ascii="Times New Roman" w:hAnsi="Times New Roman" w:cs="Times New Roman"/>
          <w:noProof/>
          <w:sz w:val="28"/>
          <w:szCs w:val="24"/>
        </w:rPr>
        <w:t>Р</w:t>
      </w:r>
      <w:r w:rsidR="00050DA8" w:rsidRPr="00334BA6">
        <w:rPr>
          <w:rFonts w:ascii="Times New Roman" w:hAnsi="Times New Roman" w:cs="Times New Roman"/>
          <w:noProof/>
          <w:sz w:val="28"/>
          <w:szCs w:val="24"/>
          <w:lang w:val="en-US"/>
        </w:rPr>
        <w:t>.1–9.</w:t>
      </w:r>
      <w:r w:rsidR="008C6800" w:rsidRPr="00EF7048">
        <w:rPr>
          <w:rFonts w:ascii="Times New Roman" w:hAnsi="Times New Roman" w:cs="Times New Roman"/>
          <w:noProof/>
          <w:sz w:val="28"/>
          <w:szCs w:val="24"/>
          <w:lang w:val="en-US"/>
        </w:rPr>
        <w:t xml:space="preserve"> doi: 10.3389/fendo.2019.00061.</w:t>
      </w:r>
    </w:p>
    <w:p w14:paraId="52FE2379" w14:textId="7D174762" w:rsidR="008C6800" w:rsidRPr="00EF7048" w:rsidRDefault="00CC3DF3" w:rsidP="00050DA8">
      <w:pPr>
        <w:pStyle w:val="affc"/>
        <w:tabs>
          <w:tab w:val="left" w:pos="0"/>
          <w:tab w:val="left" w:pos="567"/>
        </w:tabs>
        <w:spacing w:after="0"/>
        <w:rPr>
          <w:rFonts w:ascii="Times New Roman" w:hAnsi="Times New Roman" w:cs="Times New Roman"/>
          <w:sz w:val="28"/>
          <w:szCs w:val="28"/>
          <w:lang w:val="en-US" w:eastAsia="ru-RU"/>
        </w:rPr>
      </w:pPr>
      <w:r w:rsidRPr="00EF7048">
        <w:rPr>
          <w:rFonts w:ascii="Times New Roman" w:hAnsi="Times New Roman" w:cs="Times New Roman"/>
          <w:noProof/>
          <w:sz w:val="28"/>
          <w:szCs w:val="24"/>
          <w:lang w:val="en-US"/>
        </w:rPr>
        <w:t>48</w:t>
      </w:r>
      <w:r w:rsidR="008C6800" w:rsidRPr="00EF7048">
        <w:rPr>
          <w:rFonts w:ascii="Times New Roman" w:hAnsi="Times New Roman" w:cs="Times New Roman"/>
          <w:noProof/>
          <w:sz w:val="28"/>
          <w:szCs w:val="24"/>
          <w:lang w:val="en-US"/>
        </w:rPr>
        <w:tab/>
      </w:r>
      <w:r w:rsidR="00050DA8" w:rsidRPr="00431D69">
        <w:rPr>
          <w:rFonts w:ascii="Times New Roman" w:hAnsi="Times New Roman" w:cs="Times New Roman"/>
          <w:noProof/>
          <w:sz w:val="28"/>
          <w:szCs w:val="24"/>
        </w:rPr>
        <w:t>Мошкалова</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Г</w:t>
      </w:r>
      <w:r w:rsidR="00050DA8" w:rsidRPr="00334BA6">
        <w:rPr>
          <w:rFonts w:ascii="Times New Roman" w:hAnsi="Times New Roman" w:cs="Times New Roman"/>
          <w:noProof/>
          <w:sz w:val="28"/>
          <w:szCs w:val="24"/>
          <w:lang w:val="en-US"/>
        </w:rPr>
        <w:t>.</w:t>
      </w:r>
      <w:r w:rsidR="00050DA8" w:rsidRPr="00431D69">
        <w:rPr>
          <w:rFonts w:ascii="Times New Roman" w:hAnsi="Times New Roman" w:cs="Times New Roman"/>
          <w:noProof/>
          <w:sz w:val="28"/>
          <w:szCs w:val="24"/>
        </w:rPr>
        <w:t>Н</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Анартаева</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Г</w:t>
      </w:r>
      <w:r w:rsidR="00050DA8" w:rsidRPr="00334BA6">
        <w:rPr>
          <w:rFonts w:ascii="Times New Roman" w:hAnsi="Times New Roman" w:cs="Times New Roman"/>
          <w:noProof/>
          <w:sz w:val="28"/>
          <w:szCs w:val="24"/>
          <w:lang w:val="en-US"/>
        </w:rPr>
        <w:t>.</w:t>
      </w:r>
      <w:r w:rsidR="00050DA8" w:rsidRPr="00431D69">
        <w:rPr>
          <w:rFonts w:ascii="Times New Roman" w:hAnsi="Times New Roman" w:cs="Times New Roman"/>
          <w:noProof/>
          <w:sz w:val="28"/>
          <w:szCs w:val="24"/>
        </w:rPr>
        <w:t>Ж</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Курманова</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А</w:t>
      </w:r>
      <w:r w:rsidR="00050DA8" w:rsidRPr="00334BA6">
        <w:rPr>
          <w:rFonts w:ascii="Times New Roman" w:hAnsi="Times New Roman" w:cs="Times New Roman"/>
          <w:noProof/>
          <w:sz w:val="28"/>
          <w:szCs w:val="24"/>
          <w:lang w:val="en-US"/>
        </w:rPr>
        <w:t>.</w:t>
      </w:r>
      <w:r w:rsidR="00050DA8" w:rsidRPr="00431D69">
        <w:rPr>
          <w:rFonts w:ascii="Times New Roman" w:hAnsi="Times New Roman" w:cs="Times New Roman"/>
          <w:noProof/>
          <w:sz w:val="28"/>
          <w:szCs w:val="24"/>
        </w:rPr>
        <w:t>М</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Мамедалиева</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Н</w:t>
      </w:r>
      <w:r w:rsidR="00050DA8" w:rsidRPr="00334BA6">
        <w:rPr>
          <w:rFonts w:ascii="Times New Roman" w:hAnsi="Times New Roman" w:cs="Times New Roman"/>
          <w:noProof/>
          <w:sz w:val="28"/>
          <w:szCs w:val="24"/>
          <w:lang w:val="en-US"/>
        </w:rPr>
        <w:t>.</w:t>
      </w:r>
      <w:r w:rsidR="00050DA8" w:rsidRPr="00431D69">
        <w:rPr>
          <w:rFonts w:ascii="Times New Roman" w:hAnsi="Times New Roman" w:cs="Times New Roman"/>
          <w:noProof/>
          <w:sz w:val="28"/>
          <w:szCs w:val="24"/>
        </w:rPr>
        <w:t>М</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Салкенова</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А</w:t>
      </w:r>
      <w:r w:rsidR="00050DA8" w:rsidRPr="00334BA6">
        <w:rPr>
          <w:rFonts w:ascii="Times New Roman" w:hAnsi="Times New Roman" w:cs="Times New Roman"/>
          <w:noProof/>
          <w:sz w:val="28"/>
          <w:szCs w:val="24"/>
          <w:lang w:val="en-US"/>
        </w:rPr>
        <w:t>.</w:t>
      </w:r>
      <w:r w:rsidR="00050DA8" w:rsidRPr="00431D69">
        <w:rPr>
          <w:rFonts w:ascii="Times New Roman" w:hAnsi="Times New Roman" w:cs="Times New Roman"/>
          <w:noProof/>
          <w:sz w:val="28"/>
          <w:szCs w:val="24"/>
        </w:rPr>
        <w:t>А</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Сейітқазы</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Д</w:t>
      </w:r>
      <w:r w:rsidR="00050DA8" w:rsidRPr="00334BA6">
        <w:rPr>
          <w:rFonts w:ascii="Times New Roman" w:hAnsi="Times New Roman" w:cs="Times New Roman"/>
          <w:noProof/>
          <w:sz w:val="28"/>
          <w:szCs w:val="24"/>
          <w:lang w:val="en-US"/>
        </w:rPr>
        <w:t>.</w:t>
      </w:r>
      <w:r w:rsidR="00050DA8" w:rsidRPr="00431D69">
        <w:rPr>
          <w:rFonts w:ascii="Times New Roman" w:hAnsi="Times New Roman" w:cs="Times New Roman"/>
          <w:noProof/>
          <w:sz w:val="28"/>
          <w:szCs w:val="24"/>
        </w:rPr>
        <w:t>Е</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Оценка</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рецептивности</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эндометрия</w:t>
      </w:r>
      <w:r w:rsidR="00050DA8" w:rsidRPr="00334BA6">
        <w:rPr>
          <w:rFonts w:ascii="Times New Roman" w:hAnsi="Times New Roman" w:cs="Times New Roman"/>
          <w:noProof/>
          <w:sz w:val="28"/>
          <w:szCs w:val="24"/>
          <w:lang w:val="en-US"/>
        </w:rPr>
        <w:t xml:space="preserve"> // </w:t>
      </w:r>
      <w:r w:rsidR="00050DA8" w:rsidRPr="00431D69">
        <w:rPr>
          <w:rFonts w:ascii="Times New Roman" w:hAnsi="Times New Roman" w:cs="Times New Roman"/>
          <w:noProof/>
          <w:sz w:val="28"/>
          <w:szCs w:val="24"/>
        </w:rPr>
        <w:t>Современные</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подходы</w:t>
      </w:r>
      <w:r w:rsidR="00050DA8" w:rsidRPr="00334BA6">
        <w:rPr>
          <w:rFonts w:ascii="Times New Roman" w:hAnsi="Times New Roman" w:cs="Times New Roman"/>
          <w:noProof/>
          <w:sz w:val="28"/>
          <w:szCs w:val="24"/>
          <w:lang w:val="en-US"/>
        </w:rPr>
        <w:t xml:space="preserve"> (</w:t>
      </w:r>
      <w:r w:rsidR="00050DA8" w:rsidRPr="00431D69">
        <w:rPr>
          <w:rFonts w:ascii="Times New Roman" w:hAnsi="Times New Roman" w:cs="Times New Roman"/>
          <w:noProof/>
          <w:sz w:val="28"/>
          <w:szCs w:val="24"/>
        </w:rPr>
        <w:t>обзор</w:t>
      </w:r>
      <w:r w:rsidR="00050DA8" w:rsidRPr="00334BA6">
        <w:rPr>
          <w:rFonts w:ascii="Times New Roman" w:hAnsi="Times New Roman" w:cs="Times New Roman"/>
          <w:noProof/>
          <w:sz w:val="28"/>
          <w:szCs w:val="24"/>
          <w:lang w:val="en-US"/>
        </w:rPr>
        <w:t xml:space="preserve">). - 2019. - </w:t>
      </w:r>
      <w:r w:rsidR="00050DA8">
        <w:rPr>
          <w:rFonts w:ascii="Times New Roman" w:hAnsi="Times New Roman" w:cs="Times New Roman"/>
          <w:noProof/>
          <w:sz w:val="28"/>
          <w:szCs w:val="24"/>
        </w:rPr>
        <w:t>С</w:t>
      </w:r>
      <w:r w:rsidR="00050DA8" w:rsidRPr="00334BA6">
        <w:rPr>
          <w:rFonts w:ascii="Times New Roman" w:hAnsi="Times New Roman" w:cs="Times New Roman"/>
          <w:noProof/>
          <w:sz w:val="28"/>
          <w:szCs w:val="24"/>
          <w:lang w:val="en-US"/>
        </w:rPr>
        <w:t>. 43–49.</w:t>
      </w:r>
      <w:r w:rsidR="00050DA8" w:rsidRPr="00EF7048">
        <w:rPr>
          <w:lang w:val="en-US"/>
        </w:rPr>
        <w:t xml:space="preserve"> </w:t>
      </w:r>
      <w:r w:rsidR="00050DA8" w:rsidRPr="00EF7048">
        <w:rPr>
          <w:rFonts w:ascii="Times New Roman" w:hAnsi="Times New Roman" w:cs="Times New Roman"/>
          <w:noProof/>
          <w:sz w:val="28"/>
          <w:szCs w:val="28"/>
          <w:lang w:val="en-US"/>
        </w:rPr>
        <w:t>doi:</w:t>
      </w:r>
      <w:r w:rsidR="00050DA8" w:rsidRPr="00EF7048">
        <w:rPr>
          <w:rFonts w:ascii="Times New Roman" w:hAnsi="Times New Roman" w:cs="Times New Roman"/>
          <w:sz w:val="28"/>
          <w:szCs w:val="28"/>
          <w:lang w:val="en-US"/>
        </w:rPr>
        <w:t>10.53065/kaznmu.2022.48.53.006</w:t>
      </w:r>
    </w:p>
    <w:p w14:paraId="7AA3BA6F" w14:textId="5D623E84"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49</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Paulson</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R.J.</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Introduction: Endometrial receptivity: evaluation, induction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inhibition</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Fertil. Steril.</w:t>
      </w:r>
      <w:r w:rsidR="00050DA8" w:rsidRPr="00883522">
        <w:rPr>
          <w:rFonts w:ascii="Times New Roman" w:hAnsi="Times New Roman" w:cs="Times New Roman"/>
          <w:noProof/>
          <w:sz w:val="28"/>
          <w:szCs w:val="24"/>
          <w:lang w:val="en-US"/>
        </w:rPr>
        <w:t xml:space="preserve"> - 2019.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111,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4</w:t>
      </w:r>
      <w:r w:rsidR="00050DA8" w:rsidRPr="00883522">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609–610</w:t>
      </w:r>
      <w:r w:rsidR="00050DA8" w:rsidRPr="00883522">
        <w:rPr>
          <w:rFonts w:ascii="Times New Roman" w:hAnsi="Times New Roman" w:cs="Times New Roman"/>
          <w:noProof/>
          <w:sz w:val="28"/>
          <w:szCs w:val="24"/>
          <w:lang w:val="en-US"/>
        </w:rPr>
        <w:t>.</w:t>
      </w:r>
      <w:r w:rsidR="00050DA8">
        <w:rPr>
          <w:rFonts w:ascii="Times New Roman" w:hAnsi="Times New Roman" w:cs="Times New Roman"/>
          <w:noProof/>
          <w:sz w:val="28"/>
          <w:szCs w:val="24"/>
          <w:lang w:val="kk-KZ"/>
        </w:rPr>
        <w:t xml:space="preserve"> </w:t>
      </w:r>
      <w:r w:rsidR="008C6800" w:rsidRPr="00EF7048">
        <w:rPr>
          <w:rFonts w:ascii="Times New Roman" w:hAnsi="Times New Roman" w:cs="Times New Roman"/>
          <w:noProof/>
          <w:sz w:val="28"/>
          <w:szCs w:val="24"/>
          <w:lang w:val="en-US"/>
        </w:rPr>
        <w:t>doi: 10.1016/j.fertnstert.2019.02.029.</w:t>
      </w:r>
    </w:p>
    <w:p w14:paraId="76344096" w14:textId="6FD536FB"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50</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 xml:space="preserve">Zhang  T. Endometrial thickness as a predictor of the reproductive outcomes in fresh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frozen embryo transfer cycles: A retrospective cohort study of 1512 IVF cycles with morphologically good-quality blastocyst</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Medicine (Baltimore).</w:t>
      </w:r>
      <w:r w:rsidR="00050DA8" w:rsidRPr="00883522">
        <w:rPr>
          <w:rFonts w:ascii="Times New Roman" w:hAnsi="Times New Roman" w:cs="Times New Roman"/>
          <w:noProof/>
          <w:sz w:val="28"/>
          <w:szCs w:val="24"/>
          <w:lang w:val="en-US"/>
        </w:rPr>
        <w:t xml:space="preserve"> - 2018. -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97,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4</w:t>
      </w:r>
      <w:r w:rsidR="00050DA8" w:rsidRPr="00883522">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doi: 10.1097/MD.0000000000009689.</w:t>
      </w:r>
    </w:p>
    <w:p w14:paraId="4D9EBBE5" w14:textId="6CF2D20A"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51</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Sharma</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S., Rani G., Bose</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G., Saha</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I., Bathwal</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S., Chakravarty</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B. Tamoxifen is better than low-dose clomiphene or gonadotropins in women with thin endometrium (&lt;7 mm) after clomiphene in intrauterine insemination cycles: A prospective study</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J. Hum. Reprod. Sci.</w:t>
      </w:r>
      <w:r w:rsidR="00050DA8" w:rsidRPr="00883522">
        <w:rPr>
          <w:rFonts w:ascii="Times New Roman" w:hAnsi="Times New Roman" w:cs="Times New Roman"/>
          <w:i/>
          <w:iCs/>
          <w:noProof/>
          <w:sz w:val="28"/>
          <w:szCs w:val="24"/>
          <w:lang w:val="en-US"/>
        </w:rPr>
        <w:t xml:space="preserve"> - </w:t>
      </w:r>
      <w:r w:rsidR="00050DA8" w:rsidRPr="00883522">
        <w:rPr>
          <w:rFonts w:ascii="Times New Roman" w:hAnsi="Times New Roman" w:cs="Times New Roman"/>
          <w:noProof/>
          <w:sz w:val="28"/>
          <w:szCs w:val="24"/>
          <w:lang w:val="en-US"/>
        </w:rPr>
        <w:t>2018.</w:t>
      </w:r>
      <w:r w:rsidR="00050DA8" w:rsidRPr="00883522">
        <w:rPr>
          <w:rFonts w:ascii="Times New Roman" w:hAnsi="Times New Roman" w:cs="Times New Roman"/>
          <w:i/>
          <w:iCs/>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11,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1</w:t>
      </w:r>
      <w:r w:rsidR="00050DA8" w:rsidRPr="00883522">
        <w:rPr>
          <w:rFonts w:ascii="Times New Roman" w:hAnsi="Times New Roman" w:cs="Times New Roman"/>
          <w:noProof/>
          <w:sz w:val="28"/>
          <w:szCs w:val="24"/>
          <w:lang w:val="en-US"/>
        </w:rPr>
        <w:t>.</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34–39</w:t>
      </w:r>
      <w:r w:rsidR="00050DA8" w:rsidRPr="00883522">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10.4103/jhrs.JHRS_9_17.</w:t>
      </w:r>
    </w:p>
    <w:p w14:paraId="5D9B0E57" w14:textId="221FB673"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52</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Song</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J., Sun</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X., Qian</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K. Endometrial but not Ovarian Response is Associated With Clinical Outcomes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can be Improved by Prolonged Pituitary Downregulation in Patients With Thin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Medium Endometrium</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Reprod. Sci.</w:t>
      </w:r>
      <w:r w:rsidR="00050DA8" w:rsidRPr="00883522">
        <w:rPr>
          <w:rFonts w:ascii="Times New Roman" w:hAnsi="Times New Roman" w:cs="Times New Roman"/>
          <w:i/>
          <w:iCs/>
          <w:noProof/>
          <w:sz w:val="28"/>
          <w:szCs w:val="24"/>
          <w:lang w:val="en-US"/>
        </w:rPr>
        <w:t>-2019.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26,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11</w:t>
      </w:r>
      <w:r w:rsidR="00050DA8" w:rsidRPr="00883522">
        <w:rPr>
          <w:rFonts w:ascii="Times New Roman" w:hAnsi="Times New Roman" w:cs="Times New Roman"/>
          <w:noProof/>
          <w:sz w:val="28"/>
          <w:szCs w:val="24"/>
          <w:lang w:val="en-US"/>
        </w:rPr>
        <w:t>.</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1409–1416</w:t>
      </w:r>
      <w:r w:rsidR="00050DA8" w:rsidRPr="00883522">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doi: 10.1177/1933719118816835.</w:t>
      </w:r>
    </w:p>
    <w:p w14:paraId="20820AC1" w14:textId="46968472"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53</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Dimitriadis</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E., Menkhorst</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E., Saito</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S., Kutteh</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W. H., Brosens</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J.J., “Recurrent pregnancy loss</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Nat. Rev. Dis. Prim.</w:t>
      </w:r>
      <w:r w:rsidR="00050DA8" w:rsidRPr="00883522">
        <w:rPr>
          <w:rFonts w:ascii="Times New Roman" w:hAnsi="Times New Roman" w:cs="Times New Roman"/>
          <w:noProof/>
          <w:sz w:val="28"/>
          <w:szCs w:val="24"/>
          <w:lang w:val="en-US"/>
        </w:rPr>
        <w:t xml:space="preserve"> - 2020.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6,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1</w:t>
      </w:r>
      <w:r w:rsidR="00050DA8" w:rsidRPr="00883522">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doi: 10.1038/s41572-020-00228-z.</w:t>
      </w:r>
    </w:p>
    <w:p w14:paraId="37E35E36" w14:textId="5C2B2074"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54</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Kunicki</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M., Łukaszuk</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K., Liss</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J., Skowrońska</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P., Szczyptańska</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J., Granulocyte colony stimulating factor treatment of resistant thin endometrium in women with frozen-thawed blastocyst transfer</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Syst. Biol. Reprod. Med.</w:t>
      </w:r>
      <w:r w:rsidR="00050DA8" w:rsidRPr="00883522">
        <w:rPr>
          <w:rFonts w:ascii="Times New Roman" w:hAnsi="Times New Roman" w:cs="Times New Roman"/>
          <w:noProof/>
          <w:sz w:val="28"/>
          <w:szCs w:val="24"/>
          <w:lang w:val="en-US"/>
        </w:rPr>
        <w:t>- 2017.-</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63, </w:t>
      </w:r>
      <w:r w:rsidR="00050DA8">
        <w:rPr>
          <w:rFonts w:ascii="Times New Roman" w:hAnsi="Times New Roman" w:cs="Times New Roman"/>
          <w:noProof/>
          <w:sz w:val="28"/>
          <w:szCs w:val="24"/>
          <w:lang w:val="en-US"/>
        </w:rPr>
        <w:t>№</w:t>
      </w:r>
      <w:r w:rsidR="00050DA8" w:rsidRPr="00883522">
        <w:rPr>
          <w:rFonts w:ascii="Times New Roman" w:hAnsi="Times New Roman" w:cs="Times New Roman"/>
          <w:noProof/>
          <w:sz w:val="28"/>
          <w:szCs w:val="24"/>
          <w:lang w:val="en-US"/>
        </w:rPr>
        <w:t>1.</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49–57</w:t>
      </w:r>
      <w:r w:rsidR="00050DA8" w:rsidRPr="00883522">
        <w:rPr>
          <w:rFonts w:ascii="Times New Roman" w:hAnsi="Times New Roman" w:cs="Times New Roman"/>
          <w:noProof/>
          <w:sz w:val="28"/>
          <w:szCs w:val="24"/>
          <w:lang w:val="en-US"/>
        </w:rPr>
        <w:t>.</w:t>
      </w:r>
      <w:r w:rsidR="008C6800" w:rsidRPr="00EF7048">
        <w:rPr>
          <w:rFonts w:ascii="Times New Roman" w:hAnsi="Times New Roman" w:cs="Times New Roman"/>
          <w:noProof/>
          <w:sz w:val="28"/>
          <w:szCs w:val="24"/>
          <w:lang w:val="en-US"/>
        </w:rPr>
        <w:t xml:space="preserve"> doi: 10.1080/19396368.2016.1251505.</w:t>
      </w:r>
    </w:p>
    <w:p w14:paraId="28A21E20" w14:textId="0873938D"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55</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Bu</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Z., Wang</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K., Dai</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W., Sun</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Y.</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Endometrial thickness significantly affects clinical pregnancy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live birth rates in frozen-thawed embryo transfer cycles</w:t>
      </w:r>
      <w:r w:rsidR="00050DA8" w:rsidRPr="00883522">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Gynecol. Endocrinol.</w:t>
      </w:r>
      <w:r w:rsidR="00050DA8" w:rsidRPr="00883522">
        <w:rPr>
          <w:rFonts w:ascii="Times New Roman" w:hAnsi="Times New Roman" w:cs="Times New Roman"/>
          <w:i/>
          <w:iCs/>
          <w:noProof/>
          <w:sz w:val="28"/>
          <w:szCs w:val="24"/>
          <w:lang w:val="en-US"/>
        </w:rPr>
        <w:t xml:space="preserve"> - 2016.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32,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7</w:t>
      </w:r>
      <w:r w:rsidR="00050DA8" w:rsidRPr="00883522">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524–528</w:t>
      </w:r>
      <w:r w:rsidR="00050DA8" w:rsidRPr="00883522">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 xml:space="preserve"> doi: 10.3109/09513590.2015.1136616.</w:t>
      </w:r>
    </w:p>
    <w:p w14:paraId="6E6A89AA" w14:textId="79371E93" w:rsidR="008C6800" w:rsidRPr="00EF704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56</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Bosch  E. ESHRE guideline: ovarian stimulation for IVF/ICSI†</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Hum. Reprod. Open</w:t>
      </w:r>
      <w:r w:rsidR="00050DA8" w:rsidRPr="00E866E3">
        <w:rPr>
          <w:rFonts w:ascii="Times New Roman" w:hAnsi="Times New Roman" w:cs="Times New Roman"/>
          <w:noProof/>
          <w:sz w:val="28"/>
          <w:szCs w:val="24"/>
          <w:lang w:val="en-US"/>
        </w:rPr>
        <w:t>. - 2020.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2020,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2</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1–13</w:t>
      </w:r>
      <w:r w:rsidR="00050DA8" w:rsidRPr="00E866E3">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w:t>
      </w:r>
      <w:r w:rsidR="008C6800" w:rsidRPr="00EF7048">
        <w:rPr>
          <w:rFonts w:ascii="Times New Roman" w:hAnsi="Times New Roman" w:cs="Times New Roman"/>
          <w:noProof/>
          <w:sz w:val="28"/>
          <w:szCs w:val="24"/>
          <w:lang w:val="en-US"/>
        </w:rPr>
        <w:t xml:space="preserve"> doi: 10.1093/hropen/hoaa009.</w:t>
      </w:r>
    </w:p>
    <w:p w14:paraId="28069F5E" w14:textId="77777777" w:rsidR="00050DA8" w:rsidRPr="00CB7B67" w:rsidRDefault="00CC3DF3" w:rsidP="00050DA8">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F7048">
        <w:rPr>
          <w:rFonts w:ascii="Times New Roman" w:hAnsi="Times New Roman" w:cs="Times New Roman"/>
          <w:noProof/>
          <w:sz w:val="28"/>
          <w:szCs w:val="24"/>
          <w:lang w:val="en-US"/>
        </w:rPr>
        <w:t>57</w:t>
      </w:r>
      <w:r w:rsidR="008C6800" w:rsidRPr="00EF7048">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 xml:space="preserve">Lédée  N. Endometrial vascularity by three-dimensional power Doppler ultrasound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cytokines: a complementary approach to assess uterine receptivity</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J. Reprod. Immunol.</w:t>
      </w:r>
      <w:r w:rsidR="00050DA8" w:rsidRPr="00E866E3">
        <w:rPr>
          <w:rFonts w:ascii="Times New Roman" w:hAnsi="Times New Roman" w:cs="Times New Roman"/>
          <w:i/>
          <w:iCs/>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E866E3">
        <w:rPr>
          <w:rFonts w:ascii="Times New Roman" w:hAnsi="Times New Roman" w:cs="Times New Roman"/>
          <w:noProof/>
          <w:sz w:val="28"/>
          <w:szCs w:val="24"/>
          <w:lang w:val="en-US"/>
        </w:rPr>
        <w:t>2008.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77,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1</w:t>
      </w:r>
      <w:r w:rsidR="00050DA8" w:rsidRPr="00E866E3">
        <w:rPr>
          <w:rFonts w:ascii="Times New Roman" w:hAnsi="Times New Roman" w:cs="Times New Roman"/>
          <w:noProof/>
          <w:sz w:val="28"/>
          <w:szCs w:val="24"/>
          <w:lang w:val="en-US"/>
        </w:rPr>
        <w:t>.</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57–62.</w:t>
      </w:r>
    </w:p>
    <w:p w14:paraId="6D44EBA2" w14:textId="77777777" w:rsidR="00050DA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58</w:t>
      </w:r>
      <w:r w:rsidR="008C6800" w:rsidRPr="006E70CF">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Zhang  J. Effect of endometrial thickness on birthweight in frozen embryo transfer cycles: an analysis including 6181 singleton newborns</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Hum. Reprod.</w:t>
      </w:r>
      <w:r w:rsidR="00050DA8" w:rsidRPr="00E866E3">
        <w:rPr>
          <w:rFonts w:ascii="Times New Roman" w:hAnsi="Times New Roman" w:cs="Times New Roman"/>
          <w:noProof/>
          <w:sz w:val="28"/>
          <w:szCs w:val="24"/>
          <w:lang w:val="en-US"/>
        </w:rPr>
        <w:t xml:space="preserve"> - 2019.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34,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9</w:t>
      </w:r>
      <w:r w:rsidR="00050DA8" w:rsidRPr="00E866E3">
        <w:rPr>
          <w:rFonts w:ascii="Times New Roman" w:hAnsi="Times New Roman" w:cs="Times New Roman"/>
          <w:noProof/>
          <w:sz w:val="28"/>
          <w:szCs w:val="24"/>
          <w:lang w:val="en-US"/>
        </w:rPr>
        <w:t>.</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1707–1715.</w:t>
      </w:r>
    </w:p>
    <w:p w14:paraId="732A27CC" w14:textId="4FDAC537" w:rsidR="008C6800" w:rsidRPr="00050DA8" w:rsidRDefault="00CC3DF3" w:rsidP="00050DA8">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59</w:t>
      </w:r>
      <w:r w:rsidR="008C6800" w:rsidRPr="006E70CF">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Ke</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H., Jiang</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J., Xia</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M., Tang</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R., Qin</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Y., Chen Z.-J.</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The Effect of Tamoxifen on Thin Endometrium in Patients Undergoing Frozen—Thawed Embryo Transfer</w:t>
      </w:r>
      <w:r w:rsidR="00050DA8" w:rsidRPr="00E866E3">
        <w:rPr>
          <w:rFonts w:ascii="Times New Roman" w:hAnsi="Times New Roman" w:cs="Times New Roman"/>
          <w:noProof/>
          <w:sz w:val="28"/>
          <w:szCs w:val="24"/>
          <w:lang w:val="en-US"/>
        </w:rPr>
        <w:t xml:space="preserve"> // </w:t>
      </w:r>
      <w:r w:rsidR="00050DA8" w:rsidRPr="00CB7B67">
        <w:rPr>
          <w:rFonts w:ascii="Times New Roman" w:hAnsi="Times New Roman" w:cs="Times New Roman"/>
          <w:i/>
          <w:iCs/>
          <w:noProof/>
          <w:sz w:val="28"/>
          <w:szCs w:val="24"/>
          <w:lang w:val="en-US"/>
        </w:rPr>
        <w:t>Reprod. Sci.</w:t>
      </w:r>
      <w:r w:rsidR="00050DA8" w:rsidRPr="00E866E3">
        <w:rPr>
          <w:rFonts w:ascii="Times New Roman" w:hAnsi="Times New Roman" w:cs="Times New Roman"/>
          <w:noProof/>
          <w:sz w:val="28"/>
          <w:szCs w:val="24"/>
          <w:lang w:val="en-US"/>
        </w:rPr>
        <w:t xml:space="preserve"> - 2018.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25</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861–866.</w:t>
      </w:r>
    </w:p>
    <w:p w14:paraId="566EBF01" w14:textId="77777777" w:rsidR="00050DA8" w:rsidRPr="00CB7B67" w:rsidRDefault="00CC3DF3" w:rsidP="00050DA8">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60</w:t>
      </w:r>
      <w:r w:rsidR="008C6800" w:rsidRPr="006E70CF">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Yuan</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X., Saravelos</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S. H., Wang</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Q., Xu</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Y., Li</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T.-C., Zhou</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C. Endometrial thickness as a predictor of pregnancy outcomes in 10787 fresh IVF–ICSI cycles</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Reprod. Biomed. Online</w:t>
      </w:r>
      <w:r w:rsidR="00050DA8" w:rsidRPr="00E866E3">
        <w:rPr>
          <w:rFonts w:ascii="Times New Roman" w:hAnsi="Times New Roman" w:cs="Times New Roman"/>
          <w:i/>
          <w:iCs/>
          <w:noProof/>
          <w:sz w:val="28"/>
          <w:szCs w:val="24"/>
          <w:lang w:val="en-US"/>
        </w:rPr>
        <w:t>. - 2016.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33,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2</w:t>
      </w:r>
      <w:r w:rsidR="00050DA8" w:rsidRPr="00E866E3">
        <w:rPr>
          <w:rFonts w:ascii="Times New Roman" w:hAnsi="Times New Roman" w:cs="Times New Roman"/>
          <w:noProof/>
          <w:sz w:val="28"/>
          <w:szCs w:val="24"/>
          <w:lang w:val="en-US"/>
        </w:rPr>
        <w:t>.</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197–205.</w:t>
      </w:r>
    </w:p>
    <w:p w14:paraId="31AE54E5" w14:textId="77777777" w:rsidR="00050DA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61</w:t>
      </w:r>
      <w:r w:rsidR="008C6800" w:rsidRPr="006E70CF">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Balassiano</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E., Malik</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S., Vaid</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P., Knochenhauer</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E. S., Traub</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M.L. The presence of multiple gestational sacs confers a higher live birth rate in women with infertility who achieve a positive pregnancy test after fresh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frozen embryo transfer: a retrospective local cohort</w:t>
      </w:r>
      <w:r w:rsidR="00050DA8" w:rsidRPr="00E866E3">
        <w:rPr>
          <w:rFonts w:ascii="Times New Roman" w:hAnsi="Times New Roman" w:cs="Times New Roman"/>
          <w:noProof/>
          <w:sz w:val="28"/>
          <w:szCs w:val="24"/>
          <w:lang w:val="en-US"/>
        </w:rPr>
        <w:t xml:space="preserve"> // </w:t>
      </w:r>
      <w:r w:rsidR="00050DA8" w:rsidRPr="00CB7B67">
        <w:rPr>
          <w:rFonts w:ascii="Times New Roman" w:hAnsi="Times New Roman" w:cs="Times New Roman"/>
          <w:i/>
          <w:iCs/>
          <w:noProof/>
          <w:sz w:val="28"/>
          <w:szCs w:val="24"/>
          <w:lang w:val="en-US"/>
        </w:rPr>
        <w:t>Reprod. Biol. Endocrinol.</w:t>
      </w:r>
      <w:r w:rsidR="00050DA8" w:rsidRPr="00E866E3">
        <w:rPr>
          <w:rFonts w:ascii="Times New Roman" w:hAnsi="Times New Roman" w:cs="Times New Roman"/>
          <w:noProof/>
          <w:sz w:val="28"/>
          <w:szCs w:val="24"/>
          <w:lang w:val="en-US"/>
        </w:rPr>
        <w:t>- 2014.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12</w:t>
      </w:r>
      <w:r w:rsidR="00050DA8" w:rsidRPr="00E866E3">
        <w:rPr>
          <w:rFonts w:ascii="Times New Roman" w:hAnsi="Times New Roman" w:cs="Times New Roman"/>
          <w:noProof/>
          <w:sz w:val="28"/>
          <w:szCs w:val="24"/>
          <w:lang w:val="en-US"/>
        </w:rPr>
        <w:t>.</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1–6.</w:t>
      </w:r>
    </w:p>
    <w:p w14:paraId="51B0E1C5" w14:textId="2740B296" w:rsidR="008C6800" w:rsidRPr="006E70CF"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62</w:t>
      </w:r>
      <w:r w:rsidR="008C6800" w:rsidRPr="006E70CF">
        <w:rPr>
          <w:rFonts w:ascii="Times New Roman" w:hAnsi="Times New Roman" w:cs="Times New Roman"/>
          <w:noProof/>
          <w:sz w:val="28"/>
          <w:szCs w:val="24"/>
          <w:lang w:val="en-US"/>
        </w:rPr>
        <w:tab/>
      </w:r>
      <w:r w:rsidR="00050DA8" w:rsidRPr="00CB7B67">
        <w:rPr>
          <w:rFonts w:ascii="Times New Roman" w:hAnsi="Times New Roman" w:cs="Times New Roman"/>
          <w:noProof/>
          <w:sz w:val="28"/>
          <w:szCs w:val="24"/>
          <w:lang w:val="en-US"/>
        </w:rPr>
        <w:t>Fang</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R., Cai</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L., Xiong</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F., Chen</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J., Yang</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W.,  Zhao</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X.</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The effect of endometrial thickness on the day of hCG administration on pregnancy outcome in the first fresh IVF/ICSI cycle</w:t>
      </w:r>
      <w:r w:rsidR="00050DA8" w:rsidRPr="00E866E3">
        <w:rPr>
          <w:rFonts w:ascii="Times New Roman" w:hAnsi="Times New Roman" w:cs="Times New Roman"/>
          <w:noProof/>
          <w:sz w:val="28"/>
          <w:szCs w:val="24"/>
          <w:lang w:val="en-US"/>
        </w:rPr>
        <w:t xml:space="preserve"> //</w:t>
      </w:r>
      <w:r w:rsidR="00050DA8" w:rsidRPr="00CB7B67">
        <w:rPr>
          <w:rFonts w:ascii="Times New Roman" w:hAnsi="Times New Roman" w:cs="Times New Roman"/>
          <w:noProof/>
          <w:sz w:val="28"/>
          <w:szCs w:val="24"/>
          <w:lang w:val="en-US"/>
        </w:rPr>
        <w:t xml:space="preserve"> </w:t>
      </w:r>
      <w:r w:rsidR="00050DA8" w:rsidRPr="00CB7B67">
        <w:rPr>
          <w:rFonts w:ascii="Times New Roman" w:hAnsi="Times New Roman" w:cs="Times New Roman"/>
          <w:i/>
          <w:iCs/>
          <w:noProof/>
          <w:sz w:val="28"/>
          <w:szCs w:val="24"/>
          <w:lang w:val="en-US"/>
        </w:rPr>
        <w:t>Gynecol. Endocrinol.</w:t>
      </w:r>
      <w:r w:rsidR="00050DA8" w:rsidRPr="00E866E3">
        <w:rPr>
          <w:rFonts w:ascii="Times New Roman" w:hAnsi="Times New Roman" w:cs="Times New Roman"/>
          <w:i/>
          <w:iCs/>
          <w:noProof/>
          <w:sz w:val="28"/>
          <w:szCs w:val="24"/>
          <w:lang w:val="en-US"/>
        </w:rPr>
        <w:t xml:space="preserve"> - 2016. -</w:t>
      </w:r>
      <w:r w:rsidR="00050DA8" w:rsidRPr="00CB7B67">
        <w:rPr>
          <w:rFonts w:ascii="Times New Roman" w:hAnsi="Times New Roman" w:cs="Times New Roman"/>
          <w:noProof/>
          <w:sz w:val="28"/>
          <w:szCs w:val="24"/>
          <w:lang w:val="en-US"/>
        </w:rPr>
        <w:t xml:space="preserve"> </w:t>
      </w:r>
      <w:r w:rsidR="00050DA8">
        <w:rPr>
          <w:rFonts w:ascii="Times New Roman" w:hAnsi="Times New Roman" w:cs="Times New Roman"/>
          <w:noProof/>
          <w:sz w:val="28"/>
          <w:szCs w:val="24"/>
          <w:lang w:val="en-US"/>
        </w:rPr>
        <w:t>Vol.</w:t>
      </w:r>
      <w:r w:rsidR="00050DA8" w:rsidRPr="00CB7B67">
        <w:rPr>
          <w:rFonts w:ascii="Times New Roman" w:hAnsi="Times New Roman" w:cs="Times New Roman"/>
          <w:noProof/>
          <w:sz w:val="28"/>
          <w:szCs w:val="24"/>
          <w:lang w:val="en-US"/>
        </w:rPr>
        <w:t xml:space="preserve"> 32, </w:t>
      </w:r>
      <w:r w:rsidR="00050DA8">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6</w:t>
      </w:r>
      <w:r w:rsidR="00050DA8" w:rsidRPr="00E866E3">
        <w:rPr>
          <w:rFonts w:ascii="Times New Roman" w:hAnsi="Times New Roman" w:cs="Times New Roman"/>
          <w:noProof/>
          <w:sz w:val="28"/>
          <w:szCs w:val="24"/>
          <w:lang w:val="en-US"/>
        </w:rPr>
        <w:t>.</w:t>
      </w:r>
      <w:r w:rsidR="00050DA8">
        <w:rPr>
          <w:rFonts w:ascii="Times New Roman" w:hAnsi="Times New Roman" w:cs="Times New Roman"/>
          <w:noProof/>
          <w:sz w:val="28"/>
          <w:szCs w:val="24"/>
          <w:lang w:val="en-US"/>
        </w:rPr>
        <w:t>- Р.</w:t>
      </w:r>
      <w:r w:rsidR="00050DA8" w:rsidRPr="00CB7B67">
        <w:rPr>
          <w:rFonts w:ascii="Times New Roman" w:hAnsi="Times New Roman" w:cs="Times New Roman"/>
          <w:noProof/>
          <w:sz w:val="28"/>
          <w:szCs w:val="24"/>
          <w:lang w:val="en-US"/>
        </w:rPr>
        <w:t>473–476</w:t>
      </w:r>
      <w:r w:rsidR="00050DA8" w:rsidRPr="00E866E3">
        <w:rPr>
          <w:rFonts w:ascii="Times New Roman" w:hAnsi="Times New Roman" w:cs="Times New Roman"/>
          <w:noProof/>
          <w:sz w:val="28"/>
          <w:szCs w:val="24"/>
          <w:lang w:val="en-US"/>
        </w:rPr>
        <w:t>.</w:t>
      </w:r>
      <w:r w:rsidR="00050DA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doi: 10.3109/09513590.2015.1132304.</w:t>
      </w:r>
    </w:p>
    <w:p w14:paraId="21D9E5F2" w14:textId="77777777" w:rsidR="002D4DD8"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63</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Jimenez</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P. T., Schon</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S. B., Odem</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R. R., Ratts</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V. S.,  Jungheim</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E.S., A retrospective cross-sectional study: fresh cycle endometrial thickness is a sensitive predictor of inadequate endometrial thickness in frozen embryo transfer cycles</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Reprod. Biol. Endocrinol.</w:t>
      </w:r>
      <w:r w:rsidR="002D4DD8" w:rsidRPr="00827123">
        <w:rPr>
          <w:rFonts w:ascii="Times New Roman" w:hAnsi="Times New Roman" w:cs="Times New Roman"/>
          <w:i/>
          <w:iCs/>
          <w:noProof/>
          <w:sz w:val="28"/>
          <w:szCs w:val="24"/>
          <w:lang w:val="en-US"/>
        </w:rPr>
        <w:t xml:space="preserve"> - </w:t>
      </w:r>
      <w:r w:rsidR="002D4DD8" w:rsidRPr="00827123">
        <w:rPr>
          <w:rFonts w:ascii="Times New Roman" w:hAnsi="Times New Roman" w:cs="Times New Roman"/>
          <w:noProof/>
          <w:sz w:val="28"/>
          <w:szCs w:val="24"/>
          <w:lang w:val="en-US"/>
        </w:rPr>
        <w:t>2013.</w:t>
      </w:r>
      <w:r w:rsidR="002D4DD8" w:rsidRPr="00827123">
        <w:rPr>
          <w:rFonts w:ascii="Times New Roman" w:hAnsi="Times New Roman" w:cs="Times New Roman"/>
          <w:i/>
          <w:iCs/>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11,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1</w:t>
      </w:r>
      <w:r w:rsidR="002D4DD8" w:rsidRPr="00827123">
        <w:rPr>
          <w:rFonts w:ascii="Times New Roman" w:hAnsi="Times New Roman" w:cs="Times New Roman"/>
          <w:noProof/>
          <w:sz w:val="28"/>
          <w:szCs w:val="24"/>
          <w:lang w:val="en-US"/>
        </w:rPr>
        <w:t>.</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1–5.</w:t>
      </w:r>
    </w:p>
    <w:p w14:paraId="7C80112D" w14:textId="01076030" w:rsidR="002D4DD8" w:rsidRPr="00CB7B67" w:rsidRDefault="00CC3DF3" w:rsidP="002D4DD8">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64</w:t>
      </w:r>
      <w:r w:rsidR="002D4DD8" w:rsidRPr="006E70CF">
        <w:rPr>
          <w:rFonts w:ascii="Times New Roman" w:hAnsi="Times New Roman" w:cs="Times New Roman"/>
          <w:noProof/>
          <w:sz w:val="28"/>
          <w:szCs w:val="24"/>
          <w:lang w:val="en-US"/>
        </w:rPr>
        <w:tab/>
      </w:r>
      <w:r w:rsidR="008C6800" w:rsidRPr="006E70CF">
        <w:rPr>
          <w:rFonts w:ascii="Times New Roman" w:hAnsi="Times New Roman" w:cs="Times New Roman"/>
          <w:noProof/>
          <w:sz w:val="28"/>
          <w:szCs w:val="24"/>
          <w:lang w:val="en-US"/>
        </w:rPr>
        <w:t xml:space="preserve">Tulandi </w:t>
      </w:r>
      <w:r w:rsidR="002D4DD8" w:rsidRPr="00CB7B67">
        <w:rPr>
          <w:rFonts w:ascii="Times New Roman" w:hAnsi="Times New Roman" w:cs="Times New Roman"/>
          <w:noProof/>
          <w:sz w:val="28"/>
          <w:szCs w:val="24"/>
          <w:lang w:val="en-US"/>
        </w:rPr>
        <w:t>T.</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Al-Shahrani</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A.</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Adhesion prevention in gynecologic surgery</w:t>
      </w:r>
      <w:r w:rsidR="002D4DD8" w:rsidRPr="00827123">
        <w:rPr>
          <w:rFonts w:ascii="Times New Roman" w:hAnsi="Times New Roman" w:cs="Times New Roman"/>
          <w:noProof/>
          <w:sz w:val="28"/>
          <w:szCs w:val="24"/>
          <w:lang w:val="en-US"/>
        </w:rPr>
        <w:t xml:space="preserve"> // </w:t>
      </w:r>
      <w:r w:rsidR="002D4DD8" w:rsidRPr="00CB7B67">
        <w:rPr>
          <w:rFonts w:ascii="Times New Roman" w:hAnsi="Times New Roman" w:cs="Times New Roman"/>
          <w:i/>
          <w:iCs/>
          <w:noProof/>
          <w:sz w:val="28"/>
          <w:szCs w:val="24"/>
          <w:lang w:val="en-US"/>
        </w:rPr>
        <w:t>Curr. Opin. Obstet. Gynecol.</w:t>
      </w:r>
      <w:r w:rsidR="002D4DD8" w:rsidRPr="00827123">
        <w:rPr>
          <w:rFonts w:ascii="Times New Roman" w:hAnsi="Times New Roman" w:cs="Times New Roman"/>
          <w:i/>
          <w:iCs/>
          <w:noProof/>
          <w:sz w:val="28"/>
          <w:szCs w:val="24"/>
          <w:lang w:val="en-US"/>
        </w:rPr>
        <w:t xml:space="preserve"> -</w:t>
      </w:r>
      <w:r w:rsidR="002D4DD8" w:rsidRPr="00827123">
        <w:rPr>
          <w:rFonts w:ascii="Times New Roman" w:hAnsi="Times New Roman" w:cs="Times New Roman"/>
          <w:noProof/>
          <w:sz w:val="28"/>
          <w:szCs w:val="24"/>
          <w:lang w:val="en-US"/>
        </w:rPr>
        <w:t xml:space="preserve"> 2005.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17,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4</w:t>
      </w:r>
      <w:r w:rsidR="002D4DD8" w:rsidRPr="00827123">
        <w:rPr>
          <w:rFonts w:ascii="Times New Roman" w:hAnsi="Times New Roman" w:cs="Times New Roman"/>
          <w:noProof/>
          <w:sz w:val="28"/>
          <w:szCs w:val="24"/>
          <w:lang w:val="en-US"/>
        </w:rPr>
        <w:t>.</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395–398.</w:t>
      </w:r>
    </w:p>
    <w:p w14:paraId="31751B96" w14:textId="01E016F1" w:rsidR="008C6800" w:rsidRPr="006E70CF"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65</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Dastgiri</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S., Yoosefian</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M., Garjani</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M., Kalankesh</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L.</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Induced Abortion: a Systematic Review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Meta-analysis</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Mater. Socio Medica</w:t>
      </w:r>
      <w:r w:rsidR="002D4DD8" w:rsidRPr="00827123">
        <w:rPr>
          <w:rFonts w:ascii="Times New Roman" w:hAnsi="Times New Roman" w:cs="Times New Roman"/>
          <w:i/>
          <w:iCs/>
          <w:noProof/>
          <w:sz w:val="28"/>
          <w:szCs w:val="24"/>
          <w:lang w:val="en-US"/>
        </w:rPr>
        <w:t>. - 2017.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29,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1</w:t>
      </w:r>
      <w:r w:rsidR="002D4DD8" w:rsidRPr="00827123">
        <w:rPr>
          <w:rFonts w:ascii="Times New Roman" w:hAnsi="Times New Roman" w:cs="Times New Roman"/>
          <w:noProof/>
          <w:sz w:val="28"/>
          <w:szCs w:val="24"/>
          <w:lang w:val="en-US"/>
        </w:rPr>
        <w:t>. -</w:t>
      </w:r>
      <w:r w:rsidR="002D4DD8" w:rsidRPr="00CB7B67">
        <w:rPr>
          <w:rFonts w:ascii="Times New Roman" w:hAnsi="Times New Roman" w:cs="Times New Roman"/>
          <w:noProof/>
          <w:sz w:val="28"/>
          <w:szCs w:val="24"/>
          <w:lang w:val="en-US"/>
        </w:rPr>
        <w:t xml:space="preserve"> 58</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p. </w:t>
      </w:r>
      <w:r w:rsidR="008C6800" w:rsidRPr="006E70CF">
        <w:rPr>
          <w:rFonts w:ascii="Times New Roman" w:hAnsi="Times New Roman" w:cs="Times New Roman"/>
          <w:noProof/>
          <w:sz w:val="28"/>
          <w:szCs w:val="24"/>
          <w:lang w:val="en-US"/>
        </w:rPr>
        <w:t xml:space="preserve"> doi: 10.5455/msm.2017.29.58-67.</w:t>
      </w:r>
    </w:p>
    <w:p w14:paraId="74B029FF" w14:textId="2D3752B0" w:rsidR="008C6800" w:rsidRPr="006E70CF" w:rsidRDefault="00CC3DF3" w:rsidP="00CC3DF3">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66</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Dain</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L., Bider</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D., Levron</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J., Zinchenko</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V., Westler</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S., Dirnfeld</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M.</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Thin endometrium in donor oocyte recipients: enigma or obstacle for implantation?</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Fertil. Steril.</w:t>
      </w:r>
      <w:r w:rsidR="002D4DD8" w:rsidRPr="00827123">
        <w:rPr>
          <w:rFonts w:ascii="Times New Roman" w:hAnsi="Times New Roman" w:cs="Times New Roman"/>
          <w:i/>
          <w:iCs/>
          <w:noProof/>
          <w:sz w:val="28"/>
          <w:szCs w:val="24"/>
          <w:lang w:val="en-US"/>
        </w:rPr>
        <w:t xml:space="preserve"> - 2013.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100,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5</w:t>
      </w:r>
      <w:r w:rsidR="002D4DD8" w:rsidRPr="00827123">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1289–1295</w:t>
      </w:r>
      <w:r w:rsidR="002D4DD8" w:rsidRPr="00827123">
        <w:rPr>
          <w:rFonts w:ascii="Times New Roman" w:hAnsi="Times New Roman" w:cs="Times New Roman"/>
          <w:noProof/>
          <w:sz w:val="28"/>
          <w:szCs w:val="24"/>
          <w:lang w:val="en-US"/>
        </w:rPr>
        <w:t>.</w:t>
      </w:r>
      <w:r w:rsidR="002D4DD8">
        <w:rPr>
          <w:rFonts w:ascii="Times New Roman" w:hAnsi="Times New Roman" w:cs="Times New Roman"/>
          <w:noProof/>
          <w:sz w:val="28"/>
          <w:szCs w:val="24"/>
          <w:lang w:val="kk-KZ"/>
        </w:rPr>
        <w:t xml:space="preserve"> </w:t>
      </w:r>
      <w:r w:rsidR="008C6800" w:rsidRPr="006E70CF">
        <w:rPr>
          <w:rFonts w:ascii="Times New Roman" w:hAnsi="Times New Roman" w:cs="Times New Roman"/>
          <w:noProof/>
          <w:sz w:val="28"/>
          <w:szCs w:val="24"/>
          <w:lang w:val="en-US"/>
        </w:rPr>
        <w:t>doi: 10.1016/j.fertnstert.2013.07.1966.</w:t>
      </w:r>
    </w:p>
    <w:p w14:paraId="25481A0B" w14:textId="5E26E583" w:rsidR="008C6800" w:rsidRPr="006E70CF" w:rsidRDefault="00CC3DF3"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67</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Achache H.</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Revel</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A.</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Endometrial receptivity markers, the journey to successful embryo implantation</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Hum. Reprod. Update</w:t>
      </w:r>
      <w:r w:rsidR="002D4DD8" w:rsidRPr="00827123">
        <w:rPr>
          <w:rFonts w:ascii="Times New Roman" w:hAnsi="Times New Roman" w:cs="Times New Roman"/>
          <w:i/>
          <w:iCs/>
          <w:noProof/>
          <w:sz w:val="28"/>
          <w:szCs w:val="24"/>
          <w:lang w:val="en-US"/>
        </w:rPr>
        <w:t>. - 2006.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12,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6</w:t>
      </w:r>
      <w:r w:rsidR="002D4DD8" w:rsidRPr="00827123">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731–746</w:t>
      </w:r>
      <w:r w:rsidR="002D4DD8" w:rsidRPr="00827123">
        <w:rPr>
          <w:rFonts w:ascii="Times New Roman" w:hAnsi="Times New Roman" w:cs="Times New Roman"/>
          <w:noProof/>
          <w:sz w:val="28"/>
          <w:szCs w:val="24"/>
          <w:lang w:val="en-US"/>
        </w:rPr>
        <w:t>.</w:t>
      </w:r>
      <w:r w:rsidR="008C6800" w:rsidRPr="006E70CF">
        <w:rPr>
          <w:rFonts w:ascii="Times New Roman" w:hAnsi="Times New Roman" w:cs="Times New Roman"/>
          <w:noProof/>
          <w:sz w:val="28"/>
          <w:szCs w:val="24"/>
          <w:lang w:val="en-US"/>
        </w:rPr>
        <w:t xml:space="preserve"> doi: 10.1093/humupd/dml004.</w:t>
      </w:r>
    </w:p>
    <w:p w14:paraId="5A1BDBF4" w14:textId="4144B7F1" w:rsidR="008C6800" w:rsidRPr="002D4DD8"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68</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 xml:space="preserve">Moshkalova  G. </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Endometrial thickness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live birth rates after IVF: a systematic review</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Acta Biomed.</w:t>
      </w:r>
      <w:r w:rsidR="002D4DD8" w:rsidRPr="00827123">
        <w:rPr>
          <w:rFonts w:ascii="Times New Roman" w:hAnsi="Times New Roman" w:cs="Times New Roman"/>
          <w:noProof/>
          <w:sz w:val="28"/>
          <w:szCs w:val="24"/>
          <w:lang w:val="en-US"/>
        </w:rPr>
        <w:t xml:space="preserve"> - 2023.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94,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3</w:t>
      </w:r>
      <w:r w:rsidR="002D4DD8" w:rsidRPr="00827123">
        <w:rPr>
          <w:rFonts w:ascii="Times New Roman" w:hAnsi="Times New Roman" w:cs="Times New Roman"/>
          <w:noProof/>
          <w:sz w:val="28"/>
          <w:szCs w:val="24"/>
          <w:lang w:val="en-US"/>
        </w:rPr>
        <w:t xml:space="preserve">. </w:t>
      </w:r>
      <w:r w:rsidR="008C6800" w:rsidRPr="002D4DD8">
        <w:rPr>
          <w:rFonts w:ascii="Times New Roman" w:hAnsi="Times New Roman" w:cs="Times New Roman"/>
          <w:noProof/>
          <w:sz w:val="28"/>
          <w:szCs w:val="24"/>
          <w:lang w:val="en-US"/>
        </w:rPr>
        <w:t>doi: 10.23750/abm.v94i3.14437.</w:t>
      </w:r>
    </w:p>
    <w:p w14:paraId="79D2162D" w14:textId="29B83F69"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69</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 xml:space="preserve">Zhang  X. Single-cell transcriptome analysis uncovers the molecular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cellular characteristics of thin endometrium</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FASEB J.</w:t>
      </w:r>
      <w:r w:rsidR="002D4DD8" w:rsidRPr="00827123">
        <w:rPr>
          <w:rFonts w:ascii="Times New Roman" w:hAnsi="Times New Roman" w:cs="Times New Roman"/>
          <w:i/>
          <w:iCs/>
          <w:noProof/>
          <w:sz w:val="28"/>
          <w:szCs w:val="24"/>
          <w:lang w:val="en-US"/>
        </w:rPr>
        <w:t xml:space="preserve"> - 2022.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36,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3</w:t>
      </w:r>
      <w:r w:rsidR="002D4DD8" w:rsidRPr="00827123">
        <w:rPr>
          <w:rFonts w:ascii="Times New Roman" w:hAnsi="Times New Roman" w:cs="Times New Roman"/>
          <w:noProof/>
          <w:sz w:val="28"/>
          <w:szCs w:val="24"/>
          <w:lang w:val="en-US"/>
        </w:rPr>
        <w:t>.</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1–16</w:t>
      </w:r>
      <w:r w:rsidR="002D4DD8" w:rsidRPr="00827123">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 xml:space="preserve"> doi: 10.1096/fj.202101579R.</w:t>
      </w:r>
    </w:p>
    <w:p w14:paraId="0BA9A3D4" w14:textId="32BAAF52"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70</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Massimiani</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M., Lacconi</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V., La Civita</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F., Ticconi</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C., Rago</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R., Campagnolo</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L.</w:t>
      </w:r>
      <w:r w:rsidR="002D4DD8" w:rsidRPr="00827123">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Molecular signaling regulating endometrium–blastocyst crosstalk</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Int. J. Mol. Sci.</w:t>
      </w:r>
      <w:r w:rsidR="002D4DD8" w:rsidRPr="005E6A6D">
        <w:rPr>
          <w:rFonts w:ascii="Times New Roman" w:hAnsi="Times New Roman" w:cs="Times New Roman"/>
          <w:i/>
          <w:iCs/>
          <w:noProof/>
          <w:sz w:val="28"/>
          <w:szCs w:val="24"/>
          <w:lang w:val="en-US"/>
        </w:rPr>
        <w:t xml:space="preserve"> - 2020.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21,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1</w:t>
      </w:r>
      <w:r w:rsidR="002D4DD8" w:rsidRPr="005E6A6D">
        <w:rPr>
          <w:rFonts w:ascii="Times New Roman" w:hAnsi="Times New Roman" w:cs="Times New Roman"/>
          <w:noProof/>
          <w:sz w:val="28"/>
          <w:szCs w:val="24"/>
          <w:lang w:val="en-US"/>
        </w:rPr>
        <w:t>.</w:t>
      </w:r>
      <w:r w:rsidR="008C6800" w:rsidRPr="006E70CF">
        <w:rPr>
          <w:rFonts w:ascii="Times New Roman" w:hAnsi="Times New Roman" w:cs="Times New Roman"/>
          <w:noProof/>
          <w:sz w:val="28"/>
          <w:szCs w:val="24"/>
          <w:lang w:val="en-US"/>
        </w:rPr>
        <w:t>doi: 10.3390/ijms21010023.</w:t>
      </w:r>
    </w:p>
    <w:p w14:paraId="05FEA9A7" w14:textId="4F974763"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71</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Kelleher</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A.M., Demayo</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F.J., Spencer</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T.E. Uterine Gl</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s: Developmental Biology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Functional Roles in Pregnancy</w:t>
      </w:r>
      <w:r w:rsidR="002D4DD8" w:rsidRPr="005E6A6D">
        <w:rPr>
          <w:rFonts w:ascii="Times New Roman" w:hAnsi="Times New Roman" w:cs="Times New Roman"/>
          <w:noProof/>
          <w:sz w:val="28"/>
          <w:szCs w:val="24"/>
          <w:lang w:val="en-US"/>
        </w:rPr>
        <w:t xml:space="preserve"> // </w:t>
      </w:r>
      <w:r w:rsidR="002D4DD8" w:rsidRPr="00CB7B67">
        <w:rPr>
          <w:rFonts w:ascii="Times New Roman" w:hAnsi="Times New Roman" w:cs="Times New Roman"/>
          <w:i/>
          <w:iCs/>
          <w:noProof/>
          <w:sz w:val="28"/>
          <w:szCs w:val="24"/>
          <w:lang w:val="en-US"/>
        </w:rPr>
        <w:t>Endocr. Rev.</w:t>
      </w:r>
      <w:r w:rsidR="002D4DD8" w:rsidRPr="005E6A6D">
        <w:rPr>
          <w:rFonts w:ascii="Times New Roman" w:hAnsi="Times New Roman" w:cs="Times New Roman"/>
          <w:i/>
          <w:iCs/>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5E6A6D">
        <w:rPr>
          <w:rFonts w:ascii="Times New Roman" w:hAnsi="Times New Roman" w:cs="Times New Roman"/>
          <w:noProof/>
          <w:sz w:val="28"/>
          <w:szCs w:val="24"/>
          <w:lang w:val="en-US"/>
        </w:rPr>
        <w:t>2019.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40,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5</w:t>
      </w:r>
      <w:r w:rsidR="002D4DD8" w:rsidRPr="005E6A6D">
        <w:rPr>
          <w:rFonts w:ascii="Times New Roman" w:hAnsi="Times New Roman" w:cs="Times New Roman"/>
          <w:noProof/>
          <w:sz w:val="28"/>
          <w:szCs w:val="24"/>
          <w:lang w:val="en-US"/>
        </w:rPr>
        <w:t>.</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1424–1445</w:t>
      </w:r>
      <w:r w:rsidR="002D4DD8" w:rsidRPr="005E6A6D">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 xml:space="preserve"> doi: 10.1210/er.2018-00281.</w:t>
      </w:r>
    </w:p>
    <w:p w14:paraId="15BF1089" w14:textId="05FFD475"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72</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Gnainsky  Y. Biopsy-induced inflammatory conditions improve endometrial receptivity: The mechanism of action</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Reproduction</w:t>
      </w:r>
      <w:r w:rsidR="002D4DD8" w:rsidRPr="005E6A6D">
        <w:rPr>
          <w:rFonts w:ascii="Times New Roman" w:hAnsi="Times New Roman" w:cs="Times New Roman"/>
          <w:i/>
          <w:iCs/>
          <w:noProof/>
          <w:sz w:val="28"/>
          <w:szCs w:val="24"/>
          <w:lang w:val="en-US"/>
        </w:rPr>
        <w:t>. - 2015.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149,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1</w:t>
      </w:r>
      <w:r w:rsidR="002D4DD8" w:rsidRPr="005E6A6D">
        <w:rPr>
          <w:rFonts w:ascii="Times New Roman" w:hAnsi="Times New Roman" w:cs="Times New Roman"/>
          <w:noProof/>
          <w:sz w:val="28"/>
          <w:szCs w:val="24"/>
          <w:lang w:val="en-US"/>
        </w:rPr>
        <w:t>.</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75–85</w:t>
      </w:r>
      <w:r w:rsidR="002D4DD8" w:rsidRPr="005E6A6D">
        <w:rPr>
          <w:rFonts w:ascii="Times New Roman" w:hAnsi="Times New Roman" w:cs="Times New Roman"/>
          <w:noProof/>
          <w:sz w:val="28"/>
          <w:szCs w:val="24"/>
          <w:lang w:val="en-US"/>
        </w:rPr>
        <w:t>.</w:t>
      </w:r>
      <w:r w:rsidR="008C6800" w:rsidRPr="006E70CF">
        <w:rPr>
          <w:rFonts w:ascii="Times New Roman" w:hAnsi="Times New Roman" w:cs="Times New Roman"/>
          <w:noProof/>
          <w:sz w:val="28"/>
          <w:szCs w:val="24"/>
          <w:lang w:val="en-US"/>
        </w:rPr>
        <w:t>doi: 10.1530/REP-14-0395.</w:t>
      </w:r>
    </w:p>
    <w:p w14:paraId="5DEA1955" w14:textId="6AB54B19"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73</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Melkozerova</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O. A., Bashmakova</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N. V., Malgina</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G.B., Bragina</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E. E., Michelson</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A.A.,  Chistyakova</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G.N.</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Ultrastructural markers of tissue endometrial receptivity in patients with recurrent implantation failure</w:t>
      </w:r>
      <w:r w:rsidR="002D4DD8" w:rsidRPr="005E6A6D">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Gynecol. Endocrinol.</w:t>
      </w:r>
      <w:r w:rsidR="002D4DD8" w:rsidRPr="005E6A6D">
        <w:rPr>
          <w:rFonts w:ascii="Times New Roman" w:hAnsi="Times New Roman" w:cs="Times New Roman"/>
          <w:i/>
          <w:iCs/>
          <w:noProof/>
          <w:sz w:val="28"/>
          <w:szCs w:val="24"/>
          <w:lang w:val="en-US"/>
        </w:rPr>
        <w:t xml:space="preserve"> - 2019.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35,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2D4DD8" w:rsidRPr="005E6A6D">
        <w:rPr>
          <w:rFonts w:ascii="Times New Roman" w:hAnsi="Times New Roman" w:cs="Times New Roman"/>
          <w:noProof/>
          <w:sz w:val="28"/>
          <w:szCs w:val="24"/>
          <w:lang w:val="en-US"/>
        </w:rPr>
        <w:t>1.</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45–48</w:t>
      </w:r>
      <w:r w:rsidR="002D4DD8" w:rsidRPr="005E6A6D">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 xml:space="preserve"> doi: 10.1080/09513590.2019.1653562.</w:t>
      </w:r>
    </w:p>
    <w:p w14:paraId="78DAA93E" w14:textId="07CD499E"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74</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Demiral Keleş  I. Comparison of endometrial prostanoid profiles in three infertile subgroups: the missing part of receptivity?</w:t>
      </w:r>
      <w:r w:rsidR="002D4DD8" w:rsidRPr="002A2EB7">
        <w:rPr>
          <w:rFonts w:ascii="Times New Roman" w:hAnsi="Times New Roman" w:cs="Times New Roman"/>
          <w:noProof/>
          <w:sz w:val="28"/>
          <w:szCs w:val="24"/>
          <w:lang w:val="en-US"/>
        </w:rPr>
        <w:t xml:space="preserve"> // </w:t>
      </w:r>
      <w:r w:rsidR="002D4DD8" w:rsidRPr="00CB7B67">
        <w:rPr>
          <w:rFonts w:ascii="Times New Roman" w:hAnsi="Times New Roman" w:cs="Times New Roman"/>
          <w:i/>
          <w:iCs/>
          <w:noProof/>
          <w:sz w:val="28"/>
          <w:szCs w:val="24"/>
          <w:lang w:val="en-US"/>
        </w:rPr>
        <w:t>Fertil. Steril.</w:t>
      </w:r>
      <w:r w:rsidR="002D4DD8" w:rsidRPr="002A2EB7">
        <w:rPr>
          <w:rFonts w:ascii="Times New Roman" w:hAnsi="Times New Roman" w:cs="Times New Roman"/>
          <w:i/>
          <w:iCs/>
          <w:noProof/>
          <w:sz w:val="28"/>
          <w:szCs w:val="24"/>
          <w:lang w:val="en-US"/>
        </w:rPr>
        <w:t xml:space="preserve"> - 2020.-</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113,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3</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 xml:space="preserve">670-678. </w:t>
      </w:r>
      <w:r w:rsidR="008C6800" w:rsidRPr="006E70CF">
        <w:rPr>
          <w:rFonts w:ascii="Times New Roman" w:hAnsi="Times New Roman" w:cs="Times New Roman"/>
          <w:noProof/>
          <w:sz w:val="28"/>
          <w:szCs w:val="24"/>
          <w:lang w:val="en-US"/>
        </w:rPr>
        <w:t xml:space="preserve"> doi: 10.1016/j.fertnstert.2019.10.017.</w:t>
      </w:r>
    </w:p>
    <w:p w14:paraId="779BA7C8" w14:textId="08DED98E"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75</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Kibanov</w:t>
      </w:r>
      <w:r w:rsidR="002D4DD8" w:rsidRPr="002A2EB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M. V., Makhmudova</w:t>
      </w:r>
      <w:r w:rsidR="002D4DD8" w:rsidRPr="002A2EB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G. M., Gokhberg</w:t>
      </w:r>
      <w:r w:rsidR="002D4DD8" w:rsidRPr="002A2EB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Y.A.</w:t>
      </w:r>
      <w:r w:rsidR="002D4DD8" w:rsidRPr="002A2EB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In search for an ideal marker of endometrial receptivity: from histology to comprehensive molecular genetics-based approaches</w:t>
      </w:r>
      <w:r w:rsidR="002D4DD8" w:rsidRPr="002A2EB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Alm. Clin. Med.</w:t>
      </w:r>
      <w:r w:rsidR="002D4DD8" w:rsidRPr="007B2647">
        <w:rPr>
          <w:rFonts w:ascii="Times New Roman" w:hAnsi="Times New Roman" w:cs="Times New Roman"/>
          <w:noProof/>
          <w:sz w:val="28"/>
          <w:szCs w:val="24"/>
          <w:lang w:val="en-US"/>
        </w:rPr>
        <w:t xml:space="preserve"> - 2019.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47,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1</w:t>
      </w:r>
      <w:r w:rsidR="002D4DD8" w:rsidRPr="007B2647">
        <w:rPr>
          <w:rFonts w:ascii="Times New Roman" w:hAnsi="Times New Roman" w:cs="Times New Roman"/>
          <w:noProof/>
          <w:sz w:val="28"/>
          <w:szCs w:val="24"/>
          <w:lang w:val="en-US"/>
        </w:rPr>
        <w:t>.</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12–25</w:t>
      </w:r>
      <w:r w:rsidR="002D4DD8" w:rsidRPr="007B2647">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 xml:space="preserve"> doi: 10.18786/2072-0505-2019-47-005.</w:t>
      </w:r>
    </w:p>
    <w:p w14:paraId="29809207" w14:textId="6A9FBE0F" w:rsidR="008C6800" w:rsidRPr="002D4DD8" w:rsidRDefault="007D5BF5" w:rsidP="002D4DD8">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76</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Achache H.</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Revel</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A.</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Endometrial receptivity markers, the journey to successful embryo implantation</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Hum. Reprod. Update</w:t>
      </w:r>
      <w:r w:rsidR="002D4DD8" w:rsidRPr="007B2647">
        <w:rPr>
          <w:rFonts w:ascii="Times New Roman" w:hAnsi="Times New Roman" w:cs="Times New Roman"/>
          <w:i/>
          <w:iCs/>
          <w:noProof/>
          <w:sz w:val="28"/>
          <w:szCs w:val="24"/>
          <w:lang w:val="en-US"/>
        </w:rPr>
        <w:t>. - 2006.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12, </w:t>
      </w:r>
      <w:r w:rsidR="002D4DD8">
        <w:rPr>
          <w:rFonts w:ascii="Times New Roman" w:hAnsi="Times New Roman" w:cs="Times New Roman"/>
          <w:noProof/>
          <w:sz w:val="28"/>
          <w:szCs w:val="24"/>
          <w:lang w:val="en-US"/>
        </w:rPr>
        <w:t>№</w:t>
      </w:r>
      <w:r w:rsidR="002D4DD8" w:rsidRPr="007B2647">
        <w:rPr>
          <w:rFonts w:ascii="Times New Roman" w:hAnsi="Times New Roman" w:cs="Times New Roman"/>
          <w:noProof/>
          <w:sz w:val="28"/>
          <w:szCs w:val="24"/>
          <w:lang w:val="en-US"/>
        </w:rPr>
        <w:t>6.</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731–746.</w:t>
      </w:r>
    </w:p>
    <w:p w14:paraId="446EDF73" w14:textId="1119C0E5"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77</w:t>
      </w:r>
      <w:r w:rsidR="008C6800" w:rsidRPr="006E70CF">
        <w:rPr>
          <w:rFonts w:ascii="Times New Roman" w:hAnsi="Times New Roman" w:cs="Times New Roman"/>
          <w:noProof/>
          <w:sz w:val="28"/>
          <w:szCs w:val="24"/>
          <w:lang w:val="en-US"/>
        </w:rPr>
        <w:tab/>
        <w:t>S</w:t>
      </w:r>
      <w:r w:rsidR="002D4DD8" w:rsidRPr="002D4DD8">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Bhagwat  S.R. Endometrial Receptivity: A Revisit to Functional Genomics Studies on Human Endometrium </w:t>
      </w:r>
      <w:r w:rsidR="002D4DD8">
        <w:rPr>
          <w:rFonts w:ascii="Times New Roman" w:hAnsi="Times New Roman" w:cs="Times New Roman"/>
          <w:noProof/>
          <w:sz w:val="28"/>
          <w:szCs w:val="24"/>
          <w:lang w:val="en-US"/>
        </w:rPr>
        <w:t>and</w:t>
      </w:r>
      <w:r w:rsidR="002D4DD8" w:rsidRPr="00CB7B67">
        <w:rPr>
          <w:rFonts w:ascii="Times New Roman" w:hAnsi="Times New Roman" w:cs="Times New Roman"/>
          <w:noProof/>
          <w:sz w:val="28"/>
          <w:szCs w:val="24"/>
          <w:lang w:val="en-US"/>
        </w:rPr>
        <w:t xml:space="preserve"> Creation of HGEx-ERdb</w:t>
      </w:r>
      <w:r w:rsidR="002D4DD8">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kk-KZ"/>
        </w:rPr>
        <w:t xml:space="preserve">// </w:t>
      </w:r>
      <w:r w:rsidR="002D4DD8" w:rsidRPr="00CB7B67">
        <w:rPr>
          <w:rFonts w:ascii="Times New Roman" w:hAnsi="Times New Roman" w:cs="Times New Roman"/>
          <w:i/>
          <w:iCs/>
          <w:noProof/>
          <w:sz w:val="28"/>
          <w:szCs w:val="24"/>
          <w:lang w:val="en-US"/>
        </w:rPr>
        <w:t>PLoS One</w:t>
      </w:r>
      <w:r w:rsidR="002D4DD8">
        <w:rPr>
          <w:rFonts w:ascii="Times New Roman" w:hAnsi="Times New Roman" w:cs="Times New Roman"/>
          <w:i/>
          <w:iCs/>
          <w:noProof/>
          <w:sz w:val="28"/>
          <w:szCs w:val="24"/>
          <w:lang w:val="kk-KZ"/>
        </w:rPr>
        <w:t>. - 2013.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8,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3</w:t>
      </w:r>
      <w:r w:rsidR="002D4DD8">
        <w:rPr>
          <w:rFonts w:ascii="Times New Roman" w:hAnsi="Times New Roman" w:cs="Times New Roman"/>
          <w:noProof/>
          <w:sz w:val="28"/>
          <w:szCs w:val="24"/>
          <w:lang w:val="kk-KZ"/>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 xml:space="preserve"> doi: 10.1371/journal.pone.0058419.</w:t>
      </w:r>
    </w:p>
    <w:p w14:paraId="6C7F0E80" w14:textId="4F97A633"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78</w:t>
      </w:r>
      <w:r w:rsidR="008C6800" w:rsidRPr="006E70CF">
        <w:rPr>
          <w:rFonts w:ascii="Times New Roman" w:hAnsi="Times New Roman" w:cs="Times New Roman"/>
          <w:noProof/>
          <w:sz w:val="28"/>
          <w:szCs w:val="24"/>
          <w:lang w:val="en-US"/>
        </w:rPr>
        <w:tab/>
      </w:r>
      <w:r w:rsidR="002D4DD8">
        <w:rPr>
          <w:rFonts w:ascii="Times New Roman" w:hAnsi="Times New Roman" w:cs="Times New Roman"/>
          <w:noProof/>
          <w:sz w:val="28"/>
          <w:szCs w:val="24"/>
          <w:lang w:val="en-US"/>
        </w:rPr>
        <w:t>B</w:t>
      </w:r>
      <w:r w:rsidR="002D4DD8" w:rsidRPr="00CB7B67">
        <w:rPr>
          <w:rFonts w:ascii="Times New Roman" w:hAnsi="Times New Roman" w:cs="Times New Roman"/>
          <w:noProof/>
          <w:sz w:val="28"/>
          <w:szCs w:val="24"/>
          <w:lang w:val="en-US"/>
        </w:rPr>
        <w:t>i Zhang  W. Transcriptomic analysis of endometrial receptivity for a genomic diagnostics model of Chinese women</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Fertil. Steril.</w:t>
      </w:r>
      <w:r w:rsidR="002D4DD8" w:rsidRPr="007B2647">
        <w:rPr>
          <w:rFonts w:ascii="Times New Roman" w:hAnsi="Times New Roman" w:cs="Times New Roman"/>
          <w:i/>
          <w:iCs/>
          <w:noProof/>
          <w:sz w:val="28"/>
          <w:szCs w:val="24"/>
          <w:lang w:val="en-US"/>
        </w:rPr>
        <w:t xml:space="preserve"> - 2021.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116,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1</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157–164</w:t>
      </w:r>
      <w:r w:rsidR="002D4DD8" w:rsidRPr="007B2647">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 xml:space="preserve"> doi: 10.1016/j.fertnstert.2020.11.010.</w:t>
      </w:r>
    </w:p>
    <w:p w14:paraId="615C2887" w14:textId="6AE143CF"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79</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Maekawa  R. Thin endometrium transcriptome analysis reveals a potential mechanism of implantation failure</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Reprod. Med. Biol.</w:t>
      </w:r>
      <w:r w:rsidR="002D4DD8" w:rsidRPr="007B2647">
        <w:rPr>
          <w:rFonts w:ascii="Times New Roman" w:hAnsi="Times New Roman" w:cs="Times New Roman"/>
          <w:i/>
          <w:iCs/>
          <w:noProof/>
          <w:sz w:val="28"/>
          <w:szCs w:val="24"/>
          <w:lang w:val="en-US"/>
        </w:rPr>
        <w:t xml:space="preserve">- 2017. -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16,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2</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206–227</w:t>
      </w:r>
      <w:r w:rsidR="002D4DD8" w:rsidRPr="007B2647">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doi: 10.1002/rmb2.12030.</w:t>
      </w:r>
    </w:p>
    <w:p w14:paraId="278BAFC4" w14:textId="7FCDD405"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80</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Jiang N. X.</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Li</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X.L.</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The Disorders of Endometrial Receptivity in PCOS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Its Mechanisms</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Reprod. Sci.</w:t>
      </w:r>
      <w:r w:rsidR="002D4DD8" w:rsidRPr="007B2647">
        <w:rPr>
          <w:rFonts w:ascii="Times New Roman" w:hAnsi="Times New Roman" w:cs="Times New Roman"/>
          <w:noProof/>
          <w:sz w:val="28"/>
          <w:szCs w:val="24"/>
          <w:lang w:val="en-US"/>
        </w:rPr>
        <w:t xml:space="preserve"> - 2022.-</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29,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9</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2465–2476</w:t>
      </w:r>
      <w:r w:rsidR="002D4DD8" w:rsidRPr="007B2647">
        <w:rPr>
          <w:rFonts w:ascii="Times New Roman" w:hAnsi="Times New Roman" w:cs="Times New Roman"/>
          <w:noProof/>
          <w:sz w:val="28"/>
          <w:szCs w:val="24"/>
          <w:lang w:val="en-US"/>
        </w:rPr>
        <w:t>.</w:t>
      </w:r>
      <w:r w:rsidR="008C6800" w:rsidRPr="006E70CF">
        <w:rPr>
          <w:rFonts w:ascii="Times New Roman" w:hAnsi="Times New Roman" w:cs="Times New Roman"/>
          <w:noProof/>
          <w:sz w:val="28"/>
          <w:szCs w:val="24"/>
          <w:lang w:val="en-US"/>
        </w:rPr>
        <w:t xml:space="preserve"> doi: 10.1007/s43032-021-00629-9.</w:t>
      </w:r>
    </w:p>
    <w:p w14:paraId="34E2BB2F" w14:textId="0C5D811B"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81</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Boeing  S. Multiomic Analysis of the UV-Induced DNA Damage Response</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Cell Rep.</w:t>
      </w:r>
      <w:r w:rsidR="002D4DD8" w:rsidRPr="007B2647">
        <w:rPr>
          <w:rFonts w:ascii="Times New Roman" w:hAnsi="Times New Roman" w:cs="Times New Roman"/>
          <w:noProof/>
          <w:sz w:val="28"/>
          <w:szCs w:val="24"/>
          <w:lang w:val="en-US"/>
        </w:rPr>
        <w:t>- 2016.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15,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7</w:t>
      </w:r>
      <w:r w:rsidR="002D4DD8" w:rsidRPr="007B264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1597–1610</w:t>
      </w:r>
      <w:r w:rsidR="002D4DD8" w:rsidRPr="007B2647">
        <w:rPr>
          <w:rFonts w:ascii="Times New Roman" w:hAnsi="Times New Roman" w:cs="Times New Roman"/>
          <w:noProof/>
          <w:sz w:val="28"/>
          <w:szCs w:val="24"/>
          <w:lang w:val="en-US"/>
        </w:rPr>
        <w:t>.</w:t>
      </w:r>
      <w:r w:rsidR="008C6800" w:rsidRPr="006E70CF">
        <w:rPr>
          <w:rFonts w:ascii="Times New Roman" w:hAnsi="Times New Roman" w:cs="Times New Roman"/>
          <w:noProof/>
          <w:sz w:val="28"/>
          <w:szCs w:val="24"/>
          <w:lang w:val="en-US"/>
        </w:rPr>
        <w:t xml:space="preserve"> doi: 10.1016/j.celrep.2016.04.047.</w:t>
      </w:r>
    </w:p>
    <w:p w14:paraId="7933D0C3" w14:textId="19EC6FE8"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82</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 xml:space="preserve">Mair  F. A Targeted Multi-omic Analysis Approach Measures Protein Expression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Low-Abundance Transcripts on the Single-Cell Level</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Cell Rep.</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31,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1</w:t>
      </w:r>
      <w:r w:rsidR="002D4DD8" w:rsidRPr="007B2647">
        <w:rPr>
          <w:rFonts w:ascii="Times New Roman" w:hAnsi="Times New Roman" w:cs="Times New Roman"/>
          <w:noProof/>
          <w:sz w:val="28"/>
          <w:szCs w:val="24"/>
          <w:lang w:val="en-US"/>
        </w:rPr>
        <w:t xml:space="preserve">. - </w:t>
      </w:r>
      <w:r w:rsidR="002D4DD8" w:rsidRPr="00CB7B67">
        <w:rPr>
          <w:rFonts w:ascii="Times New Roman" w:hAnsi="Times New Roman" w:cs="Times New Roman"/>
          <w:noProof/>
          <w:sz w:val="28"/>
          <w:szCs w:val="24"/>
          <w:lang w:val="en-US"/>
        </w:rPr>
        <w:t xml:space="preserve"> 107499</w:t>
      </w:r>
      <w:r w:rsidR="002D4DD8" w:rsidRPr="007B264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rPr>
        <w:t>р</w:t>
      </w:r>
      <w:r w:rsidR="002D4DD8" w:rsidRPr="007B2647">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 xml:space="preserve"> doi: 10.1016/j.celrep.2020.03.063.</w:t>
      </w:r>
    </w:p>
    <w:p w14:paraId="53DCCF1C" w14:textId="0E752ED5"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83</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Saha</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S., Matthews</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D. A., Bessant</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C.</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High throughput discovery of protein variants using proteomics informed by transcriptomics</w:t>
      </w:r>
      <w:r w:rsidR="002D4DD8" w:rsidRPr="007B2647">
        <w:rPr>
          <w:rFonts w:ascii="Times New Roman" w:hAnsi="Times New Roman" w:cs="Times New Roman"/>
          <w:noProof/>
          <w:sz w:val="28"/>
          <w:szCs w:val="24"/>
          <w:lang w:val="en-US"/>
        </w:rPr>
        <w:t xml:space="preserve"> // </w:t>
      </w:r>
      <w:r w:rsidR="002D4DD8" w:rsidRPr="00CB7B67">
        <w:rPr>
          <w:rFonts w:ascii="Times New Roman" w:hAnsi="Times New Roman" w:cs="Times New Roman"/>
          <w:i/>
          <w:iCs/>
          <w:noProof/>
          <w:sz w:val="28"/>
          <w:szCs w:val="24"/>
          <w:lang w:val="en-US"/>
        </w:rPr>
        <w:t>Nucleic Acids Res.</w:t>
      </w:r>
      <w:r w:rsidR="002D4DD8" w:rsidRPr="007B2647">
        <w:rPr>
          <w:rFonts w:ascii="Times New Roman" w:hAnsi="Times New Roman" w:cs="Times New Roman"/>
          <w:noProof/>
          <w:sz w:val="28"/>
          <w:szCs w:val="24"/>
          <w:lang w:val="en-US"/>
        </w:rPr>
        <w:t xml:space="preserve"> - 2018. -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46,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10</w:t>
      </w:r>
      <w:r w:rsidR="002D4DD8" w:rsidRPr="007B264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4893–4902</w:t>
      </w:r>
      <w:r w:rsidR="002D4DD8" w:rsidRPr="007B2647">
        <w:rPr>
          <w:rFonts w:ascii="Times New Roman" w:hAnsi="Times New Roman" w:cs="Times New Roman"/>
          <w:noProof/>
          <w:sz w:val="28"/>
          <w:szCs w:val="24"/>
          <w:lang w:val="en-US"/>
        </w:rPr>
        <w:t>.</w:t>
      </w:r>
      <w:r w:rsidR="008C6800" w:rsidRPr="006E70CF">
        <w:rPr>
          <w:rFonts w:ascii="Times New Roman" w:hAnsi="Times New Roman" w:cs="Times New Roman"/>
          <w:noProof/>
          <w:sz w:val="28"/>
          <w:szCs w:val="24"/>
          <w:lang w:val="en-US"/>
        </w:rPr>
        <w:t xml:space="preserve"> doi: 10.1093/nar/gky295.</w:t>
      </w:r>
    </w:p>
    <w:p w14:paraId="59025231" w14:textId="6556A4FA"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84</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Cervantes-Gracia</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K., Chahwan</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R., Husi</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H., Integrative OMICS Data-Driven Procedure Using a Derivatized Meta-Analysis Approach</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Front. Genet.</w:t>
      </w:r>
      <w:r w:rsidR="002D4DD8" w:rsidRPr="007B2647">
        <w:rPr>
          <w:rFonts w:ascii="Times New Roman" w:hAnsi="Times New Roman" w:cs="Times New Roman"/>
          <w:i/>
          <w:iCs/>
          <w:noProof/>
          <w:sz w:val="28"/>
          <w:szCs w:val="24"/>
          <w:lang w:val="en-US"/>
        </w:rPr>
        <w:t>-</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2022</w:t>
      </w:r>
      <w:r w:rsidR="002D4DD8" w:rsidRPr="007B2647">
        <w:rPr>
          <w:rFonts w:ascii="Times New Roman" w:hAnsi="Times New Roman" w:cs="Times New Roman"/>
          <w:noProof/>
          <w:sz w:val="28"/>
          <w:szCs w:val="24"/>
          <w:lang w:val="en-US"/>
        </w:rPr>
        <w:t>.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13, </w:t>
      </w:r>
      <w:r w:rsidR="002D4DD8">
        <w:rPr>
          <w:rFonts w:ascii="Times New Roman" w:hAnsi="Times New Roman" w:cs="Times New Roman"/>
          <w:noProof/>
          <w:sz w:val="28"/>
          <w:szCs w:val="24"/>
          <w:lang w:val="en-US"/>
        </w:rPr>
        <w:t>№</w:t>
      </w:r>
      <w:r w:rsidR="002D4DD8" w:rsidRPr="007B2647">
        <w:rPr>
          <w:rFonts w:ascii="Times New Roman" w:hAnsi="Times New Roman" w:cs="Times New Roman"/>
          <w:noProof/>
          <w:sz w:val="28"/>
          <w:szCs w:val="24"/>
          <w:lang w:val="en-US"/>
        </w:rPr>
        <w:t>2</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1–17</w:t>
      </w:r>
      <w:r w:rsidR="002D4DD8" w:rsidRPr="007B2647">
        <w:rPr>
          <w:rFonts w:ascii="Times New Roman" w:hAnsi="Times New Roman" w:cs="Times New Roman"/>
          <w:noProof/>
          <w:sz w:val="28"/>
          <w:szCs w:val="24"/>
          <w:lang w:val="en-US"/>
        </w:rPr>
        <w:t>.</w:t>
      </w:r>
      <w:r w:rsidR="008C6800" w:rsidRPr="006E70CF">
        <w:rPr>
          <w:rFonts w:ascii="Times New Roman" w:hAnsi="Times New Roman" w:cs="Times New Roman"/>
          <w:noProof/>
          <w:sz w:val="28"/>
          <w:szCs w:val="24"/>
          <w:lang w:val="en-US"/>
        </w:rPr>
        <w:t xml:space="preserve"> doi: 10.3389/fgene.2022.828786.</w:t>
      </w:r>
    </w:p>
    <w:p w14:paraId="491806A7" w14:textId="1A2A544B"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85</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 xml:space="preserve">Stepanjuk  A. </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MUC20 expression marks the receptive phase of the human endometrium</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Reprod. Biomed. Online</w:t>
      </w:r>
      <w:r w:rsidR="002D4DD8" w:rsidRPr="007B2647">
        <w:rPr>
          <w:rFonts w:ascii="Times New Roman" w:hAnsi="Times New Roman" w:cs="Times New Roman"/>
          <w:i/>
          <w:iCs/>
          <w:noProof/>
          <w:sz w:val="28"/>
          <w:szCs w:val="24"/>
          <w:lang w:val="en-US"/>
        </w:rPr>
        <w:t>. - 2019.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39,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5</w:t>
      </w:r>
      <w:r w:rsidR="002D4DD8" w:rsidRPr="007B2647">
        <w:rPr>
          <w:rFonts w:ascii="Times New Roman" w:hAnsi="Times New Roman" w:cs="Times New Roman"/>
          <w:noProof/>
          <w:sz w:val="28"/>
          <w:szCs w:val="24"/>
          <w:lang w:val="en-US"/>
        </w:rPr>
        <w:t>.</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725–736</w:t>
      </w:r>
      <w:r w:rsidR="002D4DD8" w:rsidRPr="007B2647">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doi: 10.1016/j.rbmo.2019.05.004.</w:t>
      </w:r>
    </w:p>
    <w:p w14:paraId="39C4213D" w14:textId="6FEBD952"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86</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Hu  S. Transcriptomic changes during the pre-receptive to receptive transition in human endometrium detected by RNA-Seq</w:t>
      </w:r>
      <w:r w:rsidR="002D4DD8" w:rsidRPr="007B2647">
        <w:rPr>
          <w:rFonts w:ascii="Times New Roman" w:hAnsi="Times New Roman" w:cs="Times New Roman"/>
          <w:noProof/>
          <w:sz w:val="28"/>
          <w:szCs w:val="24"/>
          <w:lang w:val="en-US"/>
        </w:rPr>
        <w:t xml:space="preserve"> //</w:t>
      </w:r>
      <w:r w:rsidR="002D4DD8" w:rsidRPr="00CB7B67">
        <w:rPr>
          <w:rFonts w:ascii="Times New Roman" w:hAnsi="Times New Roman" w:cs="Times New Roman"/>
          <w:noProof/>
          <w:sz w:val="28"/>
          <w:szCs w:val="24"/>
          <w:lang w:val="en-US"/>
        </w:rPr>
        <w:t xml:space="preserve"> </w:t>
      </w:r>
      <w:r w:rsidR="002D4DD8" w:rsidRPr="00CB7B67">
        <w:rPr>
          <w:rFonts w:ascii="Times New Roman" w:hAnsi="Times New Roman" w:cs="Times New Roman"/>
          <w:i/>
          <w:iCs/>
          <w:noProof/>
          <w:sz w:val="28"/>
          <w:szCs w:val="24"/>
          <w:lang w:val="en-US"/>
        </w:rPr>
        <w:t>J. Clin. Endocrinol. Metab.</w:t>
      </w:r>
      <w:r w:rsidR="002D4DD8" w:rsidRPr="007C5199">
        <w:rPr>
          <w:rFonts w:ascii="Times New Roman" w:hAnsi="Times New Roman" w:cs="Times New Roman"/>
          <w:noProof/>
          <w:sz w:val="28"/>
          <w:szCs w:val="24"/>
          <w:lang w:val="en-US"/>
        </w:rPr>
        <w:t>- 2014.-</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99,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12</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2744–2753</w:t>
      </w:r>
      <w:r w:rsidR="002D4DD8" w:rsidRPr="007C5199">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doi: 10.1210/jc.2014-2155.</w:t>
      </w:r>
    </w:p>
    <w:p w14:paraId="343C0291" w14:textId="062F2001"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87</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Title: An update on the progress of transcriptomic profiles of human endometrial receptivity Running title</w:t>
      </w:r>
      <w:r w:rsidR="002D4DD8">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kk-KZ"/>
        </w:rPr>
        <w:t>//</w:t>
      </w:r>
      <w:r w:rsidR="002D4DD8" w:rsidRPr="00CB7B67">
        <w:rPr>
          <w:rFonts w:ascii="Times New Roman" w:hAnsi="Times New Roman" w:cs="Times New Roman"/>
          <w:noProof/>
          <w:sz w:val="28"/>
          <w:szCs w:val="24"/>
          <w:lang w:val="en-US"/>
        </w:rPr>
        <w:t xml:space="preserve"> Transcriptomics </w:t>
      </w:r>
      <w:r w:rsidR="002D4DD8">
        <w:rPr>
          <w:rFonts w:ascii="Times New Roman" w:hAnsi="Times New Roman" w:cs="Times New Roman"/>
          <w:noProof/>
          <w:sz w:val="28"/>
          <w:szCs w:val="24"/>
          <w:lang w:val="en-US"/>
        </w:rPr>
        <w:t>and</w:t>
      </w:r>
      <w:r w:rsidR="002D4DD8" w:rsidRPr="00CB7B67">
        <w:rPr>
          <w:rFonts w:ascii="Times New Roman" w:hAnsi="Times New Roman" w:cs="Times New Roman"/>
          <w:noProof/>
          <w:sz w:val="28"/>
          <w:szCs w:val="24"/>
          <w:lang w:val="en-US"/>
        </w:rPr>
        <w:t xml:space="preserve"> endometrial receptivity</w:t>
      </w:r>
      <w:r w:rsidR="002D4DD8" w:rsidRPr="007C5199">
        <w:rPr>
          <w:rFonts w:ascii="Times New Roman" w:hAnsi="Times New Roman" w:cs="Times New Roman"/>
          <w:noProof/>
          <w:sz w:val="28"/>
          <w:szCs w:val="24"/>
          <w:lang w:val="en-US"/>
        </w:rPr>
        <w:t xml:space="preserve">. - </w:t>
      </w:r>
      <w:r w:rsidR="002D4DD8" w:rsidRPr="00CB7B67">
        <w:rPr>
          <w:rFonts w:ascii="Times New Roman" w:hAnsi="Times New Roman" w:cs="Times New Roman"/>
          <w:noProof/>
          <w:sz w:val="28"/>
          <w:szCs w:val="24"/>
          <w:lang w:val="en-US"/>
        </w:rPr>
        <w:t xml:space="preserve"> 2018</w:t>
      </w:r>
      <w:r w:rsidR="002D4DD8">
        <w:rPr>
          <w:rFonts w:ascii="Times New Roman" w:hAnsi="Times New Roman" w:cs="Times New Roman"/>
          <w:noProof/>
          <w:sz w:val="28"/>
          <w:szCs w:val="24"/>
          <w:lang w:val="en-US"/>
        </w:rPr>
        <w:t>. - №1.</w:t>
      </w:r>
      <w:r w:rsidR="008C6800" w:rsidRPr="006E70CF">
        <w:rPr>
          <w:rFonts w:ascii="Times New Roman" w:hAnsi="Times New Roman" w:cs="Times New Roman"/>
          <w:noProof/>
          <w:sz w:val="28"/>
          <w:szCs w:val="24"/>
          <w:lang w:val="en-US"/>
        </w:rPr>
        <w:t xml:space="preserve"> doi: 10.1093/biolre/ioy018/4819284.</w:t>
      </w:r>
    </w:p>
    <w:p w14:paraId="7D3B539B" w14:textId="7F153664"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88</w:t>
      </w:r>
      <w:r w:rsidR="008C6800" w:rsidRPr="006E70CF">
        <w:rPr>
          <w:rFonts w:ascii="Times New Roman" w:hAnsi="Times New Roman" w:cs="Times New Roman"/>
          <w:noProof/>
          <w:sz w:val="28"/>
          <w:szCs w:val="24"/>
          <w:lang w:val="en-US"/>
        </w:rPr>
        <w:tab/>
      </w:r>
      <w:r w:rsidR="002D4DD8" w:rsidRPr="00CB7B67">
        <w:rPr>
          <w:rFonts w:ascii="Times New Roman" w:hAnsi="Times New Roman" w:cs="Times New Roman"/>
          <w:noProof/>
          <w:sz w:val="28"/>
          <w:szCs w:val="24"/>
          <w:lang w:val="en-US"/>
        </w:rPr>
        <w:t>Carson  D. D. Changes in gene expression during the early to mid-luteal (receptive phase) transition in human endometrium detected by high-density microarray screening</w:t>
      </w:r>
      <w:r w:rsidR="002D4DD8">
        <w:rPr>
          <w:rFonts w:ascii="Times New Roman" w:hAnsi="Times New Roman" w:cs="Times New Roman"/>
          <w:noProof/>
          <w:sz w:val="28"/>
          <w:szCs w:val="24"/>
          <w:lang w:val="kk-KZ"/>
        </w:rPr>
        <w:t xml:space="preserve"> // </w:t>
      </w:r>
      <w:r w:rsidR="002D4DD8" w:rsidRPr="00CB7B67">
        <w:rPr>
          <w:rFonts w:ascii="Times New Roman" w:hAnsi="Times New Roman" w:cs="Times New Roman"/>
          <w:i/>
          <w:iCs/>
          <w:noProof/>
          <w:sz w:val="28"/>
          <w:szCs w:val="24"/>
          <w:lang w:val="en-US"/>
        </w:rPr>
        <w:t>Mol. Hum. Reprod.</w:t>
      </w:r>
      <w:r w:rsidR="002D4DD8">
        <w:rPr>
          <w:rFonts w:ascii="Times New Roman" w:hAnsi="Times New Roman" w:cs="Times New Roman"/>
          <w:i/>
          <w:iCs/>
          <w:noProof/>
          <w:sz w:val="28"/>
          <w:szCs w:val="24"/>
          <w:lang w:val="kk-KZ"/>
        </w:rPr>
        <w:t xml:space="preserve"> - 2002. -</w:t>
      </w:r>
      <w:r w:rsidR="002D4DD8" w:rsidRPr="00CB7B67">
        <w:rPr>
          <w:rFonts w:ascii="Times New Roman" w:hAnsi="Times New Roman" w:cs="Times New Roman"/>
          <w:noProof/>
          <w:sz w:val="28"/>
          <w:szCs w:val="24"/>
          <w:lang w:val="en-US"/>
        </w:rPr>
        <w:t xml:space="preserve"> </w:t>
      </w:r>
      <w:r w:rsidR="002D4DD8">
        <w:rPr>
          <w:rFonts w:ascii="Times New Roman" w:hAnsi="Times New Roman" w:cs="Times New Roman"/>
          <w:noProof/>
          <w:sz w:val="28"/>
          <w:szCs w:val="24"/>
          <w:lang w:val="en-US"/>
        </w:rPr>
        <w:t>Vol.</w:t>
      </w:r>
      <w:r w:rsidR="002D4DD8" w:rsidRPr="00CB7B67">
        <w:rPr>
          <w:rFonts w:ascii="Times New Roman" w:hAnsi="Times New Roman" w:cs="Times New Roman"/>
          <w:noProof/>
          <w:sz w:val="28"/>
          <w:szCs w:val="24"/>
          <w:lang w:val="en-US"/>
        </w:rPr>
        <w:t xml:space="preserve"> 8, </w:t>
      </w:r>
      <w:r w:rsidR="002D4DD8">
        <w:rPr>
          <w:rFonts w:ascii="Times New Roman" w:hAnsi="Times New Roman" w:cs="Times New Roman"/>
          <w:noProof/>
          <w:sz w:val="28"/>
          <w:szCs w:val="24"/>
          <w:lang w:val="en-US"/>
        </w:rPr>
        <w:t>№</w:t>
      </w:r>
      <w:r w:rsidR="002D4DD8" w:rsidRPr="00CB7B67">
        <w:rPr>
          <w:rFonts w:ascii="Times New Roman" w:hAnsi="Times New Roman" w:cs="Times New Roman"/>
          <w:noProof/>
          <w:sz w:val="28"/>
          <w:szCs w:val="24"/>
          <w:lang w:val="en-US"/>
        </w:rPr>
        <w:t>9</w:t>
      </w:r>
      <w:r w:rsidR="002D4DD8">
        <w:rPr>
          <w:rFonts w:ascii="Times New Roman" w:hAnsi="Times New Roman" w:cs="Times New Roman"/>
          <w:noProof/>
          <w:sz w:val="28"/>
          <w:szCs w:val="24"/>
          <w:lang w:val="kk-KZ"/>
        </w:rPr>
        <w:t>.</w:t>
      </w:r>
      <w:r w:rsidR="002D4DD8">
        <w:rPr>
          <w:rFonts w:ascii="Times New Roman" w:hAnsi="Times New Roman" w:cs="Times New Roman"/>
          <w:noProof/>
          <w:sz w:val="28"/>
          <w:szCs w:val="24"/>
          <w:lang w:val="en-US"/>
        </w:rPr>
        <w:t>- Р.</w:t>
      </w:r>
      <w:r w:rsidR="002D4DD8" w:rsidRPr="00CB7B67">
        <w:rPr>
          <w:rFonts w:ascii="Times New Roman" w:hAnsi="Times New Roman" w:cs="Times New Roman"/>
          <w:noProof/>
          <w:sz w:val="28"/>
          <w:szCs w:val="24"/>
          <w:lang w:val="en-US"/>
        </w:rPr>
        <w:t>871–879</w:t>
      </w:r>
      <w:r w:rsidR="002D4DD8">
        <w:rPr>
          <w:rFonts w:ascii="Times New Roman" w:hAnsi="Times New Roman" w:cs="Times New Roman"/>
          <w:noProof/>
          <w:sz w:val="28"/>
          <w:szCs w:val="24"/>
          <w:lang w:val="kk-KZ"/>
        </w:rPr>
        <w:t>.</w:t>
      </w:r>
      <w:r w:rsidR="002D4DD8"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doi: 10.1093/molehr/8.9.871.</w:t>
      </w:r>
    </w:p>
    <w:p w14:paraId="680366D4" w14:textId="6D209BF6"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89</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Messaoudi  S. 15 Years of Transcriptomic Analysis on Endometrial Receptivity: What Have We Learnt?</w:t>
      </w:r>
      <w:r w:rsidR="001C0D23">
        <w:rPr>
          <w:rFonts w:ascii="Times New Roman" w:hAnsi="Times New Roman" w:cs="Times New Roman"/>
          <w:noProof/>
          <w:sz w:val="28"/>
          <w:szCs w:val="24"/>
          <w:lang w:val="kk-KZ"/>
        </w:rPr>
        <w:t xml:space="preserve"> // </w:t>
      </w:r>
      <w:r w:rsidR="001C0D23" w:rsidRPr="00CB7B67">
        <w:rPr>
          <w:rFonts w:ascii="Times New Roman" w:hAnsi="Times New Roman" w:cs="Times New Roman"/>
          <w:i/>
          <w:iCs/>
          <w:noProof/>
          <w:sz w:val="28"/>
          <w:szCs w:val="24"/>
          <w:lang w:val="en-US"/>
        </w:rPr>
        <w:t>Fertil. Res. Pract.</w:t>
      </w:r>
      <w:r w:rsidR="001C0D23">
        <w:rPr>
          <w:rFonts w:ascii="Times New Roman" w:hAnsi="Times New Roman" w:cs="Times New Roman"/>
          <w:i/>
          <w:iCs/>
          <w:noProof/>
          <w:sz w:val="28"/>
          <w:szCs w:val="24"/>
          <w:lang w:val="kk-KZ"/>
        </w:rPr>
        <w:t>- 2019.-</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5,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1</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1–9</w:t>
      </w:r>
      <w:r w:rsidR="001C0D23">
        <w:rPr>
          <w:rFonts w:ascii="Times New Roman" w:hAnsi="Times New Roman" w:cs="Times New Roman"/>
          <w:noProof/>
          <w:sz w:val="28"/>
          <w:szCs w:val="24"/>
          <w:lang w:val="kk-KZ"/>
        </w:rPr>
        <w:t>.</w:t>
      </w:r>
      <w:r w:rsidR="008C6800" w:rsidRPr="006E70CF">
        <w:rPr>
          <w:rFonts w:ascii="Times New Roman" w:hAnsi="Times New Roman" w:cs="Times New Roman"/>
          <w:noProof/>
          <w:sz w:val="28"/>
          <w:szCs w:val="24"/>
          <w:lang w:val="en-US"/>
        </w:rPr>
        <w:t>doi: 10.1186/s40738-019-0059-7.</w:t>
      </w:r>
    </w:p>
    <w:p w14:paraId="658CC73A" w14:textId="7D45B444"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90</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 xml:space="preserve">Enciso  M. Development of a new comprehensive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reliable endometrial receptivity map (ER Map/ER Grade) based on RT-qPCR gene expression analysis</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Hum. Reprod.</w:t>
      </w:r>
      <w:r w:rsidR="001C0D23">
        <w:rPr>
          <w:rFonts w:ascii="Times New Roman" w:hAnsi="Times New Roman" w:cs="Times New Roman"/>
          <w:i/>
          <w:iCs/>
          <w:noProof/>
          <w:sz w:val="28"/>
          <w:szCs w:val="24"/>
          <w:lang w:val="kk-KZ"/>
        </w:rPr>
        <w:t xml:space="preserve"> - </w:t>
      </w:r>
      <w:r w:rsidR="001C0D23" w:rsidRPr="000C3AF1">
        <w:rPr>
          <w:rFonts w:ascii="Times New Roman" w:hAnsi="Times New Roman" w:cs="Times New Roman"/>
          <w:noProof/>
          <w:sz w:val="28"/>
          <w:szCs w:val="24"/>
          <w:lang w:val="kk-KZ"/>
        </w:rPr>
        <w:t>2018</w:t>
      </w:r>
      <w:r w:rsidR="001C0D23">
        <w:rPr>
          <w:rFonts w:ascii="Times New Roman" w:hAnsi="Times New Roman" w:cs="Times New Roman"/>
          <w:i/>
          <w:iCs/>
          <w:noProof/>
          <w:sz w:val="28"/>
          <w:szCs w:val="24"/>
          <w:lang w:val="kk-KZ"/>
        </w:rPr>
        <w:t>.-</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33,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2</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220–228</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doi: 10.1093/humrep/dex370.</w:t>
      </w:r>
    </w:p>
    <w:p w14:paraId="64C3F1B5" w14:textId="54808221"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91</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 xml:space="preserve">Maziotis  E. Commercially Available Molecular Approaches to Evaluate Endometrial Receptivity: A Systematic Review </w:t>
      </w:r>
      <w:r w:rsidR="001C0D23">
        <w:rPr>
          <w:rFonts w:ascii="Times New Roman" w:hAnsi="Times New Roman" w:cs="Times New Roman"/>
          <w:noProof/>
          <w:sz w:val="28"/>
          <w:szCs w:val="24"/>
          <w:lang w:val="en-US"/>
        </w:rPr>
        <w:t>and</w:t>
      </w:r>
      <w:r w:rsidR="001C0D23" w:rsidRPr="00CB7B67">
        <w:rPr>
          <w:rFonts w:ascii="Times New Roman" w:hAnsi="Times New Roman" w:cs="Times New Roman"/>
          <w:noProof/>
          <w:sz w:val="28"/>
          <w:szCs w:val="24"/>
          <w:lang w:val="en-US"/>
        </w:rPr>
        <w:t xml:space="preserve"> Critical Analysis of the Literature</w:t>
      </w:r>
      <w:r w:rsidR="001C0D23">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Diagnostics</w:t>
      </w:r>
      <w:r w:rsidR="001C0D23">
        <w:rPr>
          <w:rFonts w:ascii="Times New Roman" w:hAnsi="Times New Roman" w:cs="Times New Roman"/>
          <w:i/>
          <w:iCs/>
          <w:noProof/>
          <w:sz w:val="28"/>
          <w:szCs w:val="24"/>
          <w:lang w:val="kk-KZ"/>
        </w:rPr>
        <w:t xml:space="preserve">. - </w:t>
      </w:r>
      <w:r w:rsidR="001C0D23" w:rsidRPr="000C3AF1">
        <w:rPr>
          <w:rFonts w:ascii="Times New Roman" w:hAnsi="Times New Roman" w:cs="Times New Roman"/>
          <w:noProof/>
          <w:sz w:val="28"/>
          <w:szCs w:val="24"/>
          <w:lang w:val="kk-KZ"/>
        </w:rPr>
        <w:t>2022.</w:t>
      </w:r>
      <w:r w:rsidR="001C0D23">
        <w:rPr>
          <w:rFonts w:ascii="Times New Roman" w:hAnsi="Times New Roman" w:cs="Times New Roman"/>
          <w:i/>
          <w:iCs/>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12,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11</w:t>
      </w:r>
      <w:r w:rsidR="001C0D23">
        <w:rPr>
          <w:rFonts w:ascii="Times New Roman" w:hAnsi="Times New Roman" w:cs="Times New Roman"/>
          <w:noProof/>
          <w:sz w:val="28"/>
          <w:szCs w:val="24"/>
          <w:lang w:val="kk-KZ"/>
        </w:rPr>
        <w:t>.</w:t>
      </w:r>
      <w:r w:rsidR="008C6800" w:rsidRPr="006E70CF">
        <w:rPr>
          <w:rFonts w:ascii="Times New Roman" w:hAnsi="Times New Roman" w:cs="Times New Roman"/>
          <w:noProof/>
          <w:sz w:val="28"/>
          <w:szCs w:val="24"/>
          <w:lang w:val="en-US"/>
        </w:rPr>
        <w:t>doi: 10.3390/diagnostics12112611.</w:t>
      </w:r>
    </w:p>
    <w:p w14:paraId="4C1C8D56" w14:textId="44056257"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92</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Sigurgeirsson  B. Comprehensive RNA sequencing of healthy human endometrium at two time points of the menstrual cycle</w:t>
      </w:r>
      <w:r w:rsidR="001C0D23">
        <w:rPr>
          <w:rFonts w:ascii="Times New Roman" w:hAnsi="Times New Roman" w:cs="Times New Roman"/>
          <w:noProof/>
          <w:sz w:val="28"/>
          <w:szCs w:val="24"/>
          <w:lang w:val="kk-KZ"/>
        </w:rPr>
        <w:t xml:space="preserve"> // </w:t>
      </w:r>
      <w:r w:rsidR="001C0D23" w:rsidRPr="00CB7B67">
        <w:rPr>
          <w:rFonts w:ascii="Times New Roman" w:hAnsi="Times New Roman" w:cs="Times New Roman"/>
          <w:i/>
          <w:iCs/>
          <w:noProof/>
          <w:sz w:val="28"/>
          <w:szCs w:val="24"/>
          <w:lang w:val="en-US"/>
        </w:rPr>
        <w:t>Biol. Reprod.</w:t>
      </w:r>
      <w:r w:rsidR="001C0D23">
        <w:rPr>
          <w:rFonts w:ascii="Times New Roman" w:hAnsi="Times New Roman" w:cs="Times New Roman"/>
          <w:noProof/>
          <w:sz w:val="28"/>
          <w:szCs w:val="24"/>
          <w:lang w:val="kk-KZ"/>
        </w:rPr>
        <w:t xml:space="preserve"> - 2017. -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96,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1</w:t>
      </w:r>
      <w:r w:rsidR="001C0D23">
        <w:rPr>
          <w:rFonts w:ascii="Times New Roman" w:hAnsi="Times New Roman" w:cs="Times New Roman"/>
          <w:noProof/>
          <w:sz w:val="28"/>
          <w:szCs w:val="24"/>
          <w:lang w:val="kk-KZ"/>
        </w:rPr>
        <w:t xml:space="preserve">. </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24–33</w:t>
      </w:r>
      <w:r w:rsidR="001C0D23">
        <w:rPr>
          <w:rFonts w:ascii="Times New Roman" w:hAnsi="Times New Roman" w:cs="Times New Roman"/>
          <w:noProof/>
          <w:sz w:val="28"/>
          <w:szCs w:val="24"/>
          <w:lang w:val="kk-KZ"/>
        </w:rPr>
        <w:t>.</w:t>
      </w:r>
      <w:r w:rsidR="008C6800" w:rsidRPr="006E70CF">
        <w:rPr>
          <w:rFonts w:ascii="Times New Roman" w:hAnsi="Times New Roman" w:cs="Times New Roman"/>
          <w:noProof/>
          <w:sz w:val="28"/>
          <w:szCs w:val="24"/>
          <w:lang w:val="en-US"/>
        </w:rPr>
        <w:t xml:space="preserve"> doi: 10.1095/biolreprod.116.142547.</w:t>
      </w:r>
    </w:p>
    <w:p w14:paraId="7E66FB3F" w14:textId="746FE1E2"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93</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 xml:space="preserve">Tapia  A. </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Differences in the endometrial transcript profile during the receptive period between women who were refractory to implantation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those who achieved pregnancy</w:t>
      </w:r>
      <w:r w:rsidR="001C0D23">
        <w:rPr>
          <w:rFonts w:ascii="Times New Roman" w:hAnsi="Times New Roman" w:cs="Times New Roman"/>
          <w:noProof/>
          <w:sz w:val="28"/>
          <w:szCs w:val="24"/>
          <w:lang w:val="kk-KZ"/>
        </w:rPr>
        <w:t xml:space="preserve"> // </w:t>
      </w:r>
      <w:r w:rsidR="001C0D23" w:rsidRPr="00CB7B67">
        <w:rPr>
          <w:rFonts w:ascii="Times New Roman" w:hAnsi="Times New Roman" w:cs="Times New Roman"/>
          <w:i/>
          <w:iCs/>
          <w:noProof/>
          <w:sz w:val="28"/>
          <w:szCs w:val="24"/>
          <w:lang w:val="en-US"/>
        </w:rPr>
        <w:t>Hum. Reprod.</w:t>
      </w:r>
      <w:r w:rsidR="001C0D23">
        <w:rPr>
          <w:rFonts w:ascii="Times New Roman" w:hAnsi="Times New Roman" w:cs="Times New Roman"/>
          <w:i/>
          <w:iCs/>
          <w:noProof/>
          <w:sz w:val="28"/>
          <w:szCs w:val="24"/>
          <w:lang w:val="kk-KZ"/>
        </w:rPr>
        <w:t xml:space="preserve"> - </w:t>
      </w:r>
      <w:r w:rsidR="001C0D23" w:rsidRPr="000C3AF1">
        <w:rPr>
          <w:rFonts w:ascii="Times New Roman" w:hAnsi="Times New Roman" w:cs="Times New Roman"/>
          <w:noProof/>
          <w:sz w:val="28"/>
          <w:szCs w:val="24"/>
          <w:lang w:val="kk-KZ"/>
        </w:rPr>
        <w:t>2008</w:t>
      </w:r>
      <w:r w:rsidR="001C0D23">
        <w:rPr>
          <w:rFonts w:ascii="Times New Roman" w:hAnsi="Times New Roman" w:cs="Times New Roman"/>
          <w:i/>
          <w:iCs/>
          <w:noProof/>
          <w:sz w:val="28"/>
          <w:szCs w:val="24"/>
          <w:lang w:val="kk-KZ"/>
        </w:rPr>
        <w:t>.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23,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2</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340–351</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doi: 10.1093/humrep/dem319.</w:t>
      </w:r>
    </w:p>
    <w:p w14:paraId="4FC1AC60" w14:textId="1CBC7211"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94</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Li</w:t>
      </w:r>
      <w:r w:rsidR="001C0D23" w:rsidRPr="000C3AF1">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F., Gao</w:t>
      </w:r>
      <w:r w:rsidR="001C0D23" w:rsidRPr="000C3AF1">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W., Li</w:t>
      </w:r>
      <w:r w:rsidR="001C0D23" w:rsidRPr="000C3AF1">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Y., Wang</w:t>
      </w:r>
      <w:r w:rsidR="001C0D23" w:rsidRPr="000C3AF1">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Y., Liu</w:t>
      </w:r>
      <w:r w:rsidR="001C0D23" w:rsidRPr="000C3AF1">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L., Zhang</w:t>
      </w:r>
      <w:r w:rsidR="001C0D23" w:rsidRPr="000C3AF1">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X.</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Potential Biomarkers</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Endometrial Immune Microenvironment in Recurrent Implantation Failure</w:t>
      </w:r>
      <w:r w:rsidR="001C0D23">
        <w:rPr>
          <w:rFonts w:ascii="Times New Roman" w:hAnsi="Times New Roman" w:cs="Times New Roman"/>
          <w:noProof/>
          <w:sz w:val="28"/>
          <w:szCs w:val="24"/>
          <w:lang w:val="kk-KZ"/>
        </w:rPr>
        <w:t xml:space="preserve"> // </w:t>
      </w:r>
      <w:r w:rsidR="001C0D23" w:rsidRPr="00CB7B67">
        <w:rPr>
          <w:rFonts w:ascii="Times New Roman" w:hAnsi="Times New Roman" w:cs="Times New Roman"/>
          <w:i/>
          <w:iCs/>
          <w:noProof/>
          <w:sz w:val="28"/>
          <w:szCs w:val="24"/>
          <w:lang w:val="en-US"/>
        </w:rPr>
        <w:t>Biomolecules</w:t>
      </w:r>
      <w:r w:rsidR="001C0D23">
        <w:rPr>
          <w:rFonts w:ascii="Times New Roman" w:hAnsi="Times New Roman" w:cs="Times New Roman"/>
          <w:i/>
          <w:iCs/>
          <w:noProof/>
          <w:sz w:val="28"/>
          <w:szCs w:val="24"/>
          <w:lang w:val="kk-KZ"/>
        </w:rPr>
        <w:t xml:space="preserve">. - </w:t>
      </w:r>
      <w:r w:rsidR="001C0D23" w:rsidRPr="000C3AF1">
        <w:rPr>
          <w:rFonts w:ascii="Times New Roman" w:hAnsi="Times New Roman" w:cs="Times New Roman"/>
          <w:noProof/>
          <w:sz w:val="28"/>
          <w:szCs w:val="24"/>
          <w:lang w:val="kk-KZ"/>
        </w:rPr>
        <w:t>2023.-</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13,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3</w:t>
      </w:r>
      <w:r w:rsidR="001C0D23">
        <w:rPr>
          <w:rFonts w:ascii="Times New Roman" w:hAnsi="Times New Roman" w:cs="Times New Roman"/>
          <w:noProof/>
          <w:sz w:val="28"/>
          <w:szCs w:val="24"/>
          <w:lang w:val="kk-KZ"/>
        </w:rPr>
        <w:t>.</w:t>
      </w:r>
      <w:r w:rsidR="008C6800" w:rsidRPr="006E70CF">
        <w:rPr>
          <w:rFonts w:ascii="Times New Roman" w:hAnsi="Times New Roman" w:cs="Times New Roman"/>
          <w:noProof/>
          <w:sz w:val="28"/>
          <w:szCs w:val="24"/>
          <w:lang w:val="en-US"/>
        </w:rPr>
        <w:t xml:space="preserve"> doi: 10.3390/biom13030406.</w:t>
      </w:r>
    </w:p>
    <w:p w14:paraId="53FECEE4" w14:textId="5FE84EBE"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95</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 xml:space="preserve">Altmäe  S. Meta-signature of human endometrial receptivity: A meta-analysis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validation study of transcriptomic biomarkers</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Sci. Rep.</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2017</w:t>
      </w:r>
      <w:r w:rsidR="001C0D23">
        <w:rPr>
          <w:rFonts w:ascii="Times New Roman" w:hAnsi="Times New Roman" w:cs="Times New Roman"/>
          <w:noProof/>
          <w:sz w:val="28"/>
          <w:szCs w:val="24"/>
          <w:lang w:val="kk-KZ"/>
        </w:rPr>
        <w:t>.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7,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1</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1–15</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 xml:space="preserve"> doi: 10.1038/s41598-017-10098-3.</w:t>
      </w:r>
    </w:p>
    <w:p w14:paraId="7153EFDF" w14:textId="7D48B900"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96</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Herington</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J. L., Guo</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Y., Reese</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J., Paria</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B.C.</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Gene profiling the window of implantation: Microarray analyses from human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rodent models</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J. Reprod. Heal. Med.</w:t>
      </w:r>
      <w:r w:rsidR="001C0D23">
        <w:rPr>
          <w:rFonts w:ascii="Times New Roman" w:hAnsi="Times New Roman" w:cs="Times New Roman"/>
          <w:i/>
          <w:iCs/>
          <w:noProof/>
          <w:sz w:val="28"/>
          <w:szCs w:val="24"/>
          <w:lang w:val="kk-KZ"/>
        </w:rPr>
        <w:t xml:space="preserve"> -</w:t>
      </w:r>
      <w:r w:rsidR="001C0D23" w:rsidRPr="007D1057">
        <w:rPr>
          <w:rFonts w:ascii="Times New Roman" w:hAnsi="Times New Roman" w:cs="Times New Roman"/>
          <w:noProof/>
          <w:sz w:val="28"/>
          <w:szCs w:val="24"/>
          <w:lang w:val="kk-KZ"/>
        </w:rPr>
        <w:t xml:space="preserve"> 2016</w:t>
      </w:r>
      <w:r w:rsidR="001C0D23">
        <w:rPr>
          <w:rFonts w:ascii="Times New Roman" w:hAnsi="Times New Roman" w:cs="Times New Roman"/>
          <w:i/>
          <w:iCs/>
          <w:noProof/>
          <w:sz w:val="28"/>
          <w:szCs w:val="24"/>
          <w:lang w:val="kk-KZ"/>
        </w:rPr>
        <w:t>.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2</w:t>
      </w:r>
      <w:r w:rsidR="001C0D23">
        <w:rPr>
          <w:rFonts w:ascii="Times New Roman" w:hAnsi="Times New Roman" w:cs="Times New Roman"/>
          <w:noProof/>
          <w:sz w:val="28"/>
          <w:szCs w:val="24"/>
          <w:lang w:val="kk-KZ"/>
        </w:rPr>
        <w:t xml:space="preserve"> </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19–25</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008C6800" w:rsidRPr="006E70CF">
        <w:rPr>
          <w:rFonts w:ascii="Times New Roman" w:hAnsi="Times New Roman" w:cs="Times New Roman"/>
          <w:noProof/>
          <w:sz w:val="28"/>
          <w:szCs w:val="24"/>
          <w:lang w:val="en-US"/>
        </w:rPr>
        <w:t xml:space="preserve"> doi: 10.1016/j.jrhm.2016.11.006.</w:t>
      </w:r>
    </w:p>
    <w:p w14:paraId="3C261F32" w14:textId="3A015AC3"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97</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Murata  H. The transcription factor H</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2 up-regulates transcription of the IL15 gene in human endometrial stromal cells</w:t>
      </w:r>
      <w:r w:rsidR="001C0D23">
        <w:rPr>
          <w:rFonts w:ascii="Times New Roman" w:hAnsi="Times New Roman" w:cs="Times New Roman"/>
          <w:noProof/>
          <w:sz w:val="28"/>
          <w:szCs w:val="24"/>
          <w:lang w:val="kk-KZ"/>
        </w:rPr>
        <w:t xml:space="preserve"> // </w:t>
      </w:r>
      <w:r w:rsidR="001C0D23" w:rsidRPr="00CB7B67">
        <w:rPr>
          <w:rFonts w:ascii="Times New Roman" w:hAnsi="Times New Roman" w:cs="Times New Roman"/>
          <w:i/>
          <w:iCs/>
          <w:noProof/>
          <w:sz w:val="28"/>
          <w:szCs w:val="24"/>
          <w:lang w:val="en-US"/>
        </w:rPr>
        <w:t>J. Biol. Chem.</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2020</w:t>
      </w:r>
      <w:r w:rsidR="001C0D23">
        <w:rPr>
          <w:rFonts w:ascii="Times New Roman" w:hAnsi="Times New Roman" w:cs="Times New Roman"/>
          <w:noProof/>
          <w:sz w:val="28"/>
          <w:szCs w:val="24"/>
          <w:lang w:val="kk-KZ"/>
        </w:rPr>
        <w:t xml:space="preserve">. -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295,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28</w:t>
      </w:r>
      <w:r w:rsidR="001C0D23">
        <w:rPr>
          <w:rFonts w:ascii="Times New Roman" w:hAnsi="Times New Roman" w:cs="Times New Roman"/>
          <w:noProof/>
          <w:sz w:val="28"/>
          <w:szCs w:val="24"/>
          <w:lang w:val="kk-KZ"/>
        </w:rPr>
        <w:t xml:space="preserve">. </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9596–9605</w:t>
      </w:r>
      <w:r w:rsidR="001C0D23">
        <w:rPr>
          <w:rFonts w:ascii="Times New Roman" w:hAnsi="Times New Roman" w:cs="Times New Roman"/>
          <w:noProof/>
          <w:sz w:val="28"/>
          <w:szCs w:val="24"/>
          <w:lang w:val="kk-KZ"/>
        </w:rPr>
        <w:t>.</w:t>
      </w:r>
      <w:r w:rsidR="008C6800" w:rsidRPr="006E70CF">
        <w:rPr>
          <w:rFonts w:ascii="Times New Roman" w:hAnsi="Times New Roman" w:cs="Times New Roman"/>
          <w:noProof/>
          <w:sz w:val="28"/>
          <w:szCs w:val="24"/>
          <w:lang w:val="en-US"/>
        </w:rPr>
        <w:t xml:space="preserve"> doi: 10.1074/jbc.ra120.012753.</w:t>
      </w:r>
    </w:p>
    <w:p w14:paraId="1D878B45" w14:textId="36072C9D"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98</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Li</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X., Kumar</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A., Zhang</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F., Lee</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C., Tang</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Z.</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Complicated life, complicated VEGF-B</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7D1057">
        <w:rPr>
          <w:rFonts w:ascii="Times New Roman" w:hAnsi="Times New Roman" w:cs="Times New Roman"/>
          <w:noProof/>
          <w:sz w:val="28"/>
          <w:szCs w:val="24"/>
          <w:lang w:val="en-US"/>
        </w:rPr>
        <w:t>Trends Mol. Med.</w:t>
      </w:r>
      <w:r w:rsidR="001C0D23">
        <w:rPr>
          <w:rFonts w:ascii="Times New Roman" w:hAnsi="Times New Roman" w:cs="Times New Roman"/>
          <w:noProof/>
          <w:sz w:val="28"/>
          <w:szCs w:val="24"/>
          <w:lang w:val="kk-KZ"/>
        </w:rPr>
        <w:t xml:space="preserve"> - 2012.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18,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2</w:t>
      </w:r>
      <w:r w:rsidR="001C0D23">
        <w:rPr>
          <w:rFonts w:ascii="Times New Roman" w:hAnsi="Times New Roman" w:cs="Times New Roman"/>
          <w:noProof/>
          <w:sz w:val="28"/>
          <w:szCs w:val="24"/>
          <w:lang w:val="kk-KZ"/>
        </w:rPr>
        <w:t xml:space="preserve">. </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119–127</w:t>
      </w:r>
      <w:r w:rsidR="001C0D23">
        <w:rPr>
          <w:rFonts w:ascii="Times New Roman" w:hAnsi="Times New Roman" w:cs="Times New Roman"/>
          <w:noProof/>
          <w:sz w:val="28"/>
          <w:szCs w:val="24"/>
          <w:lang w:val="kk-KZ"/>
        </w:rPr>
        <w:t>.</w:t>
      </w:r>
      <w:r w:rsidR="008C6800" w:rsidRPr="006E70CF">
        <w:rPr>
          <w:rFonts w:ascii="Times New Roman" w:hAnsi="Times New Roman" w:cs="Times New Roman"/>
          <w:noProof/>
          <w:sz w:val="28"/>
          <w:szCs w:val="24"/>
          <w:lang w:val="en-US"/>
        </w:rPr>
        <w:t xml:space="preserve"> doi: 10.1016/j.molmed.2011.11.006.</w:t>
      </w:r>
    </w:p>
    <w:p w14:paraId="73F6A231" w14:textId="35F09171" w:rsidR="008C6800" w:rsidRPr="001C0D23"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99</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Lv  H. Deciphering the endometrial niche of human thin endometrium at single-cell resolution</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Proc. Natl. Acad. Sci. U. S. A.</w:t>
      </w:r>
      <w:r w:rsidR="001C0D23">
        <w:rPr>
          <w:rFonts w:ascii="Times New Roman" w:hAnsi="Times New Roman" w:cs="Times New Roman"/>
          <w:noProof/>
          <w:sz w:val="28"/>
          <w:szCs w:val="24"/>
          <w:lang w:val="kk-KZ"/>
        </w:rPr>
        <w:t xml:space="preserve"> - 2022.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119,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8</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1–11</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008C6800" w:rsidRPr="001C0D23">
        <w:rPr>
          <w:rFonts w:ascii="Times New Roman" w:hAnsi="Times New Roman" w:cs="Times New Roman"/>
          <w:noProof/>
          <w:sz w:val="28"/>
          <w:szCs w:val="24"/>
          <w:lang w:val="en-US"/>
        </w:rPr>
        <w:t>doi: 10.1073/pnas.2115912119.</w:t>
      </w:r>
    </w:p>
    <w:p w14:paraId="57B9209E" w14:textId="6E69EEB9"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1C0D23">
        <w:rPr>
          <w:rFonts w:ascii="Times New Roman" w:hAnsi="Times New Roman" w:cs="Times New Roman"/>
          <w:noProof/>
          <w:sz w:val="28"/>
          <w:szCs w:val="24"/>
          <w:lang w:val="en-US"/>
        </w:rPr>
        <w:t xml:space="preserve">100   </w:t>
      </w:r>
      <w:r w:rsidR="001C0D23" w:rsidRPr="00CB7B67">
        <w:rPr>
          <w:rFonts w:ascii="Times New Roman" w:hAnsi="Times New Roman" w:cs="Times New Roman"/>
          <w:noProof/>
          <w:sz w:val="28"/>
          <w:szCs w:val="24"/>
          <w:lang w:val="en-US"/>
        </w:rPr>
        <w:t>Harrity</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C., Shkrobot</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L., Walsh</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D., Marron</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K.</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ART implantation failure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miscarriage in patients with elevated intracellular cytokine ratios: response to immune support therapy</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Fertil. Res. Pract.</w:t>
      </w:r>
      <w:r w:rsidR="001C0D23">
        <w:rPr>
          <w:rFonts w:ascii="Times New Roman" w:hAnsi="Times New Roman" w:cs="Times New Roman"/>
          <w:noProof/>
          <w:sz w:val="28"/>
          <w:szCs w:val="24"/>
          <w:lang w:val="kk-KZ"/>
        </w:rPr>
        <w:t xml:space="preserve"> - 2018.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4,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1</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1–9</w:t>
      </w:r>
      <w:r w:rsidR="001C0D23">
        <w:rPr>
          <w:rFonts w:ascii="Times New Roman" w:hAnsi="Times New Roman" w:cs="Times New Roman"/>
          <w:noProof/>
          <w:sz w:val="28"/>
          <w:szCs w:val="24"/>
          <w:lang w:val="kk-KZ"/>
        </w:rPr>
        <w:t>.</w:t>
      </w:r>
      <w:r w:rsidR="008C6800" w:rsidRPr="006E70CF">
        <w:rPr>
          <w:rFonts w:ascii="Times New Roman" w:hAnsi="Times New Roman" w:cs="Times New Roman"/>
          <w:noProof/>
          <w:sz w:val="28"/>
          <w:szCs w:val="24"/>
          <w:lang w:val="en-US"/>
        </w:rPr>
        <w:t>doi: 10.1186/s40738-018-0052-6.</w:t>
      </w:r>
    </w:p>
    <w:p w14:paraId="5D4D2A54" w14:textId="77777777" w:rsidR="001C0D23" w:rsidRPr="00CB7B67" w:rsidRDefault="007D5BF5" w:rsidP="001C0D23">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101</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Azizi</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R., Aghebati-Maleki</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L., Nouri</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M., Marofi</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F., Negargar</w:t>
      </w:r>
      <w:r w:rsidR="001C0D23" w:rsidRPr="007D1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S., Yousefi</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M. Stem cell therapy in Asherman syndrome </w:t>
      </w:r>
      <w:r w:rsidR="001C0D23">
        <w:rPr>
          <w:rFonts w:ascii="Times New Roman" w:hAnsi="Times New Roman" w:cs="Times New Roman"/>
          <w:noProof/>
          <w:sz w:val="28"/>
          <w:szCs w:val="24"/>
          <w:lang w:val="en-US"/>
        </w:rPr>
        <w:t>and</w:t>
      </w:r>
      <w:r w:rsidR="001C0D23" w:rsidRPr="00CB7B67">
        <w:rPr>
          <w:rFonts w:ascii="Times New Roman" w:hAnsi="Times New Roman" w:cs="Times New Roman"/>
          <w:noProof/>
          <w:sz w:val="28"/>
          <w:szCs w:val="24"/>
          <w:lang w:val="en-US"/>
        </w:rPr>
        <w:t xml:space="preserve"> thin endometrium: Stem cell- based therapy</w:t>
      </w:r>
      <w:r w:rsidR="001C0D23">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Biomed. Pharmacother.</w:t>
      </w:r>
      <w:r w:rsidR="001C0D23">
        <w:rPr>
          <w:rFonts w:ascii="Times New Roman" w:hAnsi="Times New Roman" w:cs="Times New Roman"/>
          <w:noProof/>
          <w:sz w:val="28"/>
          <w:szCs w:val="24"/>
          <w:lang w:val="kk-KZ"/>
        </w:rPr>
        <w:t>- 2018.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102, </w:t>
      </w:r>
      <w:r w:rsidR="001C0D23">
        <w:rPr>
          <w:rFonts w:ascii="Times New Roman" w:hAnsi="Times New Roman" w:cs="Times New Roman"/>
          <w:noProof/>
          <w:sz w:val="28"/>
          <w:szCs w:val="24"/>
          <w:lang w:val="en-US"/>
        </w:rPr>
        <w:t>№</w:t>
      </w:r>
      <w:r w:rsidR="001C0D23">
        <w:rPr>
          <w:rFonts w:ascii="Times New Roman" w:hAnsi="Times New Roman" w:cs="Times New Roman"/>
          <w:noProof/>
          <w:sz w:val="28"/>
          <w:szCs w:val="24"/>
          <w:lang w:val="kk-KZ"/>
        </w:rPr>
        <w:t xml:space="preserve">3. </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333–343</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doi: 10.1016/j.biopha.2018.03.091.</w:t>
      </w:r>
    </w:p>
    <w:p w14:paraId="541975E5" w14:textId="624901E5" w:rsidR="008C6800" w:rsidRPr="001C0D23"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102</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Xu</w:t>
      </w:r>
      <w:r w:rsidR="001C0D23" w:rsidRPr="00C90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L., Fan</w:t>
      </w:r>
      <w:r w:rsidR="001C0D23" w:rsidRPr="00C90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Y., Wang</w:t>
      </w:r>
      <w:r w:rsidR="001C0D23" w:rsidRPr="00C90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J.,</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Shi</w:t>
      </w:r>
      <w:r w:rsidR="001C0D23" w:rsidRPr="00C90057">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R.</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Dysfunctional intercellular communication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metabolic signaling pathways in thin endometrium</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Front. Physiol.</w:t>
      </w:r>
      <w:r w:rsidR="001C0D23">
        <w:rPr>
          <w:rFonts w:ascii="Times New Roman" w:hAnsi="Times New Roman" w:cs="Times New Roman"/>
          <w:i/>
          <w:iCs/>
          <w:noProof/>
          <w:sz w:val="28"/>
          <w:szCs w:val="24"/>
          <w:lang w:val="kk-KZ"/>
        </w:rPr>
        <w:t xml:space="preserve"> - 2022.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13, </w:t>
      </w:r>
      <w:r w:rsidR="001C0D23">
        <w:rPr>
          <w:rFonts w:ascii="Times New Roman" w:hAnsi="Times New Roman" w:cs="Times New Roman"/>
          <w:noProof/>
          <w:sz w:val="28"/>
          <w:szCs w:val="24"/>
          <w:lang w:val="en-US"/>
        </w:rPr>
        <w:t>№</w:t>
      </w:r>
      <w:r w:rsidR="001C0D23">
        <w:rPr>
          <w:rFonts w:ascii="Times New Roman" w:hAnsi="Times New Roman" w:cs="Times New Roman"/>
          <w:noProof/>
          <w:sz w:val="28"/>
          <w:szCs w:val="24"/>
          <w:lang w:val="kk-KZ"/>
        </w:rPr>
        <w:t>11.</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1–12</w:t>
      </w:r>
      <w:r w:rsidR="001C0D23">
        <w:rPr>
          <w:rFonts w:ascii="Times New Roman" w:hAnsi="Times New Roman" w:cs="Times New Roman"/>
          <w:noProof/>
          <w:sz w:val="28"/>
          <w:szCs w:val="24"/>
          <w:lang w:val="kk-KZ"/>
        </w:rPr>
        <w:t>.</w:t>
      </w:r>
      <w:r w:rsidR="008C6800" w:rsidRPr="001C0D23">
        <w:rPr>
          <w:rFonts w:ascii="Times New Roman" w:hAnsi="Times New Roman" w:cs="Times New Roman"/>
          <w:noProof/>
          <w:sz w:val="28"/>
          <w:szCs w:val="24"/>
          <w:lang w:val="en-US"/>
        </w:rPr>
        <w:t>doi: 10.3389/fphys.2022.1050690.</w:t>
      </w:r>
    </w:p>
    <w:p w14:paraId="6FCCB89E" w14:textId="01D78E4E"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1C0D23">
        <w:rPr>
          <w:rFonts w:ascii="Times New Roman" w:hAnsi="Times New Roman" w:cs="Times New Roman"/>
          <w:noProof/>
          <w:sz w:val="28"/>
          <w:szCs w:val="24"/>
          <w:lang w:val="en-US"/>
        </w:rPr>
        <w:t xml:space="preserve">103   </w:t>
      </w:r>
      <w:r w:rsidR="001C0D23" w:rsidRPr="00CB7B67">
        <w:rPr>
          <w:rFonts w:ascii="Times New Roman" w:hAnsi="Times New Roman" w:cs="Times New Roman"/>
          <w:noProof/>
          <w:sz w:val="28"/>
          <w:szCs w:val="24"/>
          <w:lang w:val="en-US"/>
        </w:rPr>
        <w:t xml:space="preserve">Lédée  N. New pre-conception immune biomarkers for clinical practice: Interleukin-18, interleukin-15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TWEAK on the endometrial side, G-CSF on the follicular side</w:t>
      </w:r>
      <w:r w:rsidR="001C0D23">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J. Reprod. Immunol.</w:t>
      </w:r>
      <w:r w:rsidR="001C0D23">
        <w:rPr>
          <w:rFonts w:ascii="Times New Roman" w:hAnsi="Times New Roman" w:cs="Times New Roman"/>
          <w:noProof/>
          <w:sz w:val="28"/>
          <w:szCs w:val="24"/>
          <w:lang w:val="kk-KZ"/>
        </w:rPr>
        <w:t xml:space="preserve"> - 2011.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88,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2</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118–123</w:t>
      </w:r>
      <w:r w:rsidR="001C0D23">
        <w:rPr>
          <w:rFonts w:ascii="Times New Roman" w:hAnsi="Times New Roman" w:cs="Times New Roman"/>
          <w:noProof/>
          <w:sz w:val="28"/>
          <w:szCs w:val="24"/>
          <w:lang w:val="kk-KZ"/>
        </w:rPr>
        <w:t>.</w:t>
      </w:r>
      <w:r w:rsidR="008C6800" w:rsidRPr="006E70CF">
        <w:rPr>
          <w:rFonts w:ascii="Times New Roman" w:hAnsi="Times New Roman" w:cs="Times New Roman"/>
          <w:noProof/>
          <w:sz w:val="28"/>
          <w:szCs w:val="24"/>
          <w:lang w:val="en-US"/>
        </w:rPr>
        <w:t xml:space="preserve"> doi: 10.1016/j.jri.2011.01.007.</w:t>
      </w:r>
    </w:p>
    <w:p w14:paraId="1BD36ADB" w14:textId="3FD31E89" w:rsidR="008C6800" w:rsidRPr="006E70CF" w:rsidRDefault="007D5BF5" w:rsidP="007D5BF5">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104</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 xml:space="preserve">Kurmanova  G. Altered Expression of C4BPA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CXCL1 Genes in the Endometrium of Patients with Recurrent Implantation Failure after In Vitro Fertilization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Thin Endometrium</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Diagnostics</w:t>
      </w:r>
      <w:r w:rsidR="001C0D23">
        <w:rPr>
          <w:rFonts w:ascii="Times New Roman" w:hAnsi="Times New Roman" w:cs="Times New Roman"/>
          <w:i/>
          <w:iCs/>
          <w:noProof/>
          <w:sz w:val="28"/>
          <w:szCs w:val="24"/>
          <w:lang w:val="kk-KZ"/>
        </w:rPr>
        <w:t xml:space="preserve">. - </w:t>
      </w:r>
      <w:r w:rsidR="001C0D23" w:rsidRPr="00685C4F">
        <w:rPr>
          <w:rFonts w:ascii="Times New Roman" w:hAnsi="Times New Roman" w:cs="Times New Roman"/>
          <w:noProof/>
          <w:sz w:val="28"/>
          <w:szCs w:val="24"/>
          <w:lang w:val="kk-KZ"/>
        </w:rPr>
        <w:t>2024</w:t>
      </w:r>
      <w:r w:rsidR="001C0D23">
        <w:rPr>
          <w:rFonts w:ascii="Times New Roman" w:hAnsi="Times New Roman" w:cs="Times New Roman"/>
          <w:i/>
          <w:iCs/>
          <w:noProof/>
          <w:sz w:val="28"/>
          <w:szCs w:val="24"/>
          <w:lang w:val="kk-KZ"/>
        </w:rPr>
        <w:t>.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14,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17</w:t>
      </w:r>
      <w:r w:rsidR="001C0D23">
        <w:rPr>
          <w:rFonts w:ascii="Times New Roman" w:hAnsi="Times New Roman" w:cs="Times New Roman"/>
          <w:noProof/>
          <w:sz w:val="28"/>
          <w:szCs w:val="24"/>
          <w:lang w:val="kk-KZ"/>
        </w:rPr>
        <w:t>. -</w:t>
      </w:r>
      <w:r w:rsidR="001C0D23" w:rsidRPr="00CB7B67">
        <w:rPr>
          <w:rFonts w:ascii="Times New Roman" w:hAnsi="Times New Roman" w:cs="Times New Roman"/>
          <w:noProof/>
          <w:sz w:val="28"/>
          <w:szCs w:val="24"/>
          <w:lang w:val="en-US"/>
        </w:rPr>
        <w:t xml:space="preserve"> 1967</w:t>
      </w:r>
      <w:r w:rsidR="001C0D23" w:rsidRPr="00685C4F">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p. 2024</w:t>
      </w:r>
      <w:r w:rsidR="001C0D23">
        <w:rPr>
          <w:rFonts w:ascii="Times New Roman" w:hAnsi="Times New Roman" w:cs="Times New Roman"/>
          <w:noProof/>
          <w:sz w:val="28"/>
          <w:szCs w:val="24"/>
          <w:lang w:val="kk-KZ"/>
        </w:rPr>
        <w:t xml:space="preserve">. </w:t>
      </w:r>
      <w:r w:rsidR="008C6800" w:rsidRPr="006E70CF">
        <w:rPr>
          <w:rFonts w:ascii="Times New Roman" w:hAnsi="Times New Roman" w:cs="Times New Roman"/>
          <w:noProof/>
          <w:sz w:val="28"/>
          <w:szCs w:val="24"/>
          <w:lang w:val="en-US"/>
        </w:rPr>
        <w:t>doi: 10.3390/diagnostics14171967.</w:t>
      </w:r>
    </w:p>
    <w:p w14:paraId="18B704F0" w14:textId="7B127FC9" w:rsidR="008C6800" w:rsidRPr="001C0D23" w:rsidRDefault="007D5BF5" w:rsidP="001C0D23">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105</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Yurci</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A., Dokuzeylul N.G</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Gurbuz</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T.</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High Endometrial Thickness Does not Affect IVF/ICSI Outcomes</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Eur. J. Ther.</w:t>
      </w:r>
      <w:r w:rsidR="001C0D23">
        <w:rPr>
          <w:rFonts w:ascii="Times New Roman" w:hAnsi="Times New Roman" w:cs="Times New Roman"/>
          <w:noProof/>
          <w:sz w:val="28"/>
          <w:szCs w:val="24"/>
          <w:lang w:val="kk-KZ"/>
        </w:rPr>
        <w:t xml:space="preserve"> - 2021.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27,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1</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94–98</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doi: 10.5152/eurjther.2021.20102.</w:t>
      </w:r>
    </w:p>
    <w:p w14:paraId="5971C2AF" w14:textId="7C46A0D1" w:rsidR="001C0D23" w:rsidRPr="00CB7B67" w:rsidRDefault="007D5BF5" w:rsidP="001C0D23">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C0D23">
        <w:rPr>
          <w:rFonts w:ascii="Times New Roman" w:hAnsi="Times New Roman" w:cs="Times New Roman"/>
          <w:noProof/>
          <w:sz w:val="28"/>
          <w:szCs w:val="24"/>
          <w:lang w:val="en-US"/>
        </w:rPr>
        <w:t xml:space="preserve">106  </w:t>
      </w:r>
      <w:r w:rsidR="008C6800" w:rsidRPr="001C0D23">
        <w:rPr>
          <w:rFonts w:ascii="Times New Roman" w:hAnsi="Times New Roman" w:cs="Times New Roman"/>
          <w:noProof/>
          <w:sz w:val="28"/>
          <w:szCs w:val="24"/>
          <w:lang w:val="en-US"/>
        </w:rPr>
        <w:t>V</w:t>
      </w:r>
      <w:r w:rsidR="001C0D23" w:rsidRPr="001C0D23">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 xml:space="preserve">Ribeiro  V.C. Should we continue to measure endometrial thickness in modern-day medicine? The effect on live birth rates </w:t>
      </w:r>
      <w:r w:rsidR="001C0D23">
        <w:rPr>
          <w:rFonts w:ascii="Times New Roman" w:hAnsi="Times New Roman" w:cs="Times New Roman"/>
          <w:noProof/>
          <w:sz w:val="28"/>
          <w:szCs w:val="24"/>
          <w:lang w:val="en-US"/>
        </w:rPr>
        <w:t>and</w:t>
      </w:r>
      <w:r w:rsidR="001C0D23" w:rsidRPr="00CB7B67">
        <w:rPr>
          <w:rFonts w:ascii="Times New Roman" w:hAnsi="Times New Roman" w:cs="Times New Roman"/>
          <w:noProof/>
          <w:sz w:val="28"/>
          <w:szCs w:val="24"/>
          <w:lang w:val="en-US"/>
        </w:rPr>
        <w:t xml:space="preserve"> birth weight</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Reprod. Biomed. Online</w:t>
      </w:r>
      <w:r w:rsidR="001C0D23">
        <w:rPr>
          <w:rFonts w:ascii="Times New Roman" w:hAnsi="Times New Roman" w:cs="Times New Roman"/>
          <w:noProof/>
          <w:sz w:val="28"/>
          <w:szCs w:val="24"/>
          <w:lang w:val="kk-KZ"/>
        </w:rPr>
        <w:t>. - 2018.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36,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4</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416–426.</w:t>
      </w:r>
    </w:p>
    <w:p w14:paraId="6EBDB18C" w14:textId="77777777" w:rsidR="001C0D23" w:rsidRDefault="007D5BF5"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107</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Simeonov  M. The entire range of trigger-day endometrial thickness in fresh IVF cycles is independently correlated with live birth rate</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Reprod. Biomed. Online</w:t>
      </w:r>
      <w:r w:rsidR="001C0D23">
        <w:rPr>
          <w:rFonts w:ascii="Times New Roman" w:hAnsi="Times New Roman" w:cs="Times New Roman"/>
          <w:i/>
          <w:iCs/>
          <w:noProof/>
          <w:sz w:val="28"/>
          <w:szCs w:val="24"/>
          <w:lang w:val="kk-KZ"/>
        </w:rPr>
        <w:t xml:space="preserve">. - </w:t>
      </w:r>
      <w:r w:rsidR="001C0D23" w:rsidRPr="00685C4F">
        <w:rPr>
          <w:rFonts w:ascii="Times New Roman" w:hAnsi="Times New Roman" w:cs="Times New Roman"/>
          <w:noProof/>
          <w:sz w:val="28"/>
          <w:szCs w:val="24"/>
          <w:lang w:val="kk-KZ"/>
        </w:rPr>
        <w:t>2020</w:t>
      </w:r>
      <w:r w:rsidR="001C0D23">
        <w:rPr>
          <w:rFonts w:ascii="Times New Roman" w:hAnsi="Times New Roman" w:cs="Times New Roman"/>
          <w:i/>
          <w:iCs/>
          <w:noProof/>
          <w:sz w:val="28"/>
          <w:szCs w:val="24"/>
          <w:lang w:val="kk-KZ"/>
        </w:rPr>
        <w:t>.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41,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2</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239–24.</w:t>
      </w:r>
    </w:p>
    <w:p w14:paraId="1DB5D104" w14:textId="77777777" w:rsidR="001C0D23" w:rsidRDefault="000B4E71"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1C0D23">
        <w:rPr>
          <w:rFonts w:ascii="Times New Roman" w:hAnsi="Times New Roman" w:cs="Times New Roman"/>
          <w:noProof/>
          <w:sz w:val="28"/>
          <w:szCs w:val="24"/>
          <w:lang w:val="en-US"/>
        </w:rPr>
        <w:t xml:space="preserve">108  </w:t>
      </w:r>
      <w:r w:rsidR="001C0D23" w:rsidRPr="00CB7B67">
        <w:rPr>
          <w:rFonts w:ascii="Times New Roman" w:hAnsi="Times New Roman" w:cs="Times New Roman"/>
          <w:noProof/>
          <w:sz w:val="28"/>
          <w:szCs w:val="24"/>
          <w:lang w:val="en-US"/>
        </w:rPr>
        <w:t>Von Wolff  M. Thin endometrium is also associated with lower clinical pregnancy rate in unstimulated menstrual cycles: a study based on natural cycle IVF</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Front. Endocrinol. (Lausanne).</w:t>
      </w:r>
      <w:r w:rsidR="001C0D23">
        <w:rPr>
          <w:rFonts w:ascii="Times New Roman" w:hAnsi="Times New Roman" w:cs="Times New Roman"/>
          <w:noProof/>
          <w:sz w:val="28"/>
          <w:szCs w:val="24"/>
          <w:lang w:val="kk-KZ"/>
        </w:rPr>
        <w:t xml:space="preserve"> - 2018.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9</w:t>
      </w:r>
      <w:r w:rsidR="001C0D23">
        <w:rPr>
          <w:rFonts w:ascii="Times New Roman" w:hAnsi="Times New Roman" w:cs="Times New Roman"/>
          <w:noProof/>
          <w:sz w:val="28"/>
          <w:szCs w:val="24"/>
          <w:lang w:val="kk-KZ"/>
        </w:rPr>
        <w:t>. -</w:t>
      </w:r>
      <w:r w:rsidR="001C0D23" w:rsidRPr="00CB7B67">
        <w:rPr>
          <w:rFonts w:ascii="Times New Roman" w:hAnsi="Times New Roman" w:cs="Times New Roman"/>
          <w:noProof/>
          <w:sz w:val="28"/>
          <w:szCs w:val="24"/>
          <w:lang w:val="en-US"/>
        </w:rPr>
        <w:t xml:space="preserve"> 776</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p.</w:t>
      </w:r>
    </w:p>
    <w:p w14:paraId="7DF4491E" w14:textId="77777777" w:rsidR="001C0D23"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109</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Russell</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S.J., Kwok</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Y.S.S., Nguyen</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T.T.-T.N.,</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Librach</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C. Autologous platelet-rich plasma improves the endometrial thickness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live birth rate in patients with recurrent implantation failure </w:t>
      </w:r>
      <w:r w:rsidR="001C0D23">
        <w:rPr>
          <w:rFonts w:ascii="Times New Roman" w:hAnsi="Times New Roman" w:cs="Times New Roman"/>
          <w:noProof/>
          <w:sz w:val="28"/>
          <w:szCs w:val="24"/>
          <w:lang w:val="en-US"/>
        </w:rPr>
        <w:t>and</w:t>
      </w:r>
      <w:r w:rsidR="001C0D23" w:rsidRPr="00CB7B67">
        <w:rPr>
          <w:rFonts w:ascii="Times New Roman" w:hAnsi="Times New Roman" w:cs="Times New Roman"/>
          <w:noProof/>
          <w:sz w:val="28"/>
          <w:szCs w:val="24"/>
          <w:lang w:val="en-US"/>
        </w:rPr>
        <w:t xml:space="preserve"> thin endometrium</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J. Assist. Reprod. Genet.</w:t>
      </w:r>
      <w:r w:rsidR="001C0D23">
        <w:rPr>
          <w:rFonts w:ascii="Times New Roman" w:hAnsi="Times New Roman" w:cs="Times New Roman"/>
          <w:i/>
          <w:iCs/>
          <w:noProof/>
          <w:sz w:val="28"/>
          <w:szCs w:val="24"/>
          <w:lang w:val="en-US"/>
        </w:rPr>
        <w:t xml:space="preserve"> - 2022.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39, </w:t>
      </w:r>
      <w:r w:rsidR="001C0D23">
        <w:rPr>
          <w:rFonts w:ascii="Times New Roman" w:hAnsi="Times New Roman" w:cs="Times New Roman"/>
          <w:noProof/>
          <w:sz w:val="28"/>
          <w:szCs w:val="24"/>
          <w:lang w:val="en-US"/>
        </w:rPr>
        <w:t>№6.</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1305–1312.</w:t>
      </w:r>
    </w:p>
    <w:p w14:paraId="335BA6FB" w14:textId="77777777" w:rsidR="001C0D23" w:rsidRPr="00CB7B67" w:rsidRDefault="000B4E71" w:rsidP="001C0D23">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110</w:t>
      </w:r>
      <w:r w:rsidR="008C6800"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Dogra</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Y., Singh</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N., Vanamail</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P.</w:t>
      </w:r>
      <w:r w:rsidR="001C0D23">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 xml:space="preserve">Autologous platelet-rich plasma optimizes endometrial thickness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pregnancy outcomes in women with refractory thin endometrium of varied aetiology during fresh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frozen-thawed embryo transfer cycles</w:t>
      </w:r>
      <w:r w:rsidR="001C0D23">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JBRA Assist. Reprod.</w:t>
      </w:r>
      <w:r w:rsidR="001C0D23">
        <w:rPr>
          <w:rFonts w:ascii="Times New Roman" w:hAnsi="Times New Roman" w:cs="Times New Roman"/>
          <w:i/>
          <w:iCs/>
          <w:noProof/>
          <w:sz w:val="28"/>
          <w:szCs w:val="24"/>
          <w:lang w:val="kk-KZ"/>
        </w:rPr>
        <w:t xml:space="preserve"> - 2022.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26,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1</w:t>
      </w:r>
      <w:r w:rsidR="001C0D23">
        <w:rPr>
          <w:rFonts w:ascii="Times New Roman" w:hAnsi="Times New Roman" w:cs="Times New Roman"/>
          <w:noProof/>
          <w:sz w:val="28"/>
          <w:szCs w:val="24"/>
          <w:lang w:val="kk-KZ"/>
        </w:rPr>
        <w:t>. -</w:t>
      </w:r>
      <w:r w:rsidR="001C0D23" w:rsidRPr="00CB7B67">
        <w:rPr>
          <w:rFonts w:ascii="Times New Roman" w:hAnsi="Times New Roman" w:cs="Times New Roman"/>
          <w:noProof/>
          <w:sz w:val="28"/>
          <w:szCs w:val="24"/>
          <w:lang w:val="en-US"/>
        </w:rPr>
        <w:t xml:space="preserve"> 13</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p.</w:t>
      </w:r>
    </w:p>
    <w:p w14:paraId="28D203F4" w14:textId="376A5A6D"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111</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 xml:space="preserve">Königshoff  M. </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WNT1-inducible signaling protein-1 mediates pulmonary fibrosis in mice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is upregulated in humans with idiopathic pulmonary fibrosis</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J. Clin. Invest.</w:t>
      </w:r>
      <w:r w:rsidR="001C0D23">
        <w:rPr>
          <w:rFonts w:ascii="Times New Roman" w:hAnsi="Times New Roman" w:cs="Times New Roman"/>
          <w:noProof/>
          <w:sz w:val="28"/>
          <w:szCs w:val="24"/>
          <w:lang w:val="kk-KZ"/>
        </w:rPr>
        <w:t xml:space="preserve"> - 2009.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119,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4</w:t>
      </w:r>
      <w:r w:rsidR="001C0D23">
        <w:rPr>
          <w:rFonts w:ascii="Times New Roman" w:hAnsi="Times New Roman" w:cs="Times New Roman"/>
          <w:noProof/>
          <w:sz w:val="28"/>
          <w:szCs w:val="24"/>
          <w:lang w:val="kk-KZ"/>
        </w:rPr>
        <w:t xml:space="preserve">. </w:t>
      </w:r>
      <w:r w:rsidR="001C0D23">
        <w:rPr>
          <w:rFonts w:ascii="Times New Roman" w:hAnsi="Times New Roman" w:cs="Times New Roman"/>
          <w:noProof/>
          <w:sz w:val="28"/>
          <w:szCs w:val="24"/>
          <w:lang w:val="en-US"/>
        </w:rPr>
        <w:t>-</w:t>
      </w:r>
      <w:r w:rsidR="001C0D23">
        <w:rPr>
          <w:rFonts w:ascii="Times New Roman" w:hAnsi="Times New Roman" w:cs="Times New Roman"/>
          <w:noProof/>
          <w:sz w:val="28"/>
          <w:szCs w:val="24"/>
          <w:lang w:val="kk-KZ"/>
        </w:rPr>
        <w:t xml:space="preserve"> </w:t>
      </w:r>
      <w:r w:rsidR="001C0D23">
        <w:rPr>
          <w:rFonts w:ascii="Times New Roman" w:hAnsi="Times New Roman" w:cs="Times New Roman"/>
          <w:noProof/>
          <w:sz w:val="28"/>
          <w:szCs w:val="24"/>
          <w:lang w:val="en-US"/>
        </w:rPr>
        <w:t>Р.</w:t>
      </w:r>
      <w:r w:rsidR="001C0D23" w:rsidRPr="00CB7B67">
        <w:rPr>
          <w:rFonts w:ascii="Times New Roman" w:hAnsi="Times New Roman" w:cs="Times New Roman"/>
          <w:noProof/>
          <w:sz w:val="28"/>
          <w:szCs w:val="24"/>
          <w:lang w:val="en-US"/>
        </w:rPr>
        <w:t>772–787</w:t>
      </w:r>
      <w:r w:rsidR="001C0D23">
        <w:rPr>
          <w:rFonts w:ascii="Times New Roman" w:hAnsi="Times New Roman" w:cs="Times New Roman"/>
          <w:noProof/>
          <w:sz w:val="28"/>
          <w:szCs w:val="24"/>
          <w:lang w:val="kk-KZ"/>
        </w:rPr>
        <w:t>.</w:t>
      </w:r>
      <w:r w:rsidRPr="006E70CF">
        <w:rPr>
          <w:rFonts w:ascii="Times New Roman" w:hAnsi="Times New Roman" w:cs="Times New Roman"/>
          <w:noProof/>
          <w:sz w:val="28"/>
          <w:szCs w:val="24"/>
          <w:lang w:val="en-US"/>
        </w:rPr>
        <w:t xml:space="preserve"> doi: 10.1172/JCI33950.</w:t>
      </w:r>
    </w:p>
    <w:p w14:paraId="1BEE5E0B" w14:textId="6834FF1F"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112</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Goksuluk</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D., Korkmaz</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S., Zararsiz</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G., Karaagaoglu</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A.E.</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EasyROC: An interactive web-tool for roc curve analysis using r language environment</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R J.</w:t>
      </w:r>
      <w:r w:rsidR="001C0D23" w:rsidRPr="00685C4F">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2016</w:t>
      </w:r>
      <w:r w:rsidR="001C0D23">
        <w:rPr>
          <w:rFonts w:ascii="Times New Roman" w:hAnsi="Times New Roman" w:cs="Times New Roman"/>
          <w:noProof/>
          <w:sz w:val="28"/>
          <w:szCs w:val="24"/>
          <w:lang w:val="kk-KZ"/>
        </w:rPr>
        <w:t>.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8,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2</w:t>
      </w:r>
      <w:r w:rsidR="001C0D23">
        <w:rPr>
          <w:rFonts w:ascii="Times New Roman" w:hAnsi="Times New Roman" w:cs="Times New Roman"/>
          <w:noProof/>
          <w:sz w:val="28"/>
          <w:szCs w:val="24"/>
          <w:lang w:val="kk-KZ"/>
        </w:rPr>
        <w:t xml:space="preserve">. </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213–230</w:t>
      </w:r>
      <w:r w:rsidR="001C0D23">
        <w:rPr>
          <w:rFonts w:ascii="Times New Roman" w:hAnsi="Times New Roman" w:cs="Times New Roman"/>
          <w:noProof/>
          <w:sz w:val="28"/>
          <w:szCs w:val="24"/>
          <w:lang w:val="kk-KZ"/>
        </w:rPr>
        <w:t>.</w:t>
      </w:r>
      <w:r w:rsidRPr="006E70CF">
        <w:rPr>
          <w:rFonts w:ascii="Times New Roman" w:hAnsi="Times New Roman" w:cs="Times New Roman"/>
          <w:noProof/>
          <w:sz w:val="28"/>
          <w:szCs w:val="24"/>
          <w:lang w:val="en-US"/>
        </w:rPr>
        <w:t xml:space="preserve"> doi: 10.32614/rj-2016-042.</w:t>
      </w:r>
    </w:p>
    <w:p w14:paraId="229A7A87" w14:textId="699033DF"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113</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 xml:space="preserve">Muller  M. P. Can routine laboratory tests discriminate between severe acute respiratory syndrome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other causes of community-acquired pneumonia?,” </w:t>
      </w:r>
      <w:r w:rsidR="001C0D23" w:rsidRPr="00CB7B67">
        <w:rPr>
          <w:rFonts w:ascii="Times New Roman" w:hAnsi="Times New Roman" w:cs="Times New Roman"/>
          <w:i/>
          <w:iCs/>
          <w:noProof/>
          <w:sz w:val="28"/>
          <w:szCs w:val="24"/>
          <w:lang w:val="en-US"/>
        </w:rPr>
        <w:t>Clin. Infect. Dis.</w:t>
      </w:r>
      <w:r w:rsidR="001C0D23">
        <w:rPr>
          <w:rFonts w:ascii="Times New Roman" w:hAnsi="Times New Roman" w:cs="Times New Roman"/>
          <w:noProof/>
          <w:sz w:val="28"/>
          <w:szCs w:val="24"/>
          <w:lang w:val="kk-KZ"/>
        </w:rPr>
        <w:t>. - 2005.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40,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8</w:t>
      </w:r>
      <w:r w:rsidR="001C0D23">
        <w:rPr>
          <w:rFonts w:ascii="Times New Roman" w:hAnsi="Times New Roman" w:cs="Times New Roman"/>
          <w:noProof/>
          <w:sz w:val="28"/>
          <w:szCs w:val="24"/>
          <w:lang w:val="kk-KZ"/>
        </w:rPr>
        <w:t xml:space="preserve">. </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1079–1086</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Pr="006E70CF">
        <w:rPr>
          <w:rFonts w:ascii="Times New Roman" w:hAnsi="Times New Roman" w:cs="Times New Roman"/>
          <w:noProof/>
          <w:sz w:val="28"/>
          <w:szCs w:val="24"/>
          <w:lang w:val="en-US"/>
        </w:rPr>
        <w:t>doi: 10.1086/428577.</w:t>
      </w:r>
    </w:p>
    <w:p w14:paraId="1B5B5F2B" w14:textId="557F6B29"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114</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Xu</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B., Zhang</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Q., Hao</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J., Xu</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D., Li</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Y.</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Two protocols to treat thin endometrium with granulocyte colony-stimulating factor during frozen embryo transfer cycles</w:t>
      </w:r>
      <w:r w:rsidR="001C0D23">
        <w:rPr>
          <w:rFonts w:ascii="Times New Roman" w:hAnsi="Times New Roman" w:cs="Times New Roman"/>
          <w:noProof/>
          <w:sz w:val="28"/>
          <w:szCs w:val="24"/>
          <w:lang w:val="kk-KZ"/>
        </w:rPr>
        <w:t xml:space="preserve"> // </w:t>
      </w:r>
      <w:r w:rsidR="001C0D23" w:rsidRPr="00CB7B67">
        <w:rPr>
          <w:rFonts w:ascii="Times New Roman" w:hAnsi="Times New Roman" w:cs="Times New Roman"/>
          <w:i/>
          <w:iCs/>
          <w:noProof/>
          <w:sz w:val="28"/>
          <w:szCs w:val="24"/>
          <w:lang w:val="en-US"/>
        </w:rPr>
        <w:t>Reprod. Biomed. Online</w:t>
      </w:r>
      <w:r w:rsidR="001C0D23">
        <w:rPr>
          <w:rFonts w:ascii="Times New Roman" w:hAnsi="Times New Roman" w:cs="Times New Roman"/>
          <w:noProof/>
          <w:sz w:val="28"/>
          <w:szCs w:val="24"/>
          <w:lang w:val="kk-KZ"/>
        </w:rPr>
        <w:t>. - 2015.-</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30,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4</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349–358</w:t>
      </w:r>
      <w:r w:rsidR="001C0D23">
        <w:rPr>
          <w:rFonts w:ascii="Times New Roman" w:hAnsi="Times New Roman" w:cs="Times New Roman"/>
          <w:noProof/>
          <w:sz w:val="28"/>
          <w:szCs w:val="24"/>
          <w:lang w:val="kk-KZ"/>
        </w:rPr>
        <w:t>.</w:t>
      </w:r>
      <w:r w:rsidRPr="006E70CF">
        <w:rPr>
          <w:rFonts w:ascii="Times New Roman" w:hAnsi="Times New Roman" w:cs="Times New Roman"/>
          <w:noProof/>
          <w:sz w:val="28"/>
          <w:szCs w:val="24"/>
          <w:lang w:val="en-US"/>
        </w:rPr>
        <w:t xml:space="preserve"> doi: 10.1016/j.rbmo.2014.12.006.</w:t>
      </w:r>
    </w:p>
    <w:p w14:paraId="1B5EAB19" w14:textId="23C6C90D"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115</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Zheng  X. Effect of repeated cryopreservation on human embryo developmental potential</w:t>
      </w:r>
      <w:r w:rsidR="001C0D23">
        <w:rPr>
          <w:rFonts w:ascii="Times New Roman" w:hAnsi="Times New Roman" w:cs="Times New Roman"/>
          <w:noProof/>
          <w:sz w:val="28"/>
          <w:szCs w:val="24"/>
          <w:lang w:val="kk-KZ"/>
        </w:rPr>
        <w:t xml:space="preserve"> // </w:t>
      </w:r>
      <w:r w:rsidR="001C0D23" w:rsidRPr="00CB7B67">
        <w:rPr>
          <w:rFonts w:ascii="Times New Roman" w:hAnsi="Times New Roman" w:cs="Times New Roman"/>
          <w:i/>
          <w:iCs/>
          <w:noProof/>
          <w:sz w:val="28"/>
          <w:szCs w:val="24"/>
          <w:lang w:val="en-US"/>
        </w:rPr>
        <w:t>Reprod. Biomed. Online</w:t>
      </w:r>
      <w:r w:rsidR="001C0D23">
        <w:rPr>
          <w:rFonts w:ascii="Times New Roman" w:hAnsi="Times New Roman" w:cs="Times New Roman"/>
          <w:noProof/>
          <w:sz w:val="28"/>
          <w:szCs w:val="24"/>
          <w:lang w:val="kk-KZ"/>
        </w:rPr>
        <w:t>. - 2017.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35,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6</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627–632</w:t>
      </w:r>
      <w:r w:rsidR="001C0D23">
        <w:rPr>
          <w:rFonts w:ascii="Times New Roman" w:hAnsi="Times New Roman" w:cs="Times New Roman"/>
          <w:noProof/>
          <w:sz w:val="28"/>
          <w:szCs w:val="24"/>
          <w:lang w:val="kk-KZ"/>
        </w:rPr>
        <w:t>.</w:t>
      </w:r>
      <w:r w:rsidR="001C0D23" w:rsidRPr="00CB7B67">
        <w:rPr>
          <w:rFonts w:ascii="Times New Roman" w:hAnsi="Times New Roman" w:cs="Times New Roman"/>
          <w:noProof/>
          <w:sz w:val="28"/>
          <w:szCs w:val="24"/>
          <w:lang w:val="en-US"/>
        </w:rPr>
        <w:t xml:space="preserve"> </w:t>
      </w:r>
      <w:r w:rsidRPr="006E70CF">
        <w:rPr>
          <w:rFonts w:ascii="Times New Roman" w:hAnsi="Times New Roman" w:cs="Times New Roman"/>
          <w:noProof/>
          <w:sz w:val="28"/>
          <w:szCs w:val="24"/>
          <w:lang w:val="en-US"/>
        </w:rPr>
        <w:t>doi: 10.1016/j.rbmo.2017.08.016.</w:t>
      </w:r>
    </w:p>
    <w:p w14:paraId="19D69395" w14:textId="63A0AB1A"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116</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Ke</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H., Jiang</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J., Xia</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M., Tang</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R., Qin</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Y., Chen</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Z. J.</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The Effect of Tamoxifen on Thin Endometrium in Patients Undergoing Frozen–Thawed Embryo Transfer</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Reprod. Sci.</w:t>
      </w:r>
      <w:r w:rsidR="001C0D23">
        <w:rPr>
          <w:rFonts w:ascii="Times New Roman" w:hAnsi="Times New Roman" w:cs="Times New Roman"/>
          <w:noProof/>
          <w:sz w:val="28"/>
          <w:szCs w:val="24"/>
          <w:lang w:val="kk-KZ"/>
        </w:rPr>
        <w:t xml:space="preserve"> - 2018. -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25,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6</w:t>
      </w:r>
      <w:r w:rsidR="001C0D23">
        <w:rPr>
          <w:rFonts w:ascii="Times New Roman" w:hAnsi="Times New Roman" w:cs="Times New Roman"/>
          <w:noProof/>
          <w:sz w:val="28"/>
          <w:szCs w:val="24"/>
          <w:lang w:val="kk-KZ"/>
        </w:rPr>
        <w:t xml:space="preserve">. </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861–866</w:t>
      </w:r>
      <w:r w:rsidR="001C0D23">
        <w:rPr>
          <w:rFonts w:ascii="Times New Roman" w:hAnsi="Times New Roman" w:cs="Times New Roman"/>
          <w:noProof/>
          <w:sz w:val="28"/>
          <w:szCs w:val="24"/>
          <w:lang w:val="kk-KZ"/>
        </w:rPr>
        <w:t>.</w:t>
      </w:r>
      <w:r w:rsidRPr="006E70CF">
        <w:rPr>
          <w:rFonts w:ascii="Times New Roman" w:hAnsi="Times New Roman" w:cs="Times New Roman"/>
          <w:noProof/>
          <w:sz w:val="28"/>
          <w:szCs w:val="24"/>
          <w:lang w:val="en-US"/>
        </w:rPr>
        <w:t xml:space="preserve"> doi: 10.1177/1933719117698580.</w:t>
      </w:r>
    </w:p>
    <w:p w14:paraId="6477ACA3" w14:textId="77777777" w:rsidR="001C0D23" w:rsidRPr="00BD4269" w:rsidRDefault="008C6800" w:rsidP="001C0D23">
      <w:pPr>
        <w:widowControl w:val="0"/>
        <w:autoSpaceDE w:val="0"/>
        <w:autoSpaceDN w:val="0"/>
        <w:adjustRightInd w:val="0"/>
        <w:spacing w:after="0" w:line="240" w:lineRule="auto"/>
        <w:ind w:firstLine="709"/>
        <w:jc w:val="both"/>
        <w:rPr>
          <w:rFonts w:ascii="Times New Roman" w:hAnsi="Times New Roman" w:cs="Times New Roman"/>
          <w:noProof/>
          <w:sz w:val="28"/>
          <w:szCs w:val="24"/>
          <w:lang w:val="kk-KZ"/>
        </w:rPr>
      </w:pPr>
      <w:r w:rsidRPr="006E70CF">
        <w:rPr>
          <w:rFonts w:ascii="Times New Roman" w:hAnsi="Times New Roman" w:cs="Times New Roman"/>
          <w:noProof/>
          <w:sz w:val="28"/>
          <w:szCs w:val="24"/>
          <w:lang w:val="en-US"/>
        </w:rPr>
        <w:t>117</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Bu</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Z., Hu</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L., Yang</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X., Sun</w:t>
      </w:r>
      <w:r w:rsidR="001C0D23" w:rsidRPr="00685C4F">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Y.</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Cumulative live birth rate in patients with thin endometrium: a real-world single-center experience</w:t>
      </w:r>
      <w:r w:rsidR="001C0D23">
        <w:rPr>
          <w:rFonts w:ascii="Times New Roman" w:hAnsi="Times New Roman" w:cs="Times New Roman"/>
          <w:noProof/>
          <w:sz w:val="28"/>
          <w:szCs w:val="24"/>
          <w:lang w:val="kk-KZ"/>
        </w:rPr>
        <w:t xml:space="preserve"> // </w:t>
      </w:r>
      <w:r w:rsidR="001C0D23" w:rsidRPr="00CB7B67">
        <w:rPr>
          <w:rFonts w:ascii="Times New Roman" w:hAnsi="Times New Roman" w:cs="Times New Roman"/>
          <w:i/>
          <w:iCs/>
          <w:noProof/>
          <w:sz w:val="28"/>
          <w:szCs w:val="24"/>
          <w:lang w:val="en-US"/>
        </w:rPr>
        <w:t>Front. Endocrinol. (Lausanne).</w:t>
      </w:r>
      <w:r w:rsidR="001C0D23">
        <w:rPr>
          <w:rFonts w:ascii="Times New Roman" w:hAnsi="Times New Roman" w:cs="Times New Roman"/>
          <w:i/>
          <w:iCs/>
          <w:noProof/>
          <w:sz w:val="28"/>
          <w:szCs w:val="24"/>
          <w:lang w:val="kk-KZ"/>
        </w:rPr>
        <w:t>- 2020.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11</w:t>
      </w:r>
      <w:r w:rsidR="001C0D23">
        <w:rPr>
          <w:rFonts w:ascii="Times New Roman" w:hAnsi="Times New Roman" w:cs="Times New Roman"/>
          <w:noProof/>
          <w:sz w:val="28"/>
          <w:szCs w:val="24"/>
          <w:lang w:val="kk-KZ"/>
        </w:rPr>
        <w:t xml:space="preserve">. - </w:t>
      </w:r>
      <w:r w:rsidR="001C0D23" w:rsidRPr="00CB7B67">
        <w:rPr>
          <w:rFonts w:ascii="Times New Roman" w:hAnsi="Times New Roman" w:cs="Times New Roman"/>
          <w:noProof/>
          <w:sz w:val="28"/>
          <w:szCs w:val="24"/>
          <w:lang w:val="en-US"/>
        </w:rPr>
        <w:t xml:space="preserve"> 469</w:t>
      </w:r>
      <w:r w:rsidR="001C0D23" w:rsidRPr="00BD4269">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p.</w:t>
      </w:r>
    </w:p>
    <w:p w14:paraId="481CC415" w14:textId="77777777" w:rsidR="001C0D23"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118</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Guo</w:t>
      </w:r>
      <w:r w:rsidR="001C0D23" w:rsidRPr="00BD4269">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Z., Chu</w:t>
      </w:r>
      <w:r w:rsidR="001C0D23" w:rsidRPr="00BD4269">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R., Zhang</w:t>
      </w:r>
      <w:r w:rsidR="001C0D23" w:rsidRPr="00BD4269">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L., Yu</w:t>
      </w:r>
      <w:r w:rsidR="001C0D23" w:rsidRPr="00BD4269">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Q., Yan</w:t>
      </w:r>
      <w:r w:rsidR="001C0D23" w:rsidRPr="00BD4269">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L., Ma</w:t>
      </w:r>
      <w:r w:rsidR="001C0D23" w:rsidRPr="00BD4269">
        <w:rPr>
          <w:rFonts w:ascii="Times New Roman" w:hAnsi="Times New Roman" w:cs="Times New Roman"/>
          <w:noProof/>
          <w:sz w:val="28"/>
          <w:szCs w:val="24"/>
          <w:lang w:val="en-US"/>
        </w:rPr>
        <w:t xml:space="preserve"> </w:t>
      </w:r>
      <w:r w:rsidR="001C0D23" w:rsidRPr="00CB7B67">
        <w:rPr>
          <w:rFonts w:ascii="Times New Roman" w:hAnsi="Times New Roman" w:cs="Times New Roman"/>
          <w:noProof/>
          <w:sz w:val="28"/>
          <w:szCs w:val="24"/>
          <w:lang w:val="en-US"/>
        </w:rPr>
        <w:t>J. Fresh versus frozen embryo transfer in women with thin endometrium: a retrospective cohort study</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Ann. Transl. Med.</w:t>
      </w:r>
      <w:r w:rsidR="001C0D23">
        <w:rPr>
          <w:rFonts w:ascii="Times New Roman" w:hAnsi="Times New Roman" w:cs="Times New Roman"/>
          <w:noProof/>
          <w:sz w:val="28"/>
          <w:szCs w:val="24"/>
          <w:lang w:val="kk-KZ"/>
        </w:rPr>
        <w:t xml:space="preserve"> - 2020.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8,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21.</w:t>
      </w:r>
    </w:p>
    <w:p w14:paraId="7E8C9EC4" w14:textId="77777777" w:rsidR="001C0D23" w:rsidRPr="00CB7B67" w:rsidRDefault="008C6800" w:rsidP="001C0D23">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119</w:t>
      </w:r>
      <w:r w:rsidRPr="006E70CF">
        <w:rPr>
          <w:rFonts w:ascii="Times New Roman" w:hAnsi="Times New Roman" w:cs="Times New Roman"/>
          <w:noProof/>
          <w:sz w:val="28"/>
          <w:szCs w:val="24"/>
          <w:lang w:val="en-US"/>
        </w:rPr>
        <w:tab/>
      </w:r>
      <w:r w:rsidR="001C0D23" w:rsidRPr="00CB7B67">
        <w:rPr>
          <w:rFonts w:ascii="Times New Roman" w:hAnsi="Times New Roman" w:cs="Times New Roman"/>
          <w:noProof/>
          <w:sz w:val="28"/>
          <w:szCs w:val="24"/>
          <w:lang w:val="en-US"/>
        </w:rPr>
        <w:t xml:space="preserve">Mao  X. Therapeutic role of granulocyte macrophage colony‐stimulating factor (GM‐CSF) in patients with persistent thin endometrium: A prospective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 xml:space="preserve"> r</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omized study</w:t>
      </w:r>
      <w:r w:rsidR="001C0D23">
        <w:rPr>
          <w:rFonts w:ascii="Times New Roman" w:hAnsi="Times New Roman" w:cs="Times New Roman"/>
          <w:noProof/>
          <w:sz w:val="28"/>
          <w:szCs w:val="24"/>
          <w:lang w:val="kk-KZ"/>
        </w:rPr>
        <w:t xml:space="preserve"> //</w:t>
      </w:r>
      <w:r w:rsidR="001C0D23" w:rsidRPr="00CB7B67">
        <w:rPr>
          <w:rFonts w:ascii="Times New Roman" w:hAnsi="Times New Roman" w:cs="Times New Roman"/>
          <w:noProof/>
          <w:sz w:val="28"/>
          <w:szCs w:val="24"/>
          <w:lang w:val="en-US"/>
        </w:rPr>
        <w:t xml:space="preserve"> </w:t>
      </w:r>
      <w:r w:rsidR="001C0D23" w:rsidRPr="00CB7B67">
        <w:rPr>
          <w:rFonts w:ascii="Times New Roman" w:hAnsi="Times New Roman" w:cs="Times New Roman"/>
          <w:i/>
          <w:iCs/>
          <w:noProof/>
          <w:sz w:val="28"/>
          <w:szCs w:val="24"/>
          <w:lang w:val="en-US"/>
        </w:rPr>
        <w:t>Int. J. Gynecol. Obstet.</w:t>
      </w:r>
      <w:r w:rsidR="001C0D23">
        <w:rPr>
          <w:rFonts w:ascii="Times New Roman" w:hAnsi="Times New Roman" w:cs="Times New Roman"/>
          <w:noProof/>
          <w:sz w:val="28"/>
          <w:szCs w:val="24"/>
          <w:lang w:val="kk-KZ"/>
        </w:rPr>
        <w:t xml:space="preserve"> - 2020. -</w:t>
      </w:r>
      <w:r w:rsidR="001C0D23" w:rsidRPr="00CB7B67">
        <w:rPr>
          <w:rFonts w:ascii="Times New Roman" w:hAnsi="Times New Roman" w:cs="Times New Roman"/>
          <w:noProof/>
          <w:sz w:val="28"/>
          <w:szCs w:val="24"/>
          <w:lang w:val="en-US"/>
        </w:rPr>
        <w:t xml:space="preserve"> </w:t>
      </w:r>
      <w:r w:rsidR="001C0D23">
        <w:rPr>
          <w:rFonts w:ascii="Times New Roman" w:hAnsi="Times New Roman" w:cs="Times New Roman"/>
          <w:noProof/>
          <w:sz w:val="28"/>
          <w:szCs w:val="24"/>
          <w:lang w:val="en-US"/>
        </w:rPr>
        <w:t>Vol.</w:t>
      </w:r>
      <w:r w:rsidR="001C0D23" w:rsidRPr="00CB7B67">
        <w:rPr>
          <w:rFonts w:ascii="Times New Roman" w:hAnsi="Times New Roman" w:cs="Times New Roman"/>
          <w:noProof/>
          <w:sz w:val="28"/>
          <w:szCs w:val="24"/>
          <w:lang w:val="en-US"/>
        </w:rPr>
        <w:t xml:space="preserve"> 150, </w:t>
      </w:r>
      <w:r w:rsidR="001C0D23">
        <w:rPr>
          <w:rFonts w:ascii="Times New Roman" w:hAnsi="Times New Roman" w:cs="Times New Roman"/>
          <w:noProof/>
          <w:sz w:val="28"/>
          <w:szCs w:val="24"/>
          <w:lang w:val="en-US"/>
        </w:rPr>
        <w:t>№</w:t>
      </w:r>
      <w:r w:rsidR="001C0D23" w:rsidRPr="00CB7B67">
        <w:rPr>
          <w:rFonts w:ascii="Times New Roman" w:hAnsi="Times New Roman" w:cs="Times New Roman"/>
          <w:noProof/>
          <w:sz w:val="28"/>
          <w:szCs w:val="24"/>
          <w:lang w:val="en-US"/>
        </w:rPr>
        <w:t>2</w:t>
      </w:r>
      <w:r w:rsidR="001C0D23">
        <w:rPr>
          <w:rFonts w:ascii="Times New Roman" w:hAnsi="Times New Roman" w:cs="Times New Roman"/>
          <w:noProof/>
          <w:sz w:val="28"/>
          <w:szCs w:val="24"/>
          <w:lang w:val="kk-KZ"/>
        </w:rPr>
        <w:t>.</w:t>
      </w:r>
      <w:r w:rsidR="001C0D23">
        <w:rPr>
          <w:rFonts w:ascii="Times New Roman" w:hAnsi="Times New Roman" w:cs="Times New Roman"/>
          <w:noProof/>
          <w:sz w:val="28"/>
          <w:szCs w:val="24"/>
          <w:lang w:val="en-US"/>
        </w:rPr>
        <w:t>- Р.</w:t>
      </w:r>
      <w:r w:rsidR="001C0D23" w:rsidRPr="00CB7B67">
        <w:rPr>
          <w:rFonts w:ascii="Times New Roman" w:hAnsi="Times New Roman" w:cs="Times New Roman"/>
          <w:noProof/>
          <w:sz w:val="28"/>
          <w:szCs w:val="24"/>
          <w:lang w:val="en-US"/>
        </w:rPr>
        <w:t>194–199.</w:t>
      </w:r>
    </w:p>
    <w:p w14:paraId="21686469" w14:textId="7AD03D92"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120</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Simeonov  M. The entire range of trigger-day endometrial thickness in fresh IVF cycles is independently correlated with live birth rate</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Reprod. Biomed. Online</w:t>
      </w:r>
      <w:r w:rsidR="00A91382">
        <w:rPr>
          <w:rFonts w:ascii="Times New Roman" w:hAnsi="Times New Roman" w:cs="Times New Roman"/>
          <w:noProof/>
          <w:sz w:val="28"/>
          <w:szCs w:val="24"/>
          <w:lang w:val="kk-KZ"/>
        </w:rPr>
        <w:t>. - 2020. -</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41,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2</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239–247</w:t>
      </w:r>
      <w:r w:rsidR="00A91382">
        <w:rPr>
          <w:rFonts w:ascii="Times New Roman" w:hAnsi="Times New Roman" w:cs="Times New Roman"/>
          <w:noProof/>
          <w:sz w:val="28"/>
          <w:szCs w:val="24"/>
          <w:lang w:val="kk-KZ"/>
        </w:rPr>
        <w:t>.</w:t>
      </w:r>
      <w:r w:rsidR="00A91382" w:rsidRPr="00CB7B67">
        <w:rPr>
          <w:rFonts w:ascii="Times New Roman" w:hAnsi="Times New Roman" w:cs="Times New Roman"/>
          <w:noProof/>
          <w:sz w:val="28"/>
          <w:szCs w:val="24"/>
          <w:lang w:val="en-US"/>
        </w:rPr>
        <w:t xml:space="preserve"> </w:t>
      </w:r>
      <w:r w:rsidRPr="006E70CF">
        <w:rPr>
          <w:rFonts w:ascii="Times New Roman" w:hAnsi="Times New Roman" w:cs="Times New Roman"/>
          <w:noProof/>
          <w:sz w:val="28"/>
          <w:szCs w:val="24"/>
          <w:lang w:val="en-US"/>
        </w:rPr>
        <w:t>doi: 10.1016/j.rbmo.2020.04.008.</w:t>
      </w:r>
    </w:p>
    <w:p w14:paraId="3CE0C904" w14:textId="63A52DA5"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121</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Song</w:t>
      </w:r>
      <w:r w:rsidR="00A91382" w:rsidRPr="00BD4269">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J., Duan</w:t>
      </w:r>
      <w:r w:rsidR="00A91382" w:rsidRPr="00BD4269">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C., Cai</w:t>
      </w:r>
      <w:r w:rsidR="00A91382" w:rsidRPr="00BD4269">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W., Wu</w:t>
      </w:r>
      <w:r w:rsidR="00A91382" w:rsidRPr="00BD4269">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W., Lv H., Xu</w:t>
      </w:r>
      <w:r w:rsidR="00A91382" w:rsidRPr="00BD4269">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J.</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Comparison of gnrh-a prolonged protocol </w:t>
      </w:r>
      <w:r w:rsidR="00A91382">
        <w:rPr>
          <w:rFonts w:ascii="Times New Roman" w:hAnsi="Times New Roman" w:cs="Times New Roman"/>
          <w:noProof/>
          <w:sz w:val="28"/>
          <w:szCs w:val="24"/>
          <w:lang w:val="en-US"/>
        </w:rPr>
        <w:t>and</w:t>
      </w:r>
      <w:r w:rsidR="00A91382" w:rsidRPr="00CB7B67">
        <w:rPr>
          <w:rFonts w:ascii="Times New Roman" w:hAnsi="Times New Roman" w:cs="Times New Roman"/>
          <w:noProof/>
          <w:sz w:val="28"/>
          <w:szCs w:val="24"/>
          <w:lang w:val="en-US"/>
        </w:rPr>
        <w:t xml:space="preserve"> short gnrh-a long protocol in patients with thin endometrium for assisted reproduction: A retrospective cohort study</w:t>
      </w:r>
      <w:r w:rsidR="00A91382">
        <w:rPr>
          <w:rFonts w:ascii="Times New Roman" w:hAnsi="Times New Roman" w:cs="Times New Roman"/>
          <w:noProof/>
          <w:sz w:val="28"/>
          <w:szCs w:val="24"/>
          <w:lang w:val="kk-KZ"/>
        </w:rPr>
        <w:t xml:space="preserve"> // </w:t>
      </w:r>
      <w:r w:rsidR="00A91382" w:rsidRPr="00CB7B67">
        <w:rPr>
          <w:rFonts w:ascii="Times New Roman" w:hAnsi="Times New Roman" w:cs="Times New Roman"/>
          <w:i/>
          <w:iCs/>
          <w:noProof/>
          <w:sz w:val="28"/>
          <w:szCs w:val="24"/>
          <w:lang w:val="en-US"/>
        </w:rPr>
        <w:t>Drug Des. Devel. Ther.</w:t>
      </w:r>
      <w:r w:rsidR="00A91382">
        <w:rPr>
          <w:rFonts w:ascii="Times New Roman" w:hAnsi="Times New Roman" w:cs="Times New Roman"/>
          <w:noProof/>
          <w:sz w:val="28"/>
          <w:szCs w:val="24"/>
          <w:lang w:val="en-US"/>
        </w:rPr>
        <w:t xml:space="preserve"> 2020. -</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14</w:t>
      </w:r>
      <w:r w:rsidR="00A91382">
        <w:rPr>
          <w:rFonts w:ascii="Times New Roman" w:hAnsi="Times New Roman" w:cs="Times New Roman"/>
          <w:noProof/>
          <w:sz w:val="28"/>
          <w:szCs w:val="24"/>
          <w:lang w:val="en-US"/>
        </w:rPr>
        <w:t>. - Р.</w:t>
      </w:r>
      <w:r w:rsidR="00A91382" w:rsidRPr="00CB7B67">
        <w:rPr>
          <w:rFonts w:ascii="Times New Roman" w:hAnsi="Times New Roman" w:cs="Times New Roman"/>
          <w:noProof/>
          <w:sz w:val="28"/>
          <w:szCs w:val="24"/>
          <w:lang w:val="en-US"/>
        </w:rPr>
        <w:t>3673–3682</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w:t>
      </w:r>
      <w:r w:rsidRPr="006E70CF">
        <w:rPr>
          <w:rFonts w:ascii="Times New Roman" w:hAnsi="Times New Roman" w:cs="Times New Roman"/>
          <w:noProof/>
          <w:sz w:val="28"/>
          <w:szCs w:val="24"/>
          <w:lang w:val="en-US"/>
        </w:rPr>
        <w:t>doi: 10.2147/DDDT.S270519.</w:t>
      </w:r>
    </w:p>
    <w:p w14:paraId="168C7320" w14:textId="2BDF74F0"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122</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Tersoglio  A. E. Regenerative therapy by endometrial mesenchymal stem cells in thin endometrium with repeated implantation failure. A novel strategy</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JBRA Assist. Reprod.</w:t>
      </w:r>
      <w:r w:rsidR="00A91382">
        <w:rPr>
          <w:rFonts w:ascii="Times New Roman" w:hAnsi="Times New Roman" w:cs="Times New Roman"/>
          <w:noProof/>
          <w:sz w:val="28"/>
          <w:szCs w:val="24"/>
          <w:lang w:val="kk-KZ"/>
        </w:rPr>
        <w:t xml:space="preserve"> - 2020.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24,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2</w:t>
      </w:r>
      <w:r w:rsidR="00A91382">
        <w:rPr>
          <w:rFonts w:ascii="Times New Roman" w:hAnsi="Times New Roman" w:cs="Times New Roman"/>
          <w:noProof/>
          <w:sz w:val="28"/>
          <w:szCs w:val="24"/>
          <w:lang w:val="kk-KZ"/>
        </w:rPr>
        <w:t>. -</w:t>
      </w:r>
      <w:r w:rsidR="00A91382" w:rsidRPr="00CB7B67">
        <w:rPr>
          <w:rFonts w:ascii="Times New Roman" w:hAnsi="Times New Roman" w:cs="Times New Roman"/>
          <w:noProof/>
          <w:sz w:val="28"/>
          <w:szCs w:val="24"/>
          <w:lang w:val="en-US"/>
        </w:rPr>
        <w:t xml:space="preserve"> 118</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p.</w:t>
      </w:r>
    </w:p>
    <w:p w14:paraId="25294FD8" w14:textId="2C56590B"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123</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Russell</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S.J., Kwok</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Y.S.S., Nguyen</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T.T.T</w:t>
      </w:r>
      <w:r w:rsidR="00A91382">
        <w:rPr>
          <w:rFonts w:ascii="Times New Roman" w:hAnsi="Times New Roman" w:cs="Times New Roman"/>
          <w:noProof/>
          <w:sz w:val="28"/>
          <w:szCs w:val="24"/>
          <w:lang w:val="kk-KZ"/>
        </w:rPr>
        <w:t>.</w:t>
      </w:r>
      <w:r w:rsidR="00A91382" w:rsidRPr="00CB7B67">
        <w:rPr>
          <w:rFonts w:ascii="Times New Roman" w:hAnsi="Times New Roman" w:cs="Times New Roman"/>
          <w:noProof/>
          <w:sz w:val="28"/>
          <w:szCs w:val="24"/>
          <w:lang w:val="en-US"/>
        </w:rPr>
        <w:t>N., Librach</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C.</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Autologous platelet-rich plasma improves the endometrial thickness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live birth rate in patients with recurrent implantation failure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thin endometrium</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J. Assist. Reprod. Genet.</w:t>
      </w:r>
      <w:r w:rsidR="00A91382">
        <w:rPr>
          <w:rFonts w:ascii="Times New Roman" w:hAnsi="Times New Roman" w:cs="Times New Roman"/>
          <w:noProof/>
          <w:sz w:val="28"/>
          <w:szCs w:val="24"/>
          <w:lang w:val="kk-KZ"/>
        </w:rPr>
        <w:t xml:space="preserve"> - 2022. -</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39,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6</w:t>
      </w:r>
      <w:r w:rsidR="00A91382">
        <w:rPr>
          <w:rFonts w:ascii="Times New Roman" w:hAnsi="Times New Roman" w:cs="Times New Roman"/>
          <w:noProof/>
          <w:sz w:val="28"/>
          <w:szCs w:val="24"/>
          <w:lang w:val="kk-KZ"/>
        </w:rPr>
        <w:t>.</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1305–1312</w:t>
      </w:r>
      <w:r w:rsidR="00A91382">
        <w:rPr>
          <w:rFonts w:ascii="Times New Roman" w:hAnsi="Times New Roman" w:cs="Times New Roman"/>
          <w:noProof/>
          <w:sz w:val="28"/>
          <w:szCs w:val="24"/>
          <w:lang w:val="kk-KZ"/>
        </w:rPr>
        <w:t>.</w:t>
      </w:r>
      <w:r w:rsidR="00A91382" w:rsidRPr="00CB7B67">
        <w:rPr>
          <w:rFonts w:ascii="Times New Roman" w:hAnsi="Times New Roman" w:cs="Times New Roman"/>
          <w:noProof/>
          <w:sz w:val="28"/>
          <w:szCs w:val="24"/>
          <w:lang w:val="en-US"/>
        </w:rPr>
        <w:t xml:space="preserve"> </w:t>
      </w:r>
      <w:r w:rsidRPr="006E70CF">
        <w:rPr>
          <w:rFonts w:ascii="Times New Roman" w:hAnsi="Times New Roman" w:cs="Times New Roman"/>
          <w:noProof/>
          <w:sz w:val="28"/>
          <w:szCs w:val="24"/>
          <w:lang w:val="en-US"/>
        </w:rPr>
        <w:t xml:space="preserve"> doi: 10.1007/s10815-022-02505-0.</w:t>
      </w:r>
    </w:p>
    <w:p w14:paraId="6A0640A3" w14:textId="77777777" w:rsidR="00A91382" w:rsidRPr="00CB7B67" w:rsidRDefault="008C6800" w:rsidP="00A9138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124</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Song</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J., Sun</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X., Qian</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K. Endometrial but not ovarian response is associated with clinical outcomes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can be improved by prolonged pituitary downregulation in patients with thin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medium endometrium</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Reprod. Sci.</w:t>
      </w:r>
      <w:r w:rsidR="00A91382">
        <w:rPr>
          <w:rFonts w:ascii="Times New Roman" w:hAnsi="Times New Roman" w:cs="Times New Roman"/>
          <w:noProof/>
          <w:sz w:val="28"/>
          <w:szCs w:val="24"/>
          <w:lang w:val="kk-KZ"/>
        </w:rPr>
        <w:t xml:space="preserve"> - </w:t>
      </w:r>
      <w:r w:rsidR="00A91382" w:rsidRPr="00CB7B67">
        <w:rPr>
          <w:rFonts w:ascii="Times New Roman" w:hAnsi="Times New Roman" w:cs="Times New Roman"/>
          <w:noProof/>
          <w:sz w:val="28"/>
          <w:szCs w:val="24"/>
          <w:lang w:val="en-US"/>
        </w:rPr>
        <w:t>2019.</w:t>
      </w:r>
      <w:r w:rsidR="00A91382">
        <w:rPr>
          <w:rFonts w:ascii="Times New Roman" w:hAnsi="Times New Roman" w:cs="Times New Roman"/>
          <w:noProof/>
          <w:sz w:val="28"/>
          <w:szCs w:val="24"/>
          <w:lang w:val="kk-KZ"/>
        </w:rPr>
        <w:t xml:space="preserve">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26</w:t>
      </w:r>
      <w:r w:rsidR="00A91382">
        <w:rPr>
          <w:rFonts w:ascii="Times New Roman" w:hAnsi="Times New Roman" w:cs="Times New Roman"/>
          <w:noProof/>
          <w:sz w:val="28"/>
          <w:szCs w:val="24"/>
          <w:lang w:val="kk-KZ"/>
        </w:rPr>
        <w:t xml:space="preserve">. </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1409–1416</w:t>
      </w:r>
      <w:r w:rsidR="00A91382">
        <w:rPr>
          <w:rFonts w:ascii="Times New Roman" w:hAnsi="Times New Roman" w:cs="Times New Roman"/>
          <w:noProof/>
          <w:sz w:val="28"/>
          <w:szCs w:val="24"/>
          <w:lang w:val="kk-KZ"/>
        </w:rPr>
        <w:t>.</w:t>
      </w:r>
      <w:r w:rsidR="00A91382" w:rsidRPr="00CB7B67">
        <w:rPr>
          <w:rFonts w:ascii="Times New Roman" w:hAnsi="Times New Roman" w:cs="Times New Roman"/>
          <w:noProof/>
          <w:sz w:val="28"/>
          <w:szCs w:val="24"/>
          <w:lang w:val="en-US"/>
        </w:rPr>
        <w:t xml:space="preserve"> </w:t>
      </w:r>
    </w:p>
    <w:p w14:paraId="4B258F13" w14:textId="38B1DDAB"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125</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Ambati</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A., Zuo</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Y., Knight</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J.S.</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An update on inflammation in antiphospholipid syndrome</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Curr. Opin. Rheumatol.</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kk-KZ"/>
        </w:rPr>
        <w:t xml:space="preserve">- 2023. -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35,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2</w:t>
      </w:r>
      <w:r w:rsidR="00A91382">
        <w:rPr>
          <w:rFonts w:ascii="Times New Roman" w:hAnsi="Times New Roman" w:cs="Times New Roman"/>
          <w:noProof/>
          <w:sz w:val="28"/>
          <w:szCs w:val="24"/>
          <w:lang w:val="kk-KZ"/>
        </w:rPr>
        <w:t>.</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89–97</w:t>
      </w:r>
      <w:r w:rsidR="00A91382">
        <w:rPr>
          <w:rFonts w:ascii="Times New Roman" w:hAnsi="Times New Roman" w:cs="Times New Roman"/>
          <w:noProof/>
          <w:sz w:val="28"/>
          <w:szCs w:val="24"/>
          <w:lang w:val="kk-KZ"/>
        </w:rPr>
        <w:t xml:space="preserve">. </w:t>
      </w:r>
      <w:r w:rsidRPr="006E70CF">
        <w:rPr>
          <w:rFonts w:ascii="Times New Roman" w:hAnsi="Times New Roman" w:cs="Times New Roman"/>
          <w:noProof/>
          <w:sz w:val="28"/>
          <w:szCs w:val="24"/>
          <w:lang w:val="en-US"/>
        </w:rPr>
        <w:t>doi: 10.1097/BOR.0000000000000926.</w:t>
      </w:r>
    </w:p>
    <w:p w14:paraId="7AEEA477" w14:textId="09F4FB66"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126</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 xml:space="preserve">Poppe  K. Thyroid disorders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in vitro outcomes of assisted reproductive technology: An unfortunate combination?</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Thyroid</w:t>
      </w:r>
      <w:r w:rsidR="00A91382">
        <w:rPr>
          <w:rFonts w:ascii="Times New Roman" w:hAnsi="Times New Roman" w:cs="Times New Roman"/>
          <w:noProof/>
          <w:sz w:val="28"/>
          <w:szCs w:val="24"/>
          <w:lang w:val="kk-KZ"/>
        </w:rPr>
        <w:t>. - 2020. -</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30,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8</w:t>
      </w:r>
      <w:r w:rsidR="00A91382">
        <w:rPr>
          <w:rFonts w:ascii="Times New Roman" w:hAnsi="Times New Roman" w:cs="Times New Roman"/>
          <w:noProof/>
          <w:sz w:val="28"/>
          <w:szCs w:val="24"/>
          <w:lang w:val="kk-KZ"/>
        </w:rPr>
        <w:t xml:space="preserve">. </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1177–1185</w:t>
      </w:r>
      <w:r w:rsidR="00A91382">
        <w:rPr>
          <w:rFonts w:ascii="Times New Roman" w:hAnsi="Times New Roman" w:cs="Times New Roman"/>
          <w:noProof/>
          <w:sz w:val="28"/>
          <w:szCs w:val="24"/>
          <w:lang w:val="kk-KZ"/>
        </w:rPr>
        <w:t xml:space="preserve">. </w:t>
      </w:r>
      <w:r w:rsidRPr="006E70CF">
        <w:rPr>
          <w:rFonts w:ascii="Times New Roman" w:hAnsi="Times New Roman" w:cs="Times New Roman"/>
          <w:noProof/>
          <w:sz w:val="28"/>
          <w:szCs w:val="24"/>
          <w:lang w:val="en-US"/>
        </w:rPr>
        <w:t>doi: 10.1089/thy.2019.0567.</w:t>
      </w:r>
    </w:p>
    <w:p w14:paraId="30285DE5" w14:textId="66598C84"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127</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Gullo</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G., Perino</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A., Cucinella</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G.</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Open vs. closed vitrification system: Which one is safer?</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Eur. Rev. Med. Pharmacol. Sci.</w:t>
      </w:r>
      <w:r w:rsidR="00A91382">
        <w:rPr>
          <w:rFonts w:ascii="Times New Roman" w:hAnsi="Times New Roman" w:cs="Times New Roman"/>
          <w:noProof/>
          <w:sz w:val="28"/>
          <w:szCs w:val="24"/>
          <w:lang w:val="kk-KZ"/>
        </w:rPr>
        <w:t xml:space="preserve"> - 2022. -</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26,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4</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1065–1067</w:t>
      </w:r>
      <w:r w:rsidR="00A91382">
        <w:rPr>
          <w:rFonts w:ascii="Times New Roman" w:hAnsi="Times New Roman" w:cs="Times New Roman"/>
          <w:noProof/>
          <w:sz w:val="28"/>
          <w:szCs w:val="24"/>
          <w:lang w:val="kk-KZ"/>
        </w:rPr>
        <w:t>.</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kk-KZ"/>
        </w:rPr>
        <w:t xml:space="preserve"> </w:t>
      </w:r>
      <w:r w:rsidRPr="006E70CF">
        <w:rPr>
          <w:rFonts w:ascii="Times New Roman" w:hAnsi="Times New Roman" w:cs="Times New Roman"/>
          <w:noProof/>
          <w:sz w:val="28"/>
          <w:szCs w:val="24"/>
          <w:lang w:val="en-US"/>
        </w:rPr>
        <w:t>doi: 10.26355/eurrev_202202_28092.</w:t>
      </w:r>
    </w:p>
    <w:p w14:paraId="17A6ECFD" w14:textId="1AF507AD"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128</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 xml:space="preserve">Gullo  G. Cell-Free Fetal DNA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Non-Invasive Prenatal Diagnosis of Chromosomopathies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Pediatric Monogenic Diseases: A Critical Appraisal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Medicolegal Remarks</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J. Pers. Med.</w:t>
      </w:r>
      <w:r w:rsidR="00A91382">
        <w:rPr>
          <w:rFonts w:ascii="Times New Roman" w:hAnsi="Times New Roman" w:cs="Times New Roman"/>
          <w:noProof/>
          <w:sz w:val="28"/>
          <w:szCs w:val="24"/>
          <w:lang w:val="kk-KZ"/>
        </w:rPr>
        <w:t xml:space="preserve"> - 2023. -</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13,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1</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1–18</w:t>
      </w:r>
      <w:r w:rsidR="00A91382">
        <w:rPr>
          <w:rFonts w:ascii="Times New Roman" w:hAnsi="Times New Roman" w:cs="Times New Roman"/>
          <w:noProof/>
          <w:sz w:val="28"/>
          <w:szCs w:val="24"/>
          <w:lang w:val="kk-KZ"/>
        </w:rPr>
        <w:t>.</w:t>
      </w:r>
      <w:r w:rsidR="00A91382" w:rsidRPr="00CB7B67">
        <w:rPr>
          <w:rFonts w:ascii="Times New Roman" w:hAnsi="Times New Roman" w:cs="Times New Roman"/>
          <w:noProof/>
          <w:sz w:val="28"/>
          <w:szCs w:val="24"/>
          <w:lang w:val="en-US"/>
        </w:rPr>
        <w:t xml:space="preserve"> </w:t>
      </w:r>
      <w:r w:rsidRPr="006E70CF">
        <w:rPr>
          <w:rFonts w:ascii="Times New Roman" w:hAnsi="Times New Roman" w:cs="Times New Roman"/>
          <w:noProof/>
          <w:sz w:val="28"/>
          <w:szCs w:val="24"/>
          <w:lang w:val="en-US"/>
        </w:rPr>
        <w:t>doi: 10.3390/jpm13010001.</w:t>
      </w:r>
    </w:p>
    <w:p w14:paraId="79DE74BB" w14:textId="2D4F19BC" w:rsidR="008C6800" w:rsidRPr="006E70CF" w:rsidRDefault="000B4E71"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129</w:t>
      </w:r>
      <w:r w:rsidR="008C6800"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Du  J. The effect of icariin for infertile women with thin endometrium: A protocol for systematic review</w:t>
      </w:r>
      <w:r w:rsidR="00A91382">
        <w:rPr>
          <w:rFonts w:ascii="Times New Roman" w:hAnsi="Times New Roman" w:cs="Times New Roman"/>
          <w:noProof/>
          <w:sz w:val="28"/>
          <w:szCs w:val="24"/>
          <w:lang w:val="kk-KZ"/>
        </w:rPr>
        <w:t xml:space="preserve"> // </w:t>
      </w:r>
      <w:r w:rsidR="00A91382" w:rsidRPr="00CB7B67">
        <w:rPr>
          <w:rFonts w:ascii="Times New Roman" w:hAnsi="Times New Roman" w:cs="Times New Roman"/>
          <w:i/>
          <w:iCs/>
          <w:noProof/>
          <w:sz w:val="28"/>
          <w:szCs w:val="24"/>
          <w:lang w:val="en-US"/>
        </w:rPr>
        <w:t>Med. (United States)</w:t>
      </w:r>
      <w:r w:rsidR="00A91382">
        <w:rPr>
          <w:rFonts w:ascii="Times New Roman" w:hAnsi="Times New Roman" w:cs="Times New Roman"/>
          <w:noProof/>
          <w:sz w:val="28"/>
          <w:szCs w:val="24"/>
          <w:lang w:val="kk-KZ"/>
        </w:rPr>
        <w:t xml:space="preserve">. - 2020. -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99,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12</w:t>
      </w:r>
      <w:r w:rsidR="00A91382">
        <w:rPr>
          <w:rFonts w:ascii="Times New Roman" w:hAnsi="Times New Roman" w:cs="Times New Roman"/>
          <w:noProof/>
          <w:sz w:val="28"/>
          <w:szCs w:val="24"/>
          <w:lang w:val="kk-KZ"/>
        </w:rPr>
        <w:t xml:space="preserve">. </w:t>
      </w:r>
      <w:r w:rsidR="008C6800" w:rsidRPr="006E70CF">
        <w:rPr>
          <w:rFonts w:ascii="Times New Roman" w:hAnsi="Times New Roman" w:cs="Times New Roman"/>
          <w:noProof/>
          <w:sz w:val="28"/>
          <w:szCs w:val="24"/>
          <w:lang w:val="en-US"/>
        </w:rPr>
        <w:t>12, 2020, doi: 10.1097/MD.0000000000019111.</w:t>
      </w:r>
    </w:p>
    <w:p w14:paraId="66312D6E" w14:textId="1F1985D7"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130</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Zong  L. Integrated Transcriptomic Analysis of the miRNA–mRNA Interaction Network in Thin Endometrium</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Front. Genet.</w:t>
      </w:r>
      <w:r w:rsidR="00A91382">
        <w:rPr>
          <w:rFonts w:ascii="Times New Roman" w:hAnsi="Times New Roman" w:cs="Times New Roman"/>
          <w:noProof/>
          <w:sz w:val="28"/>
          <w:szCs w:val="24"/>
          <w:lang w:val="kk-KZ"/>
        </w:rPr>
        <w:t xml:space="preserve"> - 2021. -</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12, </w:t>
      </w:r>
      <w:r w:rsidR="00A91382">
        <w:rPr>
          <w:rFonts w:ascii="Times New Roman" w:hAnsi="Times New Roman" w:cs="Times New Roman"/>
          <w:noProof/>
          <w:sz w:val="28"/>
          <w:szCs w:val="24"/>
          <w:lang w:val="en-US"/>
        </w:rPr>
        <w:t>№</w:t>
      </w:r>
      <w:r w:rsidR="00A91382">
        <w:rPr>
          <w:rFonts w:ascii="Times New Roman" w:hAnsi="Times New Roman" w:cs="Times New Roman"/>
          <w:noProof/>
          <w:sz w:val="28"/>
          <w:szCs w:val="24"/>
          <w:lang w:val="kk-KZ"/>
        </w:rPr>
        <w:t>3.</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1–13</w:t>
      </w:r>
      <w:r w:rsidR="00A91382">
        <w:rPr>
          <w:rFonts w:ascii="Times New Roman" w:hAnsi="Times New Roman" w:cs="Times New Roman"/>
          <w:noProof/>
          <w:sz w:val="28"/>
          <w:szCs w:val="24"/>
          <w:lang w:val="kk-KZ"/>
        </w:rPr>
        <w:t>.</w:t>
      </w:r>
      <w:r w:rsidR="00A91382" w:rsidRPr="00CB7B67">
        <w:rPr>
          <w:rFonts w:ascii="Times New Roman" w:hAnsi="Times New Roman" w:cs="Times New Roman"/>
          <w:noProof/>
          <w:sz w:val="28"/>
          <w:szCs w:val="24"/>
          <w:lang w:val="en-US"/>
        </w:rPr>
        <w:t xml:space="preserve"> </w:t>
      </w:r>
      <w:r w:rsidRPr="006E70CF">
        <w:rPr>
          <w:rFonts w:ascii="Times New Roman" w:hAnsi="Times New Roman" w:cs="Times New Roman"/>
          <w:noProof/>
          <w:sz w:val="28"/>
          <w:szCs w:val="24"/>
          <w:lang w:val="en-US"/>
        </w:rPr>
        <w:t>doi: 10.3389/fgene.2021.589408.</w:t>
      </w:r>
    </w:p>
    <w:p w14:paraId="07A8CCC6" w14:textId="25760F39"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131</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Zhu  Q. Down-regulation of PBK inhibits proliferation of human endometrial stromal cells in thin endometrium</w:t>
      </w:r>
      <w:r w:rsidR="00A91382">
        <w:rPr>
          <w:rFonts w:ascii="Times New Roman" w:hAnsi="Times New Roman" w:cs="Times New Roman"/>
          <w:noProof/>
          <w:sz w:val="28"/>
          <w:szCs w:val="24"/>
          <w:lang w:val="kk-KZ"/>
        </w:rPr>
        <w:t xml:space="preserve"> // </w:t>
      </w:r>
      <w:r w:rsidR="00A91382" w:rsidRPr="00CB7B67">
        <w:rPr>
          <w:rFonts w:ascii="Times New Roman" w:hAnsi="Times New Roman" w:cs="Times New Roman"/>
          <w:i/>
          <w:iCs/>
          <w:noProof/>
          <w:sz w:val="28"/>
          <w:szCs w:val="24"/>
          <w:lang w:val="en-US"/>
        </w:rPr>
        <w:t>Reprod. Biol. Endocrinol.</w:t>
      </w:r>
      <w:r w:rsidR="00A91382">
        <w:rPr>
          <w:rFonts w:ascii="Times New Roman" w:hAnsi="Times New Roman" w:cs="Times New Roman"/>
          <w:i/>
          <w:iCs/>
          <w:noProof/>
          <w:sz w:val="28"/>
          <w:szCs w:val="24"/>
          <w:lang w:val="kk-KZ"/>
        </w:rPr>
        <w:t xml:space="preserve"> - 2022. -</w:t>
      </w:r>
      <w:r w:rsidR="00A91382" w:rsidRPr="00CB7B67">
        <w:rPr>
          <w:rFonts w:ascii="Times New Roman" w:hAnsi="Times New Roman" w:cs="Times New Roman"/>
          <w:noProof/>
          <w:sz w:val="28"/>
          <w:szCs w:val="24"/>
          <w:lang w:val="en-US"/>
        </w:rPr>
        <w:t xml:space="preserve">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20,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1</w:t>
      </w:r>
      <w:r w:rsidR="00A91382">
        <w:rPr>
          <w:rFonts w:ascii="Times New Roman" w:hAnsi="Times New Roman" w:cs="Times New Roman"/>
          <w:noProof/>
          <w:sz w:val="28"/>
          <w:szCs w:val="24"/>
          <w:lang w:val="kk-KZ"/>
        </w:rPr>
        <w:t>.</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1–1</w:t>
      </w:r>
      <w:r w:rsidR="00A91382">
        <w:rPr>
          <w:rFonts w:ascii="Times New Roman" w:hAnsi="Times New Roman" w:cs="Times New Roman"/>
          <w:noProof/>
          <w:sz w:val="28"/>
          <w:szCs w:val="24"/>
          <w:lang w:val="kk-KZ"/>
        </w:rPr>
        <w:t>3.</w:t>
      </w:r>
      <w:r w:rsidR="00A91382" w:rsidRPr="00CB7B67">
        <w:rPr>
          <w:rFonts w:ascii="Times New Roman" w:hAnsi="Times New Roman" w:cs="Times New Roman"/>
          <w:noProof/>
          <w:sz w:val="28"/>
          <w:szCs w:val="24"/>
          <w:lang w:val="en-US"/>
        </w:rPr>
        <w:t xml:space="preserve"> </w:t>
      </w:r>
      <w:r w:rsidRPr="006E70CF">
        <w:rPr>
          <w:rFonts w:ascii="Times New Roman" w:hAnsi="Times New Roman" w:cs="Times New Roman"/>
          <w:noProof/>
          <w:sz w:val="28"/>
          <w:szCs w:val="24"/>
          <w:lang w:val="en-US"/>
        </w:rPr>
        <w:t xml:space="preserve"> doi: 10.1186/s12958-022-00903-8.</w:t>
      </w:r>
    </w:p>
    <w:p w14:paraId="71C48C69" w14:textId="0884C041" w:rsidR="008C6800" w:rsidRPr="006E70CF" w:rsidRDefault="008C6800" w:rsidP="000B4E71">
      <w:pPr>
        <w:widowControl w:val="0"/>
        <w:autoSpaceDE w:val="0"/>
        <w:autoSpaceDN w:val="0"/>
        <w:adjustRightInd w:val="0"/>
        <w:spacing w:after="0" w:line="240" w:lineRule="auto"/>
        <w:ind w:firstLine="709"/>
        <w:rPr>
          <w:rFonts w:ascii="Times New Roman" w:hAnsi="Times New Roman" w:cs="Times New Roman"/>
          <w:noProof/>
          <w:sz w:val="28"/>
          <w:szCs w:val="24"/>
          <w:lang w:val="en-US"/>
        </w:rPr>
      </w:pPr>
      <w:r w:rsidRPr="006E70CF">
        <w:rPr>
          <w:rFonts w:ascii="Times New Roman" w:hAnsi="Times New Roman" w:cs="Times New Roman"/>
          <w:noProof/>
          <w:sz w:val="28"/>
          <w:szCs w:val="24"/>
          <w:lang w:val="en-US"/>
        </w:rPr>
        <w:t>132</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Bashiri</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A., Halper</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K. I., Orvieto</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R.</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Recurrent Implantation Failure-update overview on etiology, diagnosis, treatment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 xml:space="preserve"> future directions</w:t>
      </w:r>
      <w:r w:rsidR="00A91382">
        <w:rPr>
          <w:rFonts w:ascii="Times New Roman" w:hAnsi="Times New Roman" w:cs="Times New Roman"/>
          <w:noProof/>
          <w:sz w:val="28"/>
          <w:szCs w:val="24"/>
          <w:lang w:val="kk-KZ"/>
        </w:rPr>
        <w:t xml:space="preserve"> // </w:t>
      </w:r>
      <w:r w:rsidR="00A91382" w:rsidRPr="00CB7B67">
        <w:rPr>
          <w:rFonts w:ascii="Times New Roman" w:hAnsi="Times New Roman" w:cs="Times New Roman"/>
          <w:i/>
          <w:iCs/>
          <w:noProof/>
          <w:sz w:val="28"/>
          <w:szCs w:val="24"/>
          <w:lang w:val="en-US"/>
        </w:rPr>
        <w:t>Reprod. Biol. Endocrinol.</w:t>
      </w:r>
      <w:r w:rsidR="00A91382">
        <w:rPr>
          <w:rFonts w:ascii="Times New Roman" w:hAnsi="Times New Roman" w:cs="Times New Roman"/>
          <w:noProof/>
          <w:sz w:val="28"/>
          <w:szCs w:val="24"/>
          <w:lang w:val="kk-KZ"/>
        </w:rPr>
        <w:t xml:space="preserve"> - 2018. - </w:t>
      </w:r>
      <w:r w:rsidR="00A91382">
        <w:rPr>
          <w:rFonts w:ascii="Times New Roman" w:hAnsi="Times New Roman" w:cs="Times New Roman"/>
          <w:noProof/>
          <w:sz w:val="28"/>
          <w:szCs w:val="24"/>
          <w:lang w:val="en-US"/>
        </w:rPr>
        <w:t>Vol.</w:t>
      </w:r>
      <w:r w:rsidR="00A91382" w:rsidRPr="00CB7B67">
        <w:rPr>
          <w:rFonts w:ascii="Times New Roman" w:hAnsi="Times New Roman" w:cs="Times New Roman"/>
          <w:noProof/>
          <w:sz w:val="28"/>
          <w:szCs w:val="24"/>
          <w:lang w:val="en-US"/>
        </w:rPr>
        <w:t xml:space="preserve"> 16, </w:t>
      </w:r>
      <w:r w:rsidR="00A91382">
        <w:rPr>
          <w:rFonts w:ascii="Times New Roman" w:hAnsi="Times New Roman" w:cs="Times New Roman"/>
          <w:noProof/>
          <w:sz w:val="28"/>
          <w:szCs w:val="24"/>
          <w:lang w:val="en-US"/>
        </w:rPr>
        <w:t>№</w:t>
      </w:r>
      <w:r w:rsidR="00A91382" w:rsidRPr="00CB7B67">
        <w:rPr>
          <w:rFonts w:ascii="Times New Roman" w:hAnsi="Times New Roman" w:cs="Times New Roman"/>
          <w:noProof/>
          <w:sz w:val="28"/>
          <w:szCs w:val="24"/>
          <w:lang w:val="en-US"/>
        </w:rPr>
        <w:t>1</w:t>
      </w:r>
      <w:r w:rsidR="00A91382">
        <w:rPr>
          <w:rFonts w:ascii="Times New Roman" w:hAnsi="Times New Roman" w:cs="Times New Roman"/>
          <w:noProof/>
          <w:sz w:val="28"/>
          <w:szCs w:val="24"/>
          <w:lang w:val="kk-KZ"/>
        </w:rPr>
        <w:t>.</w:t>
      </w:r>
      <w:r w:rsidR="00A91382">
        <w:rPr>
          <w:rFonts w:ascii="Times New Roman" w:hAnsi="Times New Roman" w:cs="Times New Roman"/>
          <w:noProof/>
          <w:sz w:val="28"/>
          <w:szCs w:val="24"/>
          <w:lang w:val="en-US"/>
        </w:rPr>
        <w:t>- Р.</w:t>
      </w:r>
      <w:r w:rsidR="00A91382" w:rsidRPr="00CB7B67">
        <w:rPr>
          <w:rFonts w:ascii="Times New Roman" w:hAnsi="Times New Roman" w:cs="Times New Roman"/>
          <w:noProof/>
          <w:sz w:val="28"/>
          <w:szCs w:val="24"/>
          <w:lang w:val="en-US"/>
        </w:rPr>
        <w:t>1–18</w:t>
      </w:r>
      <w:r w:rsidR="00A91382">
        <w:rPr>
          <w:rFonts w:ascii="Times New Roman" w:hAnsi="Times New Roman" w:cs="Times New Roman"/>
          <w:noProof/>
          <w:sz w:val="28"/>
          <w:szCs w:val="24"/>
          <w:lang w:val="kk-KZ"/>
        </w:rPr>
        <w:t>.</w:t>
      </w:r>
      <w:r w:rsidRPr="006E70CF">
        <w:rPr>
          <w:rFonts w:ascii="Times New Roman" w:hAnsi="Times New Roman" w:cs="Times New Roman"/>
          <w:noProof/>
          <w:sz w:val="28"/>
          <w:szCs w:val="24"/>
          <w:lang w:val="en-US"/>
        </w:rPr>
        <w:t>doi: 10.1186/s12958-018-0414-2.</w:t>
      </w:r>
    </w:p>
    <w:p w14:paraId="1C4B9919" w14:textId="3331192E" w:rsidR="008C6800" w:rsidRPr="008C6800" w:rsidRDefault="008C6800" w:rsidP="000B4E71">
      <w:pPr>
        <w:widowControl w:val="0"/>
        <w:autoSpaceDE w:val="0"/>
        <w:autoSpaceDN w:val="0"/>
        <w:adjustRightInd w:val="0"/>
        <w:spacing w:after="0" w:line="240" w:lineRule="auto"/>
        <w:ind w:firstLine="709"/>
        <w:rPr>
          <w:rFonts w:ascii="Times New Roman" w:hAnsi="Times New Roman" w:cs="Times New Roman"/>
          <w:noProof/>
          <w:sz w:val="28"/>
        </w:rPr>
      </w:pPr>
      <w:r w:rsidRPr="006E70CF">
        <w:rPr>
          <w:rFonts w:ascii="Times New Roman" w:hAnsi="Times New Roman" w:cs="Times New Roman"/>
          <w:noProof/>
          <w:sz w:val="28"/>
          <w:szCs w:val="24"/>
          <w:lang w:val="en-US"/>
        </w:rPr>
        <w:t>133</w:t>
      </w:r>
      <w:r w:rsidRPr="006E70CF">
        <w:rPr>
          <w:rFonts w:ascii="Times New Roman" w:hAnsi="Times New Roman" w:cs="Times New Roman"/>
          <w:noProof/>
          <w:sz w:val="28"/>
          <w:szCs w:val="24"/>
          <w:lang w:val="en-US"/>
        </w:rPr>
        <w:tab/>
      </w:r>
      <w:r w:rsidR="00A91382" w:rsidRPr="00CB7B67">
        <w:rPr>
          <w:rFonts w:ascii="Times New Roman" w:hAnsi="Times New Roman" w:cs="Times New Roman"/>
          <w:noProof/>
          <w:sz w:val="28"/>
          <w:szCs w:val="24"/>
          <w:lang w:val="en-US"/>
        </w:rPr>
        <w:t>Robertson</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S. A., Moldenhauer</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L. M., Green</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E. S., Care</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A. S., Hull</w:t>
      </w:r>
      <w:r w:rsidR="00A91382" w:rsidRPr="00555B20">
        <w:rPr>
          <w:rFonts w:ascii="Times New Roman" w:hAnsi="Times New Roman" w:cs="Times New Roman"/>
          <w:noProof/>
          <w:sz w:val="28"/>
          <w:szCs w:val="24"/>
          <w:lang w:val="en-US"/>
        </w:rPr>
        <w:t xml:space="preserve"> </w:t>
      </w:r>
      <w:r w:rsidR="00A91382" w:rsidRPr="00CB7B67">
        <w:rPr>
          <w:rFonts w:ascii="Times New Roman" w:hAnsi="Times New Roman" w:cs="Times New Roman"/>
          <w:noProof/>
          <w:sz w:val="28"/>
          <w:szCs w:val="24"/>
          <w:lang w:val="en-US"/>
        </w:rPr>
        <w:t>M. L.</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Immune determinants of endometrial receptivity: a biological perspective</w:t>
      </w:r>
      <w:r w:rsidR="00A91382">
        <w:rPr>
          <w:rFonts w:ascii="Times New Roman" w:hAnsi="Times New Roman" w:cs="Times New Roman"/>
          <w:noProof/>
          <w:sz w:val="28"/>
          <w:szCs w:val="24"/>
          <w:lang w:val="kk-KZ"/>
        </w:rPr>
        <w:t xml:space="preserve"> //</w:t>
      </w:r>
      <w:r w:rsidR="00A91382" w:rsidRPr="00CB7B67">
        <w:rPr>
          <w:rFonts w:ascii="Times New Roman" w:hAnsi="Times New Roman" w:cs="Times New Roman"/>
          <w:noProof/>
          <w:sz w:val="28"/>
          <w:szCs w:val="24"/>
          <w:lang w:val="en-US"/>
        </w:rPr>
        <w:t xml:space="preserve"> </w:t>
      </w:r>
      <w:r w:rsidR="00A91382" w:rsidRPr="00CB7B67">
        <w:rPr>
          <w:rFonts w:ascii="Times New Roman" w:hAnsi="Times New Roman" w:cs="Times New Roman"/>
          <w:i/>
          <w:iCs/>
          <w:noProof/>
          <w:sz w:val="28"/>
          <w:szCs w:val="24"/>
          <w:lang w:val="en-US"/>
        </w:rPr>
        <w:t xml:space="preserve">Fertil. </w:t>
      </w:r>
      <w:r w:rsidR="00A91382" w:rsidRPr="00A936AB">
        <w:rPr>
          <w:rFonts w:ascii="Times New Roman" w:hAnsi="Times New Roman" w:cs="Times New Roman"/>
          <w:i/>
          <w:iCs/>
          <w:noProof/>
          <w:sz w:val="28"/>
          <w:szCs w:val="24"/>
          <w:lang w:val="en-US"/>
        </w:rPr>
        <w:t>Steril</w:t>
      </w:r>
      <w:r w:rsidR="00A91382" w:rsidRPr="00F35038">
        <w:rPr>
          <w:rFonts w:ascii="Times New Roman" w:hAnsi="Times New Roman" w:cs="Times New Roman"/>
          <w:i/>
          <w:iCs/>
          <w:noProof/>
          <w:sz w:val="28"/>
          <w:szCs w:val="24"/>
        </w:rPr>
        <w:t>.</w:t>
      </w:r>
      <w:r w:rsidR="00A91382">
        <w:rPr>
          <w:rFonts w:ascii="Times New Roman" w:hAnsi="Times New Roman" w:cs="Times New Roman"/>
          <w:noProof/>
          <w:sz w:val="28"/>
          <w:szCs w:val="24"/>
          <w:lang w:val="kk-KZ"/>
        </w:rPr>
        <w:t xml:space="preserve"> - 2022. - </w:t>
      </w:r>
      <w:r w:rsidR="00A91382" w:rsidRPr="00F35038">
        <w:rPr>
          <w:rFonts w:ascii="Times New Roman" w:hAnsi="Times New Roman" w:cs="Times New Roman"/>
          <w:noProof/>
          <w:sz w:val="28"/>
          <w:szCs w:val="24"/>
        </w:rPr>
        <w:t xml:space="preserve"> </w:t>
      </w:r>
      <w:r w:rsidR="00A91382" w:rsidRPr="00A936AB">
        <w:rPr>
          <w:rFonts w:ascii="Times New Roman" w:hAnsi="Times New Roman" w:cs="Times New Roman"/>
          <w:noProof/>
          <w:sz w:val="28"/>
          <w:szCs w:val="24"/>
          <w:lang w:val="en-US"/>
        </w:rPr>
        <w:t>Vol</w:t>
      </w:r>
      <w:r w:rsidR="00A91382" w:rsidRPr="00F35038">
        <w:rPr>
          <w:rFonts w:ascii="Times New Roman" w:hAnsi="Times New Roman" w:cs="Times New Roman"/>
          <w:noProof/>
          <w:sz w:val="28"/>
          <w:szCs w:val="24"/>
        </w:rPr>
        <w:t>. 117, №6</w:t>
      </w:r>
      <w:r w:rsidR="00A91382">
        <w:rPr>
          <w:rFonts w:ascii="Times New Roman" w:hAnsi="Times New Roman" w:cs="Times New Roman"/>
          <w:noProof/>
          <w:sz w:val="28"/>
          <w:szCs w:val="24"/>
          <w:lang w:val="kk-KZ"/>
        </w:rPr>
        <w:t xml:space="preserve">. </w:t>
      </w:r>
      <w:r w:rsidR="00A91382" w:rsidRPr="00F35038">
        <w:rPr>
          <w:rFonts w:ascii="Times New Roman" w:hAnsi="Times New Roman" w:cs="Times New Roman"/>
          <w:noProof/>
          <w:sz w:val="28"/>
          <w:szCs w:val="24"/>
        </w:rPr>
        <w:t xml:space="preserve">- </w:t>
      </w:r>
      <w:r w:rsidR="00A91382">
        <w:rPr>
          <w:rFonts w:ascii="Times New Roman" w:hAnsi="Times New Roman" w:cs="Times New Roman"/>
          <w:noProof/>
          <w:sz w:val="28"/>
          <w:szCs w:val="24"/>
        </w:rPr>
        <w:t>Р</w:t>
      </w:r>
      <w:r w:rsidR="00A91382" w:rsidRPr="00F35038">
        <w:rPr>
          <w:rFonts w:ascii="Times New Roman" w:hAnsi="Times New Roman" w:cs="Times New Roman"/>
          <w:noProof/>
          <w:sz w:val="28"/>
          <w:szCs w:val="24"/>
        </w:rPr>
        <w:t>.1107–1120</w:t>
      </w:r>
      <w:r w:rsidR="00A91382">
        <w:rPr>
          <w:rFonts w:ascii="Times New Roman" w:hAnsi="Times New Roman" w:cs="Times New Roman"/>
          <w:noProof/>
          <w:sz w:val="28"/>
          <w:szCs w:val="24"/>
          <w:lang w:val="kk-KZ"/>
        </w:rPr>
        <w:t>.</w:t>
      </w:r>
      <w:r w:rsidRPr="008C6800">
        <w:rPr>
          <w:rFonts w:ascii="Times New Roman" w:hAnsi="Times New Roman" w:cs="Times New Roman"/>
          <w:noProof/>
          <w:sz w:val="28"/>
          <w:szCs w:val="24"/>
        </w:rPr>
        <w:t>doi: 10.1016/j.fertnstert.2022.04.023.</w:t>
      </w:r>
    </w:p>
    <w:p w14:paraId="137849F0" w14:textId="6351E242" w:rsidR="008A39EA" w:rsidRDefault="008A39EA" w:rsidP="005536C0">
      <w:pPr>
        <w:pStyle w:val="1"/>
        <w:spacing w:before="0"/>
        <w:ind w:firstLine="709"/>
        <w:jc w:val="both"/>
        <w:rPr>
          <w:color w:val="0D0D0D"/>
          <w:sz w:val="28"/>
          <w:szCs w:val="28"/>
          <w:shd w:val="clear" w:color="auto" w:fill="FFFFFF"/>
          <w:lang w:val="kk-KZ"/>
        </w:rPr>
      </w:pPr>
      <w:r w:rsidRPr="00916B3A">
        <w:rPr>
          <w:color w:val="0D0D0D"/>
          <w:sz w:val="28"/>
          <w:szCs w:val="28"/>
          <w:shd w:val="clear" w:color="auto" w:fill="FFFFFF"/>
          <w:lang w:val="kk-KZ"/>
        </w:rPr>
        <w:fldChar w:fldCharType="end"/>
      </w:r>
    </w:p>
    <w:p w14:paraId="5761F4E3" w14:textId="03CDEAFD" w:rsidR="000B4E71" w:rsidRDefault="000B4E71" w:rsidP="005536C0">
      <w:pPr>
        <w:pStyle w:val="1"/>
        <w:spacing w:before="0"/>
        <w:ind w:firstLine="709"/>
        <w:jc w:val="both"/>
        <w:rPr>
          <w:color w:val="0D0D0D"/>
          <w:sz w:val="28"/>
          <w:szCs w:val="28"/>
          <w:shd w:val="clear" w:color="auto" w:fill="FFFFFF"/>
          <w:lang w:val="kk-KZ"/>
        </w:rPr>
      </w:pPr>
    </w:p>
    <w:p w14:paraId="0DBCADED" w14:textId="7C070520" w:rsidR="000B4E71" w:rsidRDefault="000B4E71" w:rsidP="005536C0">
      <w:pPr>
        <w:pStyle w:val="1"/>
        <w:spacing w:before="0"/>
        <w:ind w:firstLine="709"/>
        <w:jc w:val="both"/>
        <w:rPr>
          <w:color w:val="0D0D0D"/>
          <w:sz w:val="28"/>
          <w:szCs w:val="28"/>
          <w:shd w:val="clear" w:color="auto" w:fill="FFFFFF"/>
          <w:lang w:val="kk-KZ"/>
        </w:rPr>
      </w:pPr>
    </w:p>
    <w:p w14:paraId="345C9AE1" w14:textId="6A371B9A" w:rsidR="000B4E71" w:rsidRDefault="000B4E71" w:rsidP="005536C0">
      <w:pPr>
        <w:pStyle w:val="1"/>
        <w:spacing w:before="0"/>
        <w:ind w:firstLine="709"/>
        <w:jc w:val="both"/>
        <w:rPr>
          <w:color w:val="0D0D0D"/>
          <w:sz w:val="28"/>
          <w:szCs w:val="28"/>
          <w:shd w:val="clear" w:color="auto" w:fill="FFFFFF"/>
          <w:lang w:val="kk-KZ"/>
        </w:rPr>
      </w:pPr>
    </w:p>
    <w:p w14:paraId="5F2ADFC6" w14:textId="4B36D179" w:rsidR="000B4E71" w:rsidRDefault="000B4E71" w:rsidP="005536C0">
      <w:pPr>
        <w:pStyle w:val="1"/>
        <w:spacing w:before="0"/>
        <w:ind w:firstLine="709"/>
        <w:jc w:val="both"/>
        <w:rPr>
          <w:color w:val="0D0D0D"/>
          <w:sz w:val="28"/>
          <w:szCs w:val="28"/>
          <w:shd w:val="clear" w:color="auto" w:fill="FFFFFF"/>
          <w:lang w:val="kk-KZ"/>
        </w:rPr>
      </w:pPr>
    </w:p>
    <w:p w14:paraId="110EE49A" w14:textId="350C1BCE" w:rsidR="000B4E71" w:rsidRDefault="000B4E71" w:rsidP="005536C0">
      <w:pPr>
        <w:pStyle w:val="1"/>
        <w:spacing w:before="0"/>
        <w:ind w:firstLine="709"/>
        <w:jc w:val="both"/>
        <w:rPr>
          <w:color w:val="0D0D0D"/>
          <w:sz w:val="28"/>
          <w:szCs w:val="28"/>
          <w:shd w:val="clear" w:color="auto" w:fill="FFFFFF"/>
          <w:lang w:val="kk-KZ"/>
        </w:rPr>
      </w:pPr>
    </w:p>
    <w:p w14:paraId="2C938461" w14:textId="36BD0A02" w:rsidR="000B4E71" w:rsidRDefault="000B4E71" w:rsidP="005536C0">
      <w:pPr>
        <w:pStyle w:val="1"/>
        <w:spacing w:before="0"/>
        <w:ind w:firstLine="709"/>
        <w:jc w:val="both"/>
        <w:rPr>
          <w:color w:val="0D0D0D"/>
          <w:sz w:val="28"/>
          <w:szCs w:val="28"/>
          <w:shd w:val="clear" w:color="auto" w:fill="FFFFFF"/>
          <w:lang w:val="kk-KZ"/>
        </w:rPr>
      </w:pPr>
    </w:p>
    <w:p w14:paraId="0D35D0E3" w14:textId="75FEB616" w:rsidR="000B4E71" w:rsidRDefault="000B4E71" w:rsidP="005536C0">
      <w:pPr>
        <w:pStyle w:val="1"/>
        <w:spacing w:before="0"/>
        <w:ind w:firstLine="709"/>
        <w:jc w:val="both"/>
        <w:rPr>
          <w:color w:val="0D0D0D"/>
          <w:sz w:val="28"/>
          <w:szCs w:val="28"/>
          <w:shd w:val="clear" w:color="auto" w:fill="FFFFFF"/>
          <w:lang w:val="kk-KZ"/>
        </w:rPr>
      </w:pPr>
    </w:p>
    <w:p w14:paraId="479C57FD" w14:textId="7FE0BDAF" w:rsidR="000B4E71" w:rsidRDefault="000B4E71" w:rsidP="005536C0">
      <w:pPr>
        <w:pStyle w:val="1"/>
        <w:spacing w:before="0"/>
        <w:ind w:firstLine="709"/>
        <w:jc w:val="both"/>
        <w:rPr>
          <w:color w:val="0D0D0D"/>
          <w:sz w:val="28"/>
          <w:szCs w:val="28"/>
          <w:shd w:val="clear" w:color="auto" w:fill="FFFFFF"/>
          <w:lang w:val="kk-KZ"/>
        </w:rPr>
      </w:pPr>
    </w:p>
    <w:p w14:paraId="6BD9ED6A" w14:textId="628A352A" w:rsidR="000B4E71" w:rsidRDefault="000B4E71" w:rsidP="005536C0">
      <w:pPr>
        <w:pStyle w:val="1"/>
        <w:spacing w:before="0"/>
        <w:ind w:firstLine="709"/>
        <w:jc w:val="both"/>
        <w:rPr>
          <w:color w:val="0D0D0D"/>
          <w:sz w:val="28"/>
          <w:szCs w:val="28"/>
          <w:shd w:val="clear" w:color="auto" w:fill="FFFFFF"/>
          <w:lang w:val="kk-KZ"/>
        </w:rPr>
      </w:pPr>
    </w:p>
    <w:p w14:paraId="6B268198" w14:textId="16ABAE21" w:rsidR="000B4E71" w:rsidRDefault="000B4E71" w:rsidP="005536C0">
      <w:pPr>
        <w:pStyle w:val="1"/>
        <w:spacing w:before="0"/>
        <w:ind w:firstLine="709"/>
        <w:jc w:val="both"/>
        <w:rPr>
          <w:color w:val="0D0D0D"/>
          <w:sz w:val="28"/>
          <w:szCs w:val="28"/>
          <w:shd w:val="clear" w:color="auto" w:fill="FFFFFF"/>
          <w:lang w:val="kk-KZ"/>
        </w:rPr>
      </w:pPr>
    </w:p>
    <w:p w14:paraId="5343E727" w14:textId="08719851" w:rsidR="000B4E71" w:rsidRDefault="000B4E71" w:rsidP="005536C0">
      <w:pPr>
        <w:pStyle w:val="1"/>
        <w:spacing w:before="0"/>
        <w:ind w:firstLine="709"/>
        <w:jc w:val="both"/>
        <w:rPr>
          <w:color w:val="0D0D0D"/>
          <w:sz w:val="28"/>
          <w:szCs w:val="28"/>
          <w:shd w:val="clear" w:color="auto" w:fill="FFFFFF"/>
          <w:lang w:val="kk-KZ"/>
        </w:rPr>
      </w:pPr>
    </w:p>
    <w:p w14:paraId="08ED070A" w14:textId="29D173E9" w:rsidR="000B4E71" w:rsidRDefault="000B4E71" w:rsidP="005536C0">
      <w:pPr>
        <w:pStyle w:val="1"/>
        <w:spacing w:before="0"/>
        <w:ind w:firstLine="709"/>
        <w:jc w:val="both"/>
        <w:rPr>
          <w:color w:val="0D0D0D"/>
          <w:sz w:val="28"/>
          <w:szCs w:val="28"/>
          <w:shd w:val="clear" w:color="auto" w:fill="FFFFFF"/>
          <w:lang w:val="kk-KZ"/>
        </w:rPr>
      </w:pPr>
    </w:p>
    <w:p w14:paraId="63588CC1" w14:textId="08D48564" w:rsidR="000B4E71" w:rsidRDefault="000B4E71" w:rsidP="005536C0">
      <w:pPr>
        <w:pStyle w:val="1"/>
        <w:spacing w:before="0"/>
        <w:ind w:firstLine="709"/>
        <w:jc w:val="both"/>
        <w:rPr>
          <w:color w:val="0D0D0D"/>
          <w:sz w:val="28"/>
          <w:szCs w:val="28"/>
          <w:shd w:val="clear" w:color="auto" w:fill="FFFFFF"/>
          <w:lang w:val="kk-KZ"/>
        </w:rPr>
      </w:pPr>
    </w:p>
    <w:p w14:paraId="5C0E08BF" w14:textId="1D1D7842" w:rsidR="000B4E71" w:rsidRDefault="000B4E71" w:rsidP="005536C0">
      <w:pPr>
        <w:pStyle w:val="1"/>
        <w:spacing w:before="0"/>
        <w:ind w:firstLine="709"/>
        <w:jc w:val="both"/>
        <w:rPr>
          <w:color w:val="0D0D0D"/>
          <w:sz w:val="28"/>
          <w:szCs w:val="28"/>
          <w:shd w:val="clear" w:color="auto" w:fill="FFFFFF"/>
          <w:lang w:val="kk-KZ"/>
        </w:rPr>
      </w:pPr>
    </w:p>
    <w:p w14:paraId="0E9B3321" w14:textId="5D4FE93B" w:rsidR="000B4E71" w:rsidRDefault="000B4E71" w:rsidP="005536C0">
      <w:pPr>
        <w:pStyle w:val="1"/>
        <w:spacing w:before="0"/>
        <w:ind w:firstLine="709"/>
        <w:jc w:val="both"/>
        <w:rPr>
          <w:color w:val="0D0D0D"/>
          <w:sz w:val="28"/>
          <w:szCs w:val="28"/>
          <w:shd w:val="clear" w:color="auto" w:fill="FFFFFF"/>
          <w:lang w:val="kk-KZ"/>
        </w:rPr>
      </w:pPr>
    </w:p>
    <w:p w14:paraId="5DB3549F" w14:textId="313DBF07" w:rsidR="000B4E71" w:rsidRDefault="000B4E71" w:rsidP="005536C0">
      <w:pPr>
        <w:pStyle w:val="1"/>
        <w:spacing w:before="0"/>
        <w:ind w:firstLine="709"/>
        <w:jc w:val="both"/>
        <w:rPr>
          <w:color w:val="0D0D0D"/>
          <w:sz w:val="28"/>
          <w:szCs w:val="28"/>
          <w:shd w:val="clear" w:color="auto" w:fill="FFFFFF"/>
          <w:lang w:val="kk-KZ"/>
        </w:rPr>
      </w:pPr>
    </w:p>
    <w:p w14:paraId="28D639F3" w14:textId="22A284F4" w:rsidR="000B4E71" w:rsidRDefault="000B4E71" w:rsidP="005536C0">
      <w:pPr>
        <w:pStyle w:val="1"/>
        <w:spacing w:before="0"/>
        <w:ind w:firstLine="709"/>
        <w:jc w:val="both"/>
        <w:rPr>
          <w:b w:val="0"/>
          <w:bCs w:val="0"/>
          <w:sz w:val="28"/>
          <w:szCs w:val="28"/>
        </w:rPr>
      </w:pPr>
    </w:p>
    <w:p w14:paraId="4FD35304" w14:textId="109D8757" w:rsidR="00C670E7" w:rsidRDefault="00C670E7" w:rsidP="005536C0">
      <w:pPr>
        <w:pStyle w:val="1"/>
        <w:spacing w:before="0"/>
        <w:ind w:firstLine="709"/>
        <w:jc w:val="both"/>
        <w:rPr>
          <w:b w:val="0"/>
          <w:bCs w:val="0"/>
          <w:sz w:val="28"/>
          <w:szCs w:val="28"/>
        </w:rPr>
      </w:pPr>
    </w:p>
    <w:p w14:paraId="065DD952" w14:textId="0C3BC596" w:rsidR="00C670E7" w:rsidRDefault="00C670E7" w:rsidP="005536C0">
      <w:pPr>
        <w:pStyle w:val="1"/>
        <w:spacing w:before="0"/>
        <w:ind w:firstLine="709"/>
        <w:jc w:val="both"/>
        <w:rPr>
          <w:b w:val="0"/>
          <w:bCs w:val="0"/>
          <w:sz w:val="28"/>
          <w:szCs w:val="28"/>
        </w:rPr>
      </w:pPr>
    </w:p>
    <w:p w14:paraId="6C17B860" w14:textId="201DEC34" w:rsidR="00C670E7" w:rsidRDefault="00C670E7" w:rsidP="005536C0">
      <w:pPr>
        <w:pStyle w:val="1"/>
        <w:spacing w:before="0"/>
        <w:ind w:firstLine="709"/>
        <w:jc w:val="both"/>
        <w:rPr>
          <w:b w:val="0"/>
          <w:bCs w:val="0"/>
          <w:sz w:val="28"/>
          <w:szCs w:val="28"/>
        </w:rPr>
      </w:pPr>
    </w:p>
    <w:p w14:paraId="36FB4083" w14:textId="20CF82B0" w:rsidR="00C670E7" w:rsidRDefault="00C670E7" w:rsidP="005536C0">
      <w:pPr>
        <w:pStyle w:val="1"/>
        <w:spacing w:before="0"/>
        <w:ind w:firstLine="709"/>
        <w:jc w:val="both"/>
        <w:rPr>
          <w:b w:val="0"/>
          <w:bCs w:val="0"/>
          <w:sz w:val="28"/>
          <w:szCs w:val="28"/>
        </w:rPr>
      </w:pPr>
    </w:p>
    <w:p w14:paraId="53D5514F" w14:textId="249BCBB7" w:rsidR="00C670E7" w:rsidRDefault="00C670E7" w:rsidP="005536C0">
      <w:pPr>
        <w:pStyle w:val="1"/>
        <w:spacing w:before="0"/>
        <w:ind w:firstLine="709"/>
        <w:jc w:val="both"/>
        <w:rPr>
          <w:b w:val="0"/>
          <w:bCs w:val="0"/>
          <w:sz w:val="28"/>
          <w:szCs w:val="28"/>
        </w:rPr>
      </w:pPr>
    </w:p>
    <w:p w14:paraId="07E3034D" w14:textId="77777777" w:rsidR="00C670E7" w:rsidRPr="006E70CF" w:rsidRDefault="00C670E7" w:rsidP="005536C0">
      <w:pPr>
        <w:pStyle w:val="1"/>
        <w:spacing w:before="0"/>
        <w:ind w:firstLine="709"/>
        <w:jc w:val="both"/>
        <w:rPr>
          <w:b w:val="0"/>
          <w:bCs w:val="0"/>
          <w:sz w:val="28"/>
          <w:szCs w:val="28"/>
        </w:rPr>
      </w:pPr>
    </w:p>
    <w:p w14:paraId="3231B127" w14:textId="4A9D5E30" w:rsidR="008D1509" w:rsidRPr="00916B3A" w:rsidRDefault="003260D7" w:rsidP="00807117">
      <w:pPr>
        <w:widowControl w:val="0"/>
        <w:autoSpaceDE w:val="0"/>
        <w:autoSpaceDN w:val="0"/>
        <w:adjustRightInd w:val="0"/>
        <w:spacing w:after="0" w:line="240" w:lineRule="auto"/>
        <w:jc w:val="center"/>
        <w:rPr>
          <w:rFonts w:ascii="Times New Roman" w:hAnsi="Times New Roman" w:cs="Times New Roman"/>
          <w:b/>
          <w:bCs/>
          <w:sz w:val="28"/>
          <w:szCs w:val="28"/>
        </w:rPr>
      </w:pPr>
      <w:r w:rsidRPr="00916B3A">
        <w:rPr>
          <w:rFonts w:ascii="Times New Roman" w:hAnsi="Times New Roman" w:cs="Times New Roman"/>
          <w:b/>
          <w:bCs/>
          <w:sz w:val="28"/>
          <w:szCs w:val="28"/>
        </w:rPr>
        <w:t>ПРИЛОЖЕНИЕ А</w:t>
      </w:r>
    </w:p>
    <w:p w14:paraId="1D1BFBEC" w14:textId="54EBBC3E" w:rsidR="008D1509" w:rsidRDefault="00807117" w:rsidP="00807117">
      <w:pPr>
        <w:widowControl w:val="0"/>
        <w:shd w:val="clear" w:color="auto" w:fill="FFFFFF"/>
        <w:autoSpaceDE w:val="0"/>
        <w:autoSpaceDN w:val="0"/>
        <w:adjustRightInd w:val="0"/>
        <w:spacing w:after="0" w:line="221" w:lineRule="exact"/>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5"/>
          <w:sz w:val="24"/>
          <w:szCs w:val="24"/>
          <w:lang w:eastAsia="ru-RU"/>
        </w:rPr>
        <w:t>И</w:t>
      </w:r>
      <w:r w:rsidRPr="00807117">
        <w:rPr>
          <w:rFonts w:ascii="Times New Roman" w:eastAsia="Times New Roman" w:hAnsi="Times New Roman" w:cs="Times New Roman"/>
          <w:spacing w:val="-5"/>
          <w:sz w:val="24"/>
          <w:szCs w:val="24"/>
          <w:lang w:eastAsia="ru-RU"/>
        </w:rPr>
        <w:t>нформированное согласие</w:t>
      </w:r>
      <w:r>
        <w:rPr>
          <w:rFonts w:ascii="Times New Roman" w:eastAsia="Times New Roman" w:hAnsi="Times New Roman" w:cs="Times New Roman"/>
          <w:spacing w:val="-5"/>
          <w:sz w:val="24"/>
          <w:szCs w:val="24"/>
          <w:lang w:eastAsia="ru-RU"/>
        </w:rPr>
        <w:t xml:space="preserve"> </w:t>
      </w:r>
      <w:r w:rsidRPr="00807117">
        <w:rPr>
          <w:rFonts w:ascii="Times New Roman" w:eastAsia="Times New Roman" w:hAnsi="Times New Roman" w:cs="Times New Roman"/>
          <w:spacing w:val="-5"/>
          <w:sz w:val="24"/>
          <w:szCs w:val="24"/>
          <w:lang w:eastAsia="ru-RU"/>
        </w:rPr>
        <w:t xml:space="preserve">на участие в </w:t>
      </w:r>
      <w:r w:rsidRPr="00807117">
        <w:rPr>
          <w:rFonts w:ascii="Times New Roman" w:eastAsia="Times New Roman" w:hAnsi="Times New Roman" w:cs="Times New Roman"/>
          <w:sz w:val="24"/>
          <w:szCs w:val="24"/>
          <w:lang w:eastAsia="ru-RU"/>
        </w:rPr>
        <w:t>исследовании</w:t>
      </w:r>
    </w:p>
    <w:p w14:paraId="72A17AED" w14:textId="77777777" w:rsidR="00807117" w:rsidRPr="00807117" w:rsidRDefault="00807117" w:rsidP="00807117">
      <w:pPr>
        <w:widowControl w:val="0"/>
        <w:shd w:val="clear" w:color="auto" w:fill="FFFFFF"/>
        <w:autoSpaceDE w:val="0"/>
        <w:autoSpaceDN w:val="0"/>
        <w:adjustRightInd w:val="0"/>
        <w:spacing w:after="0" w:line="221" w:lineRule="exact"/>
        <w:ind w:right="1152"/>
        <w:jc w:val="center"/>
        <w:rPr>
          <w:rFonts w:ascii="Times New Roman" w:eastAsia="Times New Roman" w:hAnsi="Times New Roman" w:cs="Times New Roman"/>
          <w:spacing w:val="-5"/>
          <w:sz w:val="24"/>
          <w:szCs w:val="24"/>
          <w:lang w:eastAsia="ru-RU"/>
        </w:rPr>
      </w:pPr>
    </w:p>
    <w:p w14:paraId="14D530ED" w14:textId="77777777" w:rsidR="00657950" w:rsidRPr="00916B3A" w:rsidRDefault="00657950" w:rsidP="0065795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2"/>
          <w:sz w:val="20"/>
          <w:szCs w:val="20"/>
          <w:lang w:eastAsia="ru-RU"/>
        </w:rPr>
        <w:t>Участник________________________________________________</w:t>
      </w:r>
    </w:p>
    <w:p w14:paraId="51C2A6C0" w14:textId="77777777" w:rsidR="00657950" w:rsidRPr="00916B3A" w:rsidRDefault="00657950" w:rsidP="0065795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7"/>
          <w:sz w:val="20"/>
          <w:szCs w:val="20"/>
          <w:lang w:eastAsia="ru-RU"/>
        </w:rPr>
        <w:t>(Ф. и. о.)</w:t>
      </w:r>
    </w:p>
    <w:p w14:paraId="3383E57F" w14:textId="77777777" w:rsidR="00657950" w:rsidRPr="00916B3A" w:rsidRDefault="00657950" w:rsidP="00657950">
      <w:pPr>
        <w:widowControl w:val="0"/>
        <w:shd w:val="clear" w:color="auto" w:fill="FFFFFF"/>
        <w:tabs>
          <w:tab w:val="left" w:leader="underscore" w:pos="6202"/>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5"/>
          <w:sz w:val="20"/>
          <w:szCs w:val="20"/>
          <w:lang w:eastAsia="ru-RU"/>
        </w:rPr>
        <w:t xml:space="preserve">Номер протокола </w:t>
      </w:r>
      <w:proofErr w:type="gramStart"/>
      <w:r w:rsidRPr="00916B3A">
        <w:rPr>
          <w:rFonts w:ascii="Times New Roman" w:eastAsia="Times New Roman" w:hAnsi="Times New Roman" w:cs="Times New Roman"/>
          <w:spacing w:val="-5"/>
          <w:sz w:val="20"/>
          <w:szCs w:val="20"/>
          <w:lang w:eastAsia="ru-RU"/>
        </w:rPr>
        <w:t>исследования:</w:t>
      </w:r>
      <w:r w:rsidRPr="00916B3A">
        <w:rPr>
          <w:rFonts w:ascii="Times New Roman" w:eastAsia="Times New Roman" w:hAnsi="Times New Roman" w:cs="Times New Roman"/>
          <w:sz w:val="20"/>
          <w:szCs w:val="20"/>
          <w:lang w:eastAsia="ru-RU"/>
        </w:rPr>
        <w:t>_</w:t>
      </w:r>
      <w:proofErr w:type="gramEnd"/>
      <w:r w:rsidRPr="00916B3A">
        <w:rPr>
          <w:rFonts w:ascii="Times New Roman" w:eastAsia="Times New Roman" w:hAnsi="Times New Roman" w:cs="Times New Roman"/>
          <w:sz w:val="20"/>
          <w:szCs w:val="20"/>
          <w:lang w:eastAsia="ru-RU"/>
        </w:rPr>
        <w:t>_____________________________________________</w:t>
      </w:r>
    </w:p>
    <w:p w14:paraId="6608197E" w14:textId="77777777" w:rsidR="00657950" w:rsidRPr="00916B3A" w:rsidRDefault="00657950" w:rsidP="00657950">
      <w:pPr>
        <w:widowControl w:val="0"/>
        <w:shd w:val="clear" w:color="auto" w:fill="FFFFFF"/>
        <w:tabs>
          <w:tab w:val="left" w:leader="underscore" w:pos="6202"/>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12"/>
          <w:sz w:val="20"/>
          <w:szCs w:val="20"/>
          <w:lang w:eastAsia="ru-RU"/>
        </w:rPr>
        <w:t xml:space="preserve">Исследовательский центр: Научный центр акушерства, гинекологии и перинатологии </w:t>
      </w:r>
      <w:r w:rsidRPr="00916B3A">
        <w:rPr>
          <w:rFonts w:ascii="Times New Roman" w:hAnsi="Times New Roman" w:cs="Times New Roman"/>
          <w:sz w:val="20"/>
          <w:szCs w:val="20"/>
        </w:rPr>
        <w:t>(НЦАГиП)</w:t>
      </w:r>
    </w:p>
    <w:p w14:paraId="5FC6E73D" w14:textId="77777777" w:rsidR="00657950" w:rsidRPr="00916B3A" w:rsidRDefault="00657950" w:rsidP="00657950">
      <w:pPr>
        <w:pStyle w:val="afa"/>
        <w:rPr>
          <w:rFonts w:ascii="Times New Roman" w:hAnsi="Times New Roman" w:cs="Times New Roman"/>
          <w:sz w:val="20"/>
          <w:szCs w:val="20"/>
          <w:lang w:val="kk-KZ"/>
        </w:rPr>
      </w:pPr>
      <w:r w:rsidRPr="00916B3A">
        <w:rPr>
          <w:rFonts w:ascii="Times New Roman" w:hAnsi="Times New Roman" w:cs="Times New Roman"/>
          <w:spacing w:val="-4"/>
          <w:sz w:val="20"/>
          <w:szCs w:val="20"/>
          <w:lang w:eastAsia="ru-RU"/>
        </w:rPr>
        <w:t xml:space="preserve">Название </w:t>
      </w:r>
      <w:proofErr w:type="gramStart"/>
      <w:r w:rsidRPr="00916B3A">
        <w:rPr>
          <w:rFonts w:ascii="Times New Roman" w:hAnsi="Times New Roman" w:cs="Times New Roman"/>
          <w:spacing w:val="-4"/>
          <w:sz w:val="20"/>
          <w:szCs w:val="20"/>
          <w:lang w:eastAsia="ru-RU"/>
        </w:rPr>
        <w:t>исследования:</w:t>
      </w:r>
      <w:r w:rsidRPr="00916B3A">
        <w:rPr>
          <w:rFonts w:ascii="Times New Roman" w:hAnsi="Times New Roman" w:cs="Times New Roman"/>
          <w:sz w:val="20"/>
          <w:szCs w:val="20"/>
        </w:rPr>
        <w:t>«</w:t>
      </w:r>
      <w:proofErr w:type="gramEnd"/>
      <w:r w:rsidRPr="00916B3A">
        <w:rPr>
          <w:rFonts w:ascii="Times New Roman" w:hAnsi="Times New Roman" w:cs="Times New Roman"/>
          <w:sz w:val="20"/>
          <w:szCs w:val="20"/>
        </w:rPr>
        <w:t>Патогенетические аспекты нарушения рецептивности эндометрия у пациенток с репродуктивными потерями»</w:t>
      </w:r>
    </w:p>
    <w:p w14:paraId="6CA201A6" w14:textId="77777777" w:rsidR="00657950" w:rsidRPr="00916B3A" w:rsidRDefault="00657950" w:rsidP="0065795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3"/>
          <w:sz w:val="20"/>
          <w:szCs w:val="20"/>
          <w:lang w:eastAsia="ru-RU"/>
        </w:rPr>
        <w:t xml:space="preserve">Дата последней экспертизы, проведённой </w:t>
      </w:r>
      <w:proofErr w:type="gramStart"/>
      <w:r w:rsidRPr="00916B3A">
        <w:rPr>
          <w:rFonts w:ascii="Times New Roman" w:eastAsia="Times New Roman" w:hAnsi="Times New Roman" w:cs="Times New Roman"/>
          <w:spacing w:val="-3"/>
          <w:sz w:val="20"/>
          <w:szCs w:val="20"/>
          <w:lang w:eastAsia="ru-RU"/>
        </w:rPr>
        <w:t>ЛЭК:</w:t>
      </w:r>
      <w:r w:rsidRPr="00916B3A">
        <w:rPr>
          <w:rFonts w:ascii="Times New Roman" w:eastAsia="Times New Roman" w:hAnsi="Times New Roman" w:cs="Times New Roman"/>
          <w:sz w:val="20"/>
          <w:szCs w:val="20"/>
          <w:lang w:eastAsia="ru-RU"/>
        </w:rPr>
        <w:t>_</w:t>
      </w:r>
      <w:proofErr w:type="gramEnd"/>
      <w:r w:rsidRPr="00916B3A">
        <w:rPr>
          <w:rFonts w:ascii="Times New Roman" w:eastAsia="Times New Roman" w:hAnsi="Times New Roman" w:cs="Times New Roman"/>
          <w:sz w:val="20"/>
          <w:szCs w:val="20"/>
          <w:lang w:eastAsia="ru-RU"/>
        </w:rPr>
        <w:t>_______________________________</w:t>
      </w:r>
    </w:p>
    <w:p w14:paraId="1E262C20" w14:textId="77777777" w:rsidR="00657950" w:rsidRPr="00916B3A" w:rsidRDefault="00657950" w:rsidP="00657950">
      <w:pPr>
        <w:widowControl w:val="0"/>
        <w:shd w:val="clear" w:color="auto" w:fill="FFFFFF"/>
        <w:tabs>
          <w:tab w:val="left" w:leader="underscore" w:pos="6202"/>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4"/>
          <w:sz w:val="20"/>
          <w:szCs w:val="20"/>
          <w:lang w:eastAsia="ru-RU"/>
        </w:rPr>
        <w:t xml:space="preserve">Дата одобрения последних поправок к протоколу </w:t>
      </w:r>
      <w:proofErr w:type="gramStart"/>
      <w:r w:rsidRPr="00916B3A">
        <w:rPr>
          <w:rFonts w:ascii="Times New Roman" w:eastAsia="Times New Roman" w:hAnsi="Times New Roman" w:cs="Times New Roman"/>
          <w:spacing w:val="-4"/>
          <w:sz w:val="20"/>
          <w:szCs w:val="20"/>
          <w:lang w:eastAsia="ru-RU"/>
        </w:rPr>
        <w:t>исследования:_</w:t>
      </w:r>
      <w:proofErr w:type="gramEnd"/>
      <w:r w:rsidRPr="00916B3A">
        <w:rPr>
          <w:rFonts w:ascii="Times New Roman" w:eastAsia="Times New Roman" w:hAnsi="Times New Roman" w:cs="Times New Roman"/>
          <w:spacing w:val="-4"/>
          <w:sz w:val="20"/>
          <w:szCs w:val="20"/>
          <w:lang w:eastAsia="ru-RU"/>
        </w:rPr>
        <w:t>__________________</w:t>
      </w:r>
    </w:p>
    <w:p w14:paraId="397793FA" w14:textId="77777777" w:rsidR="00657950" w:rsidRPr="00916B3A" w:rsidRDefault="00657950" w:rsidP="0065795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6B3A">
        <w:rPr>
          <w:rFonts w:ascii="Times New Roman" w:eastAsia="Times New Roman" w:hAnsi="Times New Roman" w:cs="Times New Roman"/>
          <w:b/>
          <w:sz w:val="20"/>
          <w:szCs w:val="20"/>
          <w:lang w:eastAsia="ru-RU"/>
        </w:rPr>
        <w:t>ИНФОРМАЦИЯ ДЛЯ УЧАСТНИКА ИССЛЕДОВАНИЯ</w:t>
      </w:r>
    </w:p>
    <w:p w14:paraId="3B74BB2E" w14:textId="77777777" w:rsidR="00657950" w:rsidRPr="00916B3A" w:rsidRDefault="00657950" w:rsidP="00657950">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916B3A">
        <w:rPr>
          <w:rFonts w:ascii="Times New Roman" w:eastAsia="Times New Roman" w:hAnsi="Times New Roman" w:cs="Times New Roman"/>
          <w:sz w:val="20"/>
          <w:szCs w:val="20"/>
          <w:lang w:eastAsia="ru-RU"/>
        </w:rPr>
        <w:t>Мы приглашаем Вас к участию в научном исследовании, проводимому в НЦАГиП</w:t>
      </w:r>
    </w:p>
    <w:p w14:paraId="083DB9FE" w14:textId="77777777" w:rsidR="00657950" w:rsidRPr="00916B3A" w:rsidRDefault="00657950" w:rsidP="0065795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 xml:space="preserve">Данное исследование проводится у пациентов, страдающих невынашиванием </w:t>
      </w:r>
      <w:proofErr w:type="gramStart"/>
      <w:r w:rsidRPr="00916B3A">
        <w:rPr>
          <w:rFonts w:ascii="Times New Roman" w:eastAsia="Times New Roman" w:hAnsi="Times New Roman" w:cs="Times New Roman"/>
          <w:sz w:val="20"/>
          <w:szCs w:val="20"/>
          <w:lang w:eastAsia="ru-RU"/>
        </w:rPr>
        <w:t>беременности.Вы</w:t>
      </w:r>
      <w:proofErr w:type="gramEnd"/>
      <w:r w:rsidRPr="00916B3A">
        <w:rPr>
          <w:rFonts w:ascii="Times New Roman" w:eastAsia="Times New Roman" w:hAnsi="Times New Roman" w:cs="Times New Roman"/>
          <w:sz w:val="20"/>
          <w:szCs w:val="20"/>
          <w:lang w:eastAsia="ru-RU"/>
        </w:rPr>
        <w:t xml:space="preserve"> имеете возможность принять участие в научном исследовании, посвященном изучению внутренней слизистой оболочки матки при невынашивании беременности, которое позволит определить критерии неправильного функционирования слизистой оболочки матки, тем самым позволит понять причины самопроизвольных выкидышей.</w:t>
      </w:r>
    </w:p>
    <w:p w14:paraId="4314F66D" w14:textId="77777777" w:rsidR="00657950" w:rsidRPr="00916B3A" w:rsidRDefault="00657950" w:rsidP="00657950">
      <w:pPr>
        <w:widowControl w:val="0"/>
        <w:numPr>
          <w:ilvl w:val="0"/>
          <w:numId w:val="31"/>
        </w:numPr>
        <w:shd w:val="clear" w:color="auto" w:fill="FFFFFF"/>
        <w:tabs>
          <w:tab w:val="left" w:pos="307"/>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3"/>
          <w:sz w:val="20"/>
          <w:szCs w:val="20"/>
          <w:lang w:eastAsia="ru-RU"/>
        </w:rPr>
        <w:t>Участие в этом исследовании является добровольным.</w:t>
      </w:r>
    </w:p>
    <w:p w14:paraId="163E936F" w14:textId="77777777" w:rsidR="00657950" w:rsidRPr="00916B3A" w:rsidRDefault="00657950" w:rsidP="00657950">
      <w:pPr>
        <w:widowControl w:val="0"/>
        <w:numPr>
          <w:ilvl w:val="0"/>
          <w:numId w:val="3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1"/>
          <w:sz w:val="20"/>
          <w:szCs w:val="20"/>
          <w:lang w:eastAsia="ru-RU"/>
        </w:rPr>
        <w:t xml:space="preserve">Вы можете отказаться от участия в исследовании или выйти из него в любое время. </w:t>
      </w:r>
      <w:r w:rsidRPr="00916B3A">
        <w:rPr>
          <w:rFonts w:ascii="Times New Roman" w:eastAsia="Times New Roman" w:hAnsi="Times New Roman" w:cs="Times New Roman"/>
          <w:spacing w:val="-3"/>
          <w:sz w:val="20"/>
          <w:szCs w:val="20"/>
          <w:lang w:eastAsia="ru-RU"/>
        </w:rPr>
        <w:t xml:space="preserve">В любом случае вам не будет отказано в том, на что Вы имеете право, не будучи </w:t>
      </w:r>
      <w:r w:rsidRPr="00916B3A">
        <w:rPr>
          <w:rFonts w:ascii="Times New Roman" w:eastAsia="Times New Roman" w:hAnsi="Times New Roman" w:cs="Times New Roman"/>
          <w:sz w:val="20"/>
          <w:szCs w:val="20"/>
          <w:lang w:eastAsia="ru-RU"/>
        </w:rPr>
        <w:t>участником исследования.</w:t>
      </w:r>
    </w:p>
    <w:p w14:paraId="79AAC903" w14:textId="77777777" w:rsidR="00657950" w:rsidRPr="00916B3A" w:rsidRDefault="00657950" w:rsidP="00657950">
      <w:pPr>
        <w:widowControl w:val="0"/>
        <w:numPr>
          <w:ilvl w:val="0"/>
          <w:numId w:val="31"/>
        </w:numPr>
        <w:shd w:val="clear" w:color="auto" w:fill="FFFFFF"/>
        <w:tabs>
          <w:tab w:val="left" w:pos="307"/>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4"/>
          <w:sz w:val="20"/>
          <w:szCs w:val="20"/>
          <w:lang w:eastAsia="ru-RU"/>
        </w:rPr>
        <w:t>Возможно, Ваше участие в исследовании не принесёт Вам дополнительной пользы.</w:t>
      </w:r>
      <w:r w:rsidRPr="00916B3A">
        <w:rPr>
          <w:rFonts w:ascii="Times New Roman" w:eastAsia="Times New Roman" w:hAnsi="Times New Roman" w:cs="Times New Roman"/>
          <w:spacing w:val="-4"/>
          <w:sz w:val="20"/>
          <w:szCs w:val="20"/>
          <w:lang w:eastAsia="ru-RU"/>
        </w:rPr>
        <w:br/>
        <w:t xml:space="preserve">Однако в результате исследования мы можем получить знания, которые в будущем </w:t>
      </w:r>
      <w:r w:rsidRPr="00916B3A">
        <w:rPr>
          <w:rFonts w:ascii="Times New Roman" w:eastAsia="Times New Roman" w:hAnsi="Times New Roman" w:cs="Times New Roman"/>
          <w:sz w:val="20"/>
          <w:szCs w:val="20"/>
          <w:lang w:eastAsia="ru-RU"/>
        </w:rPr>
        <w:t>принесут пользу другим людям.</w:t>
      </w:r>
    </w:p>
    <w:p w14:paraId="27EE6111" w14:textId="77777777" w:rsidR="00657950" w:rsidRPr="00916B3A" w:rsidRDefault="00657950" w:rsidP="00657950">
      <w:pPr>
        <w:widowControl w:val="0"/>
        <w:numPr>
          <w:ilvl w:val="0"/>
          <w:numId w:val="32"/>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2"/>
          <w:sz w:val="20"/>
          <w:szCs w:val="20"/>
          <w:lang w:eastAsia="ru-RU"/>
        </w:rPr>
        <w:t xml:space="preserve">У некоторых людей могут быть личные, религиозные или другие взгляды, </w:t>
      </w:r>
      <w:r w:rsidRPr="00916B3A">
        <w:rPr>
          <w:rFonts w:ascii="Times New Roman" w:eastAsia="Times New Roman" w:hAnsi="Times New Roman" w:cs="Times New Roman"/>
          <w:sz w:val="20"/>
          <w:szCs w:val="20"/>
          <w:lang w:eastAsia="ru-RU"/>
        </w:rPr>
        <w:t xml:space="preserve">которые затрудняют участие в исследовании. Если у Вас есть такие взгляды, </w:t>
      </w:r>
      <w:r w:rsidRPr="00916B3A">
        <w:rPr>
          <w:rFonts w:ascii="Times New Roman" w:eastAsia="Times New Roman" w:hAnsi="Times New Roman" w:cs="Times New Roman"/>
          <w:spacing w:val="-3"/>
          <w:sz w:val="20"/>
          <w:szCs w:val="20"/>
          <w:lang w:eastAsia="ru-RU"/>
        </w:rPr>
        <w:t xml:space="preserve">пожалуйста, обсудите их со своим врачом или другими специалистами до того, как </w:t>
      </w:r>
      <w:r w:rsidRPr="00916B3A">
        <w:rPr>
          <w:rFonts w:ascii="Times New Roman" w:eastAsia="Times New Roman" w:hAnsi="Times New Roman" w:cs="Times New Roman"/>
          <w:sz w:val="20"/>
          <w:szCs w:val="20"/>
          <w:lang w:eastAsia="ru-RU"/>
        </w:rPr>
        <w:t>согласиться на участие.</w:t>
      </w:r>
    </w:p>
    <w:p w14:paraId="7F0E8F15" w14:textId="77777777" w:rsidR="00657950" w:rsidRPr="00916B3A" w:rsidRDefault="00657950" w:rsidP="00657950">
      <w:pPr>
        <w:spacing w:after="0" w:line="240" w:lineRule="auto"/>
        <w:ind w:firstLine="567"/>
        <w:rPr>
          <w:rFonts w:ascii="Times New Roman" w:eastAsia="Times New Roman" w:hAnsi="Times New Roman" w:cs="Times New Roman"/>
          <w:spacing w:val="-2"/>
          <w:sz w:val="20"/>
          <w:szCs w:val="20"/>
          <w:lang w:eastAsia="ru-RU"/>
        </w:rPr>
      </w:pPr>
      <w:r w:rsidRPr="00916B3A">
        <w:rPr>
          <w:rFonts w:ascii="Times New Roman" w:eastAsia="Times New Roman" w:hAnsi="Times New Roman" w:cs="Times New Roman"/>
          <w:spacing w:val="-2"/>
          <w:sz w:val="20"/>
          <w:szCs w:val="20"/>
          <w:lang w:eastAsia="ru-RU"/>
        </w:rPr>
        <w:t>Прежде чем Вы дадите согласие на участие в исследование, не спеша, обсудите всё с любым сотрудником данной клиники или со своими друзьями, родственниками, лечащим врачом или другими специалистами.</w:t>
      </w:r>
    </w:p>
    <w:p w14:paraId="6C940486" w14:textId="6F9577B1" w:rsidR="00657950" w:rsidRPr="00916B3A" w:rsidRDefault="00657950" w:rsidP="00657950">
      <w:pPr>
        <w:pStyle w:val="afa"/>
        <w:rPr>
          <w:rFonts w:ascii="Times New Roman" w:hAnsi="Times New Roman" w:cs="Times New Roman"/>
          <w:sz w:val="20"/>
          <w:szCs w:val="20"/>
          <w:lang w:val="kk-KZ"/>
        </w:rPr>
      </w:pPr>
      <w:r w:rsidRPr="00916B3A">
        <w:rPr>
          <w:rFonts w:ascii="Times New Roman" w:hAnsi="Times New Roman" w:cs="Times New Roman"/>
          <w:b/>
          <w:sz w:val="20"/>
          <w:szCs w:val="20"/>
        </w:rPr>
        <w:t xml:space="preserve">1. НАЗВАНИЕ ИССЛЕДОВАНИЯ: </w:t>
      </w:r>
      <w:r w:rsidRPr="00916B3A">
        <w:rPr>
          <w:rFonts w:ascii="Times New Roman" w:hAnsi="Times New Roman" w:cs="Times New Roman"/>
          <w:sz w:val="20"/>
          <w:szCs w:val="20"/>
        </w:rPr>
        <w:t>«Патогенетические аспекты нарушения рецептивности эндометрия у пациенток с репродуктивными потерями»</w:t>
      </w:r>
    </w:p>
    <w:p w14:paraId="057E781A" w14:textId="77777777" w:rsidR="00657950" w:rsidRPr="00916B3A" w:rsidRDefault="00657950" w:rsidP="00657950">
      <w:pPr>
        <w:pStyle w:val="afa"/>
        <w:rPr>
          <w:rFonts w:ascii="Times New Roman" w:hAnsi="Times New Roman" w:cs="Times New Roman"/>
          <w:sz w:val="20"/>
          <w:szCs w:val="20"/>
        </w:rPr>
      </w:pPr>
      <w:r w:rsidRPr="00916B3A">
        <w:rPr>
          <w:rFonts w:ascii="Times New Roman" w:hAnsi="Times New Roman" w:cs="Times New Roman"/>
          <w:b/>
          <w:sz w:val="20"/>
          <w:szCs w:val="20"/>
        </w:rPr>
        <w:t xml:space="preserve">2. ЦЕЛЬ ИССЛЕДОВАНИЯ: </w:t>
      </w:r>
      <w:r w:rsidRPr="00916B3A">
        <w:rPr>
          <w:rFonts w:ascii="Times New Roman" w:hAnsi="Times New Roman" w:cs="Times New Roman"/>
          <w:sz w:val="20"/>
          <w:szCs w:val="20"/>
        </w:rPr>
        <w:t xml:space="preserve">разработать предикторы нарушения рецептивности эндометрия у женщин с репродуктивными потерями на основании изучения иммунологических и эхографических показателей и разработать методические рекомендации </w:t>
      </w:r>
      <w:proofErr w:type="gramStart"/>
      <w:r w:rsidRPr="00916B3A">
        <w:rPr>
          <w:rFonts w:ascii="Times New Roman" w:hAnsi="Times New Roman" w:cs="Times New Roman"/>
          <w:sz w:val="20"/>
          <w:szCs w:val="20"/>
        </w:rPr>
        <w:t>по  ведению</w:t>
      </w:r>
      <w:proofErr w:type="gramEnd"/>
      <w:r w:rsidRPr="00916B3A">
        <w:rPr>
          <w:rFonts w:ascii="Times New Roman" w:hAnsi="Times New Roman" w:cs="Times New Roman"/>
          <w:sz w:val="20"/>
          <w:szCs w:val="20"/>
        </w:rPr>
        <w:t xml:space="preserve"> пациенток с репродуктивными потерями.</w:t>
      </w:r>
    </w:p>
    <w:p w14:paraId="5FD234D1" w14:textId="77777777" w:rsidR="00657950" w:rsidRPr="00916B3A" w:rsidRDefault="00657950" w:rsidP="00657950">
      <w:pPr>
        <w:widowControl w:val="0"/>
        <w:tabs>
          <w:tab w:val="left" w:pos="-720"/>
        </w:tabs>
        <w:autoSpaceDE w:val="0"/>
        <w:autoSpaceDN w:val="0"/>
        <w:adjustRightInd w:val="0"/>
        <w:spacing w:after="0" w:line="240" w:lineRule="auto"/>
        <w:jc w:val="both"/>
        <w:rPr>
          <w:rFonts w:ascii="Times New Roman" w:hAnsi="Times New Roman" w:cs="Times New Roman"/>
          <w:b/>
          <w:sz w:val="20"/>
          <w:szCs w:val="20"/>
        </w:rPr>
      </w:pPr>
      <w:r w:rsidRPr="00916B3A">
        <w:rPr>
          <w:rFonts w:ascii="Times New Roman" w:hAnsi="Times New Roman" w:cs="Times New Roman"/>
          <w:b/>
          <w:sz w:val="20"/>
          <w:szCs w:val="20"/>
        </w:rPr>
        <w:t xml:space="preserve">3.ОПИСАНИЕ ИССЛЕДОВАНИЯ: </w:t>
      </w:r>
    </w:p>
    <w:p w14:paraId="1E4118AF" w14:textId="77777777" w:rsidR="00657950" w:rsidRPr="00916B3A" w:rsidRDefault="00657950" w:rsidP="00657950">
      <w:pPr>
        <w:widowControl w:val="0"/>
        <w:tabs>
          <w:tab w:val="left" w:pos="-720"/>
        </w:tabs>
        <w:autoSpaceDE w:val="0"/>
        <w:autoSpaceDN w:val="0"/>
        <w:adjustRightInd w:val="0"/>
        <w:spacing w:after="0" w:line="240" w:lineRule="auto"/>
        <w:jc w:val="both"/>
        <w:rPr>
          <w:rFonts w:ascii="Times New Roman" w:hAnsi="Times New Roman" w:cs="Times New Roman"/>
          <w:sz w:val="20"/>
          <w:szCs w:val="20"/>
        </w:rPr>
      </w:pPr>
      <w:r w:rsidRPr="00916B3A">
        <w:rPr>
          <w:rFonts w:ascii="Times New Roman" w:hAnsi="Times New Roman" w:cs="Times New Roman"/>
          <w:sz w:val="20"/>
          <w:szCs w:val="20"/>
        </w:rPr>
        <w:t>1) методы исследования</w:t>
      </w:r>
      <w:r w:rsidRPr="00916B3A">
        <w:rPr>
          <w:rFonts w:ascii="Times New Roman" w:hAnsi="Times New Roman" w:cs="Times New Roman"/>
          <w:b/>
          <w:sz w:val="20"/>
          <w:szCs w:val="20"/>
        </w:rPr>
        <w:t xml:space="preserve"> – </w:t>
      </w:r>
      <w:r w:rsidRPr="00916B3A">
        <w:rPr>
          <w:rFonts w:ascii="Times New Roman" w:hAnsi="Times New Roman" w:cs="Times New Roman"/>
          <w:sz w:val="20"/>
          <w:szCs w:val="20"/>
        </w:rPr>
        <w:t>б</w:t>
      </w:r>
      <w:r w:rsidRPr="00916B3A">
        <w:rPr>
          <w:rFonts w:ascii="Times New Roman" w:eastAsia="TimesNewRomanPSMT" w:hAnsi="Times New Roman" w:cs="Times New Roman"/>
          <w:sz w:val="20"/>
          <w:szCs w:val="20"/>
        </w:rPr>
        <w:t>актериоскопический анализ мазка из влагалища</w:t>
      </w:r>
      <w:r w:rsidRPr="00916B3A">
        <w:rPr>
          <w:rFonts w:ascii="Times New Roman" w:hAnsi="Times New Roman" w:cs="Times New Roman"/>
          <w:sz w:val="20"/>
          <w:szCs w:val="20"/>
        </w:rPr>
        <w:t xml:space="preserve">; взятие ткани внутренней оболочки матки с помощью катетера, введенного в матку через шейку матки; исследования лимфоцитов внутреннего слоя матки; </w:t>
      </w:r>
    </w:p>
    <w:p w14:paraId="425CB47C" w14:textId="77777777" w:rsidR="00657950" w:rsidRPr="00916B3A" w:rsidRDefault="00657950" w:rsidP="00657950">
      <w:pPr>
        <w:widowControl w:val="0"/>
        <w:tabs>
          <w:tab w:val="left" w:pos="-720"/>
        </w:tabs>
        <w:autoSpaceDE w:val="0"/>
        <w:autoSpaceDN w:val="0"/>
        <w:adjustRightInd w:val="0"/>
        <w:spacing w:after="0" w:line="240" w:lineRule="auto"/>
        <w:jc w:val="both"/>
        <w:rPr>
          <w:rFonts w:ascii="Times New Roman" w:hAnsi="Times New Roman" w:cs="Times New Roman"/>
          <w:sz w:val="20"/>
          <w:szCs w:val="20"/>
        </w:rPr>
      </w:pPr>
      <w:r w:rsidRPr="00916B3A">
        <w:rPr>
          <w:rFonts w:ascii="Times New Roman" w:hAnsi="Times New Roman" w:cs="Times New Roman"/>
          <w:sz w:val="20"/>
          <w:szCs w:val="20"/>
        </w:rPr>
        <w:t>2)  в зависимости от результата иммунологического исследования будет назначена дифференцированная иммунокоррекция</w:t>
      </w:r>
      <w:r w:rsidRPr="00916B3A">
        <w:rPr>
          <w:rFonts w:ascii="Times New Roman" w:eastAsia="Cambria" w:hAnsi="Times New Roman" w:cs="Times New Roman"/>
          <w:sz w:val="20"/>
          <w:szCs w:val="20"/>
        </w:rPr>
        <w:t>;</w:t>
      </w:r>
    </w:p>
    <w:p w14:paraId="7984DAC0" w14:textId="77777777" w:rsidR="00657950" w:rsidRPr="00916B3A" w:rsidRDefault="00657950" w:rsidP="00657950">
      <w:pPr>
        <w:shd w:val="clear" w:color="auto" w:fill="FFFFFF"/>
        <w:spacing w:after="0" w:line="240" w:lineRule="auto"/>
        <w:jc w:val="both"/>
        <w:rPr>
          <w:rFonts w:ascii="Times New Roman" w:eastAsia="Cambria" w:hAnsi="Times New Roman" w:cs="Times New Roman"/>
          <w:sz w:val="20"/>
          <w:szCs w:val="20"/>
        </w:rPr>
      </w:pPr>
      <w:r w:rsidRPr="00916B3A">
        <w:rPr>
          <w:rFonts w:ascii="Times New Roman" w:hAnsi="Times New Roman" w:cs="Times New Roman"/>
          <w:sz w:val="20"/>
          <w:szCs w:val="20"/>
        </w:rPr>
        <w:t xml:space="preserve">3) </w:t>
      </w:r>
      <w:r w:rsidRPr="00916B3A">
        <w:rPr>
          <w:rFonts w:ascii="Times New Roman" w:eastAsia="Cambria" w:hAnsi="Times New Roman" w:cs="Times New Roman"/>
          <w:sz w:val="20"/>
          <w:szCs w:val="20"/>
        </w:rPr>
        <w:t xml:space="preserve">процедура исследования: </w:t>
      </w:r>
      <w:r w:rsidRPr="00916B3A">
        <w:rPr>
          <w:rFonts w:ascii="Times New Roman" w:hAnsi="Times New Roman" w:cs="Times New Roman"/>
          <w:sz w:val="20"/>
          <w:szCs w:val="20"/>
          <w:shd w:val="clear" w:color="auto" w:fill="FFFFFF"/>
        </w:rPr>
        <w:t>взятие материала проводится методом пайпель-биопсии без обезболивания: через шейку матки в полость матки вставляется катетер, вливается солевой раствор в объеме 10 мл, остаточный солевой раствор отсасывают с помощью шприца, образцы ткани из шприца переносят в пробирку для дальнейшего исследования (продолжительность – 5-10 мин)</w:t>
      </w:r>
      <w:r w:rsidRPr="00916B3A">
        <w:rPr>
          <w:rFonts w:ascii="Times New Roman" w:eastAsia="Cambria" w:hAnsi="Times New Roman" w:cs="Times New Roman"/>
          <w:sz w:val="20"/>
          <w:szCs w:val="20"/>
        </w:rPr>
        <w:t>;</w:t>
      </w:r>
    </w:p>
    <w:p w14:paraId="78C8F28E" w14:textId="77777777" w:rsidR="00657950" w:rsidRPr="00916B3A" w:rsidRDefault="00657950" w:rsidP="00657950">
      <w:pPr>
        <w:widowControl w:val="0"/>
        <w:autoSpaceDE w:val="0"/>
        <w:autoSpaceDN w:val="0"/>
        <w:adjustRightInd w:val="0"/>
        <w:spacing w:after="0" w:line="240" w:lineRule="auto"/>
        <w:jc w:val="both"/>
        <w:rPr>
          <w:rFonts w:ascii="Times New Roman" w:eastAsia="Cambria" w:hAnsi="Times New Roman" w:cs="Times New Roman"/>
          <w:sz w:val="20"/>
          <w:szCs w:val="20"/>
        </w:rPr>
      </w:pPr>
      <w:r w:rsidRPr="00916B3A">
        <w:rPr>
          <w:rFonts w:ascii="Times New Roman" w:eastAsia="Cambria" w:hAnsi="Times New Roman" w:cs="Times New Roman"/>
          <w:sz w:val="20"/>
          <w:szCs w:val="20"/>
        </w:rPr>
        <w:t>4) данные и образцы тканей организма будут сохраняться для будущих целей;</w:t>
      </w:r>
    </w:p>
    <w:p w14:paraId="500E26B3" w14:textId="77777777" w:rsidR="00657950" w:rsidRPr="00916B3A" w:rsidRDefault="00657950" w:rsidP="00657950">
      <w:pPr>
        <w:widowControl w:val="0"/>
        <w:tabs>
          <w:tab w:val="left" w:pos="-720"/>
        </w:tabs>
        <w:autoSpaceDE w:val="0"/>
        <w:autoSpaceDN w:val="0"/>
        <w:adjustRightInd w:val="0"/>
        <w:spacing w:after="0" w:line="240" w:lineRule="auto"/>
        <w:jc w:val="both"/>
        <w:rPr>
          <w:rFonts w:ascii="Times New Roman" w:eastAsia="Cambria" w:hAnsi="Times New Roman" w:cs="Times New Roman"/>
          <w:sz w:val="20"/>
          <w:szCs w:val="20"/>
        </w:rPr>
      </w:pPr>
      <w:r w:rsidRPr="00916B3A">
        <w:rPr>
          <w:rFonts w:ascii="Times New Roman" w:eastAsia="Cambria" w:hAnsi="Times New Roman" w:cs="Times New Roman"/>
          <w:sz w:val="20"/>
          <w:szCs w:val="20"/>
        </w:rPr>
        <w:t xml:space="preserve">5) Вы должны дать согласие на использование Ваших данных в будущем; </w:t>
      </w:r>
    </w:p>
    <w:p w14:paraId="49EF7745" w14:textId="77777777" w:rsidR="00657950" w:rsidRPr="00916B3A" w:rsidRDefault="00657950" w:rsidP="00657950">
      <w:pPr>
        <w:pStyle w:val="a9"/>
        <w:shd w:val="clear" w:color="auto" w:fill="FFFFFF"/>
        <w:spacing w:before="0" w:beforeAutospacing="0" w:after="0" w:afterAutospacing="0"/>
        <w:rPr>
          <w:sz w:val="20"/>
          <w:szCs w:val="20"/>
        </w:rPr>
      </w:pPr>
      <w:r w:rsidRPr="00916B3A">
        <w:rPr>
          <w:rFonts w:eastAsia="Cambria"/>
          <w:sz w:val="20"/>
          <w:szCs w:val="20"/>
        </w:rPr>
        <w:t>6) Ваши обязанности: поставить в известность врача обо всех проблемах, связанных со здоровьем, наследственностью, аллергии, непереносимости лекарственных препаратов и продуктов питания, а также о курении табака, злоупотреблении алкоголем или наркотическими препаратами.  Перед исследованием: з</w:t>
      </w:r>
      <w:r w:rsidRPr="00916B3A">
        <w:rPr>
          <w:sz w:val="20"/>
          <w:szCs w:val="20"/>
        </w:rPr>
        <w:t>а 1 неделю до обследования не проводите спринцеваний и откажитесь от использования любых средств интимной гигиены; прекратите использование любых лекарств в виде вагинальных свечей, таблеток или спреев.</w:t>
      </w:r>
    </w:p>
    <w:p w14:paraId="02BF6E88" w14:textId="77777777" w:rsidR="00657950" w:rsidRPr="00916B3A" w:rsidRDefault="00657950" w:rsidP="00657950">
      <w:pPr>
        <w:pStyle w:val="-1"/>
        <w:jc w:val="left"/>
        <w:rPr>
          <w:rFonts w:eastAsia="Calibri"/>
          <w:b w:val="0"/>
          <w:bCs w:val="0"/>
          <w:sz w:val="20"/>
          <w:szCs w:val="20"/>
        </w:rPr>
      </w:pPr>
      <w:r w:rsidRPr="00916B3A">
        <w:rPr>
          <w:rFonts w:eastAsia="Calibri"/>
          <w:b w:val="0"/>
          <w:bCs w:val="0"/>
          <w:sz w:val="20"/>
          <w:szCs w:val="20"/>
        </w:rPr>
        <w:t>8)УЗИ идопплерометрия сосудов матки на 20-24 день цикла.</w:t>
      </w:r>
    </w:p>
    <w:p w14:paraId="0500106E" w14:textId="77777777" w:rsidR="00657950" w:rsidRPr="00916B3A" w:rsidRDefault="00657950" w:rsidP="00657950">
      <w:pPr>
        <w:pStyle w:val="a9"/>
        <w:shd w:val="clear" w:color="auto" w:fill="FFFFFF"/>
        <w:spacing w:before="0" w:beforeAutospacing="0" w:after="0" w:afterAutospacing="0"/>
        <w:rPr>
          <w:sz w:val="20"/>
          <w:szCs w:val="20"/>
        </w:rPr>
      </w:pPr>
    </w:p>
    <w:p w14:paraId="6E830834" w14:textId="77777777" w:rsidR="00657950" w:rsidRPr="00916B3A" w:rsidRDefault="00657950" w:rsidP="00657950">
      <w:pPr>
        <w:pStyle w:val="a9"/>
        <w:shd w:val="clear" w:color="auto" w:fill="FFFFFF"/>
        <w:spacing w:before="0" w:beforeAutospacing="0" w:after="0" w:afterAutospacing="0"/>
        <w:rPr>
          <w:sz w:val="20"/>
          <w:szCs w:val="20"/>
        </w:rPr>
      </w:pPr>
      <w:r w:rsidRPr="00916B3A">
        <w:rPr>
          <w:sz w:val="20"/>
          <w:szCs w:val="20"/>
        </w:rPr>
        <w:t>9)</w:t>
      </w:r>
      <w:r w:rsidRPr="00916B3A">
        <w:rPr>
          <w:rFonts w:eastAsia="Cambria"/>
          <w:sz w:val="20"/>
          <w:szCs w:val="20"/>
        </w:rPr>
        <w:t xml:space="preserve"> П</w:t>
      </w:r>
      <w:r w:rsidRPr="00916B3A">
        <w:rPr>
          <w:sz w:val="20"/>
          <w:szCs w:val="20"/>
        </w:rPr>
        <w:t>родолжительность участия в исследовании – 1 день;</w:t>
      </w:r>
    </w:p>
    <w:p w14:paraId="33DEA539" w14:textId="77777777" w:rsidR="00657950" w:rsidRPr="00916B3A" w:rsidRDefault="00657950" w:rsidP="00657950">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10) Планируемое количество испытуемых в исследовании – 100 (60 – основная группа, 40 – контрольная);</w:t>
      </w:r>
    </w:p>
    <w:p w14:paraId="7F754D73" w14:textId="77777777" w:rsidR="00657950" w:rsidRPr="00916B3A" w:rsidRDefault="00657950" w:rsidP="00657950">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11) участие в исследовании является препятствием для участия в других исследованиях.</w:t>
      </w:r>
    </w:p>
    <w:p w14:paraId="52293B7F" w14:textId="77777777" w:rsidR="00657950" w:rsidRPr="00916B3A" w:rsidRDefault="00657950" w:rsidP="00657950">
      <w:pPr>
        <w:spacing w:after="0" w:line="240" w:lineRule="auto"/>
        <w:rPr>
          <w:rFonts w:ascii="Times New Roman" w:hAnsi="Times New Roman" w:cs="Times New Roman"/>
          <w:sz w:val="20"/>
          <w:szCs w:val="20"/>
        </w:rPr>
      </w:pPr>
      <w:r w:rsidRPr="00916B3A">
        <w:rPr>
          <w:rFonts w:ascii="Times New Roman" w:hAnsi="Times New Roman" w:cs="Times New Roman"/>
          <w:b/>
          <w:sz w:val="20"/>
          <w:szCs w:val="20"/>
        </w:rPr>
        <w:t xml:space="preserve">4.УСЛОВИЯ ОПЛАТЫ/ВОЗМОЖНЫЕ </w:t>
      </w:r>
      <w:proofErr w:type="gramStart"/>
      <w:r w:rsidRPr="00916B3A">
        <w:rPr>
          <w:rFonts w:ascii="Times New Roman" w:hAnsi="Times New Roman" w:cs="Times New Roman"/>
          <w:b/>
          <w:sz w:val="20"/>
          <w:szCs w:val="20"/>
        </w:rPr>
        <w:t xml:space="preserve">РАСХОДЫ:  </w:t>
      </w:r>
      <w:r w:rsidRPr="00916B3A">
        <w:rPr>
          <w:rFonts w:ascii="Times New Roman" w:hAnsi="Times New Roman" w:cs="Times New Roman"/>
          <w:sz w:val="20"/>
          <w:szCs w:val="20"/>
        </w:rPr>
        <w:t>с</w:t>
      </w:r>
      <w:proofErr w:type="gramEnd"/>
      <w:r w:rsidRPr="00916B3A">
        <w:rPr>
          <w:rFonts w:ascii="Times New Roman" w:hAnsi="Times New Roman" w:cs="Times New Roman"/>
          <w:sz w:val="20"/>
          <w:szCs w:val="20"/>
        </w:rPr>
        <w:t xml:space="preserve"> Вашей стороны расходы и оплата за участие не предусмотрены. </w:t>
      </w:r>
    </w:p>
    <w:p w14:paraId="12DC67C2" w14:textId="77777777" w:rsidR="00657950" w:rsidRPr="00916B3A" w:rsidRDefault="00657950" w:rsidP="00657950">
      <w:pPr>
        <w:shd w:val="clear" w:color="auto" w:fill="FFFFFF"/>
        <w:spacing w:after="0" w:line="240" w:lineRule="auto"/>
        <w:jc w:val="both"/>
        <w:rPr>
          <w:rFonts w:ascii="Times New Roman" w:hAnsi="Times New Roman" w:cs="Times New Roman"/>
          <w:sz w:val="20"/>
          <w:szCs w:val="20"/>
        </w:rPr>
      </w:pPr>
      <w:r w:rsidRPr="00916B3A">
        <w:rPr>
          <w:rFonts w:ascii="Times New Roman" w:hAnsi="Times New Roman" w:cs="Times New Roman"/>
          <w:b/>
          <w:sz w:val="20"/>
          <w:szCs w:val="20"/>
        </w:rPr>
        <w:t xml:space="preserve">5.ПРЕДСКАЗУЕМЫЕ РИСКИ И </w:t>
      </w:r>
      <w:proofErr w:type="gramStart"/>
      <w:r w:rsidRPr="00916B3A">
        <w:rPr>
          <w:rFonts w:ascii="Times New Roman" w:hAnsi="Times New Roman" w:cs="Times New Roman"/>
          <w:b/>
          <w:sz w:val="20"/>
          <w:szCs w:val="20"/>
        </w:rPr>
        <w:t xml:space="preserve">НЕУДОБСТВА:  </w:t>
      </w:r>
      <w:r w:rsidRPr="00916B3A">
        <w:rPr>
          <w:rFonts w:ascii="Times New Roman" w:hAnsi="Times New Roman" w:cs="Times New Roman"/>
          <w:sz w:val="20"/>
          <w:szCs w:val="20"/>
          <w:shd w:val="clear" w:color="auto" w:fill="FFFFFF"/>
        </w:rPr>
        <w:t>В</w:t>
      </w:r>
      <w:proofErr w:type="gramEnd"/>
      <w:r w:rsidRPr="00916B3A">
        <w:rPr>
          <w:rFonts w:ascii="Times New Roman" w:hAnsi="Times New Roman" w:cs="Times New Roman"/>
          <w:sz w:val="20"/>
          <w:szCs w:val="20"/>
          <w:shd w:val="clear" w:color="auto" w:fill="FFFFFF"/>
        </w:rPr>
        <w:t xml:space="preserve"> течение нескольких дней после осмотра внутреннего слоя матки возможно появление скудных, кровянистых или слизистых выделений из влагалища. Также возможны незначительные боли в области промежности или внизу живота. Как правило, эти симптомы быстро проходят и не требуют никакого специального лечения. При сильных болях можно принять обезболивающее (например, 1 таблетку ибупрофена).</w:t>
      </w:r>
    </w:p>
    <w:p w14:paraId="2C85312E" w14:textId="77777777" w:rsidR="00657950" w:rsidRPr="00916B3A" w:rsidRDefault="00657950" w:rsidP="00657950">
      <w:pPr>
        <w:spacing w:after="0" w:line="240" w:lineRule="auto"/>
        <w:jc w:val="both"/>
        <w:rPr>
          <w:rFonts w:ascii="Times New Roman" w:hAnsi="Times New Roman" w:cs="Times New Roman"/>
          <w:b/>
          <w:sz w:val="20"/>
          <w:szCs w:val="20"/>
        </w:rPr>
      </w:pPr>
      <w:r w:rsidRPr="00916B3A">
        <w:rPr>
          <w:rFonts w:ascii="Times New Roman" w:hAnsi="Times New Roman" w:cs="Times New Roman"/>
          <w:b/>
          <w:sz w:val="20"/>
          <w:szCs w:val="20"/>
        </w:rPr>
        <w:t xml:space="preserve">6. ОЖИДАЕМАЯ ПОЛЬЗА: </w:t>
      </w:r>
      <w:r w:rsidRPr="00916B3A">
        <w:rPr>
          <w:rFonts w:ascii="Times New Roman" w:hAnsi="Times New Roman" w:cs="Times New Roman"/>
          <w:sz w:val="20"/>
          <w:szCs w:val="20"/>
          <w:lang w:eastAsia="ko-KR"/>
        </w:rPr>
        <w:t xml:space="preserve">Будут уточнены дополнительные причины невынашивания беременности и, на основании которых будут разработаны </w:t>
      </w:r>
      <w:r w:rsidRPr="00916B3A">
        <w:rPr>
          <w:rFonts w:ascii="Times New Roman" w:hAnsi="Times New Roman" w:cs="Times New Roman"/>
          <w:sz w:val="20"/>
          <w:szCs w:val="20"/>
          <w:lang w:val="kk-KZ" w:eastAsia="ko-KR"/>
        </w:rPr>
        <w:t xml:space="preserve">рекомендации по дифференцированной иммунокоррекции в комплексе подготовки к беременности у пациенток с невынашиванием беременности.  </w:t>
      </w:r>
    </w:p>
    <w:p w14:paraId="0CBC71EE" w14:textId="77777777" w:rsidR="00657950" w:rsidRPr="00916B3A" w:rsidRDefault="00657950" w:rsidP="00657950">
      <w:pPr>
        <w:spacing w:after="0" w:line="240" w:lineRule="auto"/>
        <w:rPr>
          <w:rFonts w:ascii="Times New Roman" w:eastAsia="Times New Roman" w:hAnsi="Times New Roman" w:cs="Times New Roman"/>
          <w:sz w:val="20"/>
          <w:szCs w:val="20"/>
          <w:lang w:eastAsia="ru-RU"/>
        </w:rPr>
      </w:pPr>
      <w:r w:rsidRPr="00916B3A">
        <w:rPr>
          <w:rFonts w:ascii="Times New Roman" w:hAnsi="Times New Roman" w:cs="Times New Roman"/>
          <w:b/>
          <w:sz w:val="20"/>
          <w:szCs w:val="20"/>
        </w:rPr>
        <w:t xml:space="preserve">7. АЛЬТЕРНАТИВЫ К УЧАСТИЮ В </w:t>
      </w:r>
      <w:proofErr w:type="gramStart"/>
      <w:r w:rsidRPr="00916B3A">
        <w:rPr>
          <w:rFonts w:ascii="Times New Roman" w:hAnsi="Times New Roman" w:cs="Times New Roman"/>
          <w:b/>
          <w:sz w:val="20"/>
          <w:szCs w:val="20"/>
        </w:rPr>
        <w:t xml:space="preserve">ИССЛЕДОВАНИИ:  </w:t>
      </w:r>
      <w:r w:rsidRPr="00916B3A">
        <w:rPr>
          <w:rFonts w:ascii="Times New Roman" w:hAnsi="Times New Roman" w:cs="Times New Roman"/>
          <w:sz w:val="20"/>
          <w:szCs w:val="20"/>
        </w:rPr>
        <w:t>Вы</w:t>
      </w:r>
      <w:r w:rsidRPr="00916B3A">
        <w:rPr>
          <w:rFonts w:ascii="Times New Roman" w:eastAsia="Times New Roman" w:hAnsi="Times New Roman" w:cs="Times New Roman"/>
          <w:sz w:val="20"/>
          <w:szCs w:val="20"/>
          <w:lang w:eastAsia="ru-RU"/>
        </w:rPr>
        <w:t>имеете</w:t>
      </w:r>
      <w:proofErr w:type="gramEnd"/>
      <w:r w:rsidRPr="00916B3A">
        <w:rPr>
          <w:rFonts w:ascii="Times New Roman" w:eastAsia="Times New Roman" w:hAnsi="Times New Roman" w:cs="Times New Roman"/>
          <w:sz w:val="20"/>
          <w:szCs w:val="20"/>
          <w:lang w:eastAsia="ru-RU"/>
        </w:rPr>
        <w:t xml:space="preserve"> право не участвовать в исследовании</w:t>
      </w:r>
    </w:p>
    <w:p w14:paraId="346B5E20" w14:textId="77777777" w:rsidR="00657950" w:rsidRPr="00916B3A" w:rsidRDefault="00657950" w:rsidP="00657950">
      <w:pPr>
        <w:spacing w:after="0" w:line="240" w:lineRule="auto"/>
        <w:rPr>
          <w:rFonts w:ascii="Times New Roman" w:hAnsi="Times New Roman" w:cs="Times New Roman"/>
          <w:b/>
          <w:sz w:val="20"/>
          <w:szCs w:val="20"/>
        </w:rPr>
      </w:pPr>
      <w:r w:rsidRPr="00916B3A">
        <w:rPr>
          <w:rFonts w:ascii="Times New Roman" w:hAnsi="Times New Roman" w:cs="Times New Roman"/>
          <w:b/>
          <w:sz w:val="20"/>
          <w:szCs w:val="20"/>
        </w:rPr>
        <w:t xml:space="preserve">8.ПОЛОЖЕНИЕ О ПРАВАХ </w:t>
      </w:r>
      <w:proofErr w:type="gramStart"/>
      <w:r w:rsidRPr="00916B3A">
        <w:rPr>
          <w:rFonts w:ascii="Times New Roman" w:hAnsi="Times New Roman" w:cs="Times New Roman"/>
          <w:b/>
          <w:sz w:val="20"/>
          <w:szCs w:val="20"/>
        </w:rPr>
        <w:t xml:space="preserve">УЧАСТНИКОВ:  </w:t>
      </w:r>
      <w:r w:rsidRPr="00916B3A">
        <w:rPr>
          <w:rFonts w:ascii="Times New Roman" w:hAnsi="Times New Roman" w:cs="Times New Roman"/>
          <w:sz w:val="20"/>
          <w:szCs w:val="20"/>
        </w:rPr>
        <w:t>Участие</w:t>
      </w:r>
      <w:r w:rsidRPr="00916B3A">
        <w:rPr>
          <w:rFonts w:ascii="Times New Roman" w:eastAsia="Times New Roman" w:hAnsi="Times New Roman" w:cs="Times New Roman"/>
          <w:spacing w:val="-1"/>
          <w:sz w:val="20"/>
          <w:szCs w:val="20"/>
          <w:lang w:eastAsia="ru-RU"/>
        </w:rPr>
        <w:t>в</w:t>
      </w:r>
      <w:proofErr w:type="gramEnd"/>
      <w:r w:rsidRPr="00916B3A">
        <w:rPr>
          <w:rFonts w:ascii="Times New Roman" w:eastAsia="Times New Roman" w:hAnsi="Times New Roman" w:cs="Times New Roman"/>
          <w:spacing w:val="-1"/>
          <w:sz w:val="20"/>
          <w:szCs w:val="20"/>
          <w:lang w:eastAsia="ru-RU"/>
        </w:rPr>
        <w:t xml:space="preserve"> данном исследовании является добровольным. Вы можете </w:t>
      </w:r>
      <w:r w:rsidRPr="00916B3A">
        <w:rPr>
          <w:rFonts w:ascii="Times New Roman" w:eastAsia="Times New Roman" w:hAnsi="Times New Roman" w:cs="Times New Roman"/>
          <w:spacing w:val="-3"/>
          <w:sz w:val="20"/>
          <w:szCs w:val="20"/>
          <w:lang w:eastAsia="ru-RU"/>
        </w:rPr>
        <w:t xml:space="preserve">отказаться от участия в исследовании или прекратить участие в любое время. В любом </w:t>
      </w:r>
      <w:r w:rsidRPr="00916B3A">
        <w:rPr>
          <w:rFonts w:ascii="Times New Roman" w:eastAsia="Times New Roman" w:hAnsi="Times New Roman" w:cs="Times New Roman"/>
          <w:spacing w:val="-2"/>
          <w:sz w:val="20"/>
          <w:szCs w:val="20"/>
          <w:lang w:eastAsia="ru-RU"/>
        </w:rPr>
        <w:t xml:space="preserve">случае Вам не будет отказано в том, на что Вы имеете право, не будучи </w:t>
      </w:r>
      <w:r w:rsidRPr="00916B3A">
        <w:rPr>
          <w:rFonts w:ascii="Times New Roman" w:eastAsia="Times New Roman" w:hAnsi="Times New Roman" w:cs="Times New Roman"/>
          <w:spacing w:val="-3"/>
          <w:sz w:val="20"/>
          <w:szCs w:val="20"/>
          <w:lang w:eastAsia="ru-RU"/>
        </w:rPr>
        <w:t>участником исследования.</w:t>
      </w:r>
    </w:p>
    <w:p w14:paraId="1606C0FA"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hAnsi="Times New Roman" w:cs="Times New Roman"/>
          <w:b/>
          <w:sz w:val="20"/>
          <w:szCs w:val="20"/>
        </w:rPr>
        <w:t xml:space="preserve">9.КОНФИДЕНЦИАЛЬНОСТЬ: </w:t>
      </w:r>
      <w:r w:rsidRPr="00916B3A">
        <w:rPr>
          <w:rFonts w:ascii="Times New Roman" w:eastAsia="Times New Roman" w:hAnsi="Times New Roman" w:cs="Times New Roman"/>
          <w:sz w:val="20"/>
          <w:szCs w:val="20"/>
          <w:lang w:eastAsia="ru-RU"/>
        </w:rPr>
        <w:t>Информация о Вашем участии в исследовании является конфиденциальной. Мы гарантируем, что Ваше имя не будет указано при публикации результатов исследования. Информация, полученная в результате этого исследования (материалы исследования), считается конфиденциальной и будет храниться в надлежащих условиях, предусмотренных законом. Однако, эти материалы исследования и Ваша личная медицинская документация могут быть доступны для проверок официальными инстанциями (Министерство здравоохранения), агентством или компанией, спонсирующей это исследование, людьми, которые уполномочены контролировать исследование или этической комиссии НЦАГиПв рамках действующих законов или инструкций.</w:t>
      </w:r>
    </w:p>
    <w:p w14:paraId="1C25F803" w14:textId="77777777" w:rsidR="00657950" w:rsidRPr="00916B3A" w:rsidRDefault="00657950" w:rsidP="00657950">
      <w:pPr>
        <w:spacing w:after="0" w:line="240" w:lineRule="auto"/>
        <w:rPr>
          <w:rFonts w:ascii="Times New Roman" w:hAnsi="Times New Roman" w:cs="Times New Roman"/>
          <w:b/>
          <w:sz w:val="20"/>
          <w:szCs w:val="20"/>
        </w:rPr>
      </w:pPr>
      <w:r w:rsidRPr="00916B3A">
        <w:rPr>
          <w:rFonts w:ascii="Times New Roman" w:hAnsi="Times New Roman" w:cs="Times New Roman"/>
          <w:b/>
          <w:sz w:val="20"/>
          <w:szCs w:val="20"/>
        </w:rPr>
        <w:t xml:space="preserve">10.КОМПЕНСАЦИЯ/ЛЕЧЕНИЕ: </w:t>
      </w:r>
      <w:r w:rsidRPr="00916B3A">
        <w:rPr>
          <w:rFonts w:ascii="Times New Roman" w:eastAsia="Times New Roman" w:hAnsi="Times New Roman" w:cs="Times New Roman"/>
          <w:sz w:val="20"/>
          <w:szCs w:val="20"/>
          <w:lang w:eastAsia="ru-RU"/>
        </w:rPr>
        <w:t xml:space="preserve">Если Вы полагаете, что получили вред здоровью, связанный с этим исследованием, как участник этого исследования, то Вам следует связаться с Мошкаловой Гаухар </w:t>
      </w:r>
      <w:proofErr w:type="gramStart"/>
      <w:r w:rsidRPr="00916B3A">
        <w:rPr>
          <w:rFonts w:ascii="Times New Roman" w:eastAsia="Times New Roman" w:hAnsi="Times New Roman" w:cs="Times New Roman"/>
          <w:sz w:val="20"/>
          <w:szCs w:val="20"/>
          <w:lang w:eastAsia="ru-RU"/>
        </w:rPr>
        <w:t>Надирбековны,  по</w:t>
      </w:r>
      <w:proofErr w:type="gramEnd"/>
      <w:r w:rsidRPr="00916B3A">
        <w:rPr>
          <w:rFonts w:ascii="Times New Roman" w:eastAsia="Times New Roman" w:hAnsi="Times New Roman" w:cs="Times New Roman"/>
          <w:sz w:val="20"/>
          <w:szCs w:val="20"/>
          <w:lang w:eastAsia="ru-RU"/>
        </w:rPr>
        <w:t xml:space="preserve"> номеру телефона 87013550107</w:t>
      </w:r>
    </w:p>
    <w:p w14:paraId="77A83F9D" w14:textId="77777777" w:rsidR="00657950" w:rsidRPr="00916B3A" w:rsidRDefault="00657950" w:rsidP="00657950">
      <w:pPr>
        <w:spacing w:after="0" w:line="240" w:lineRule="auto"/>
        <w:rPr>
          <w:rFonts w:ascii="Times New Roman" w:hAnsi="Times New Roman" w:cs="Times New Roman"/>
          <w:b/>
          <w:sz w:val="20"/>
          <w:szCs w:val="20"/>
        </w:rPr>
      </w:pPr>
      <w:r w:rsidRPr="00916B3A">
        <w:rPr>
          <w:rFonts w:ascii="Times New Roman" w:hAnsi="Times New Roman" w:cs="Times New Roman"/>
          <w:b/>
          <w:sz w:val="20"/>
          <w:szCs w:val="20"/>
        </w:rPr>
        <w:t xml:space="preserve">11.ДОБРОВОЛЬНОЕ УЧАСТИЕ: Участие </w:t>
      </w:r>
      <w:r w:rsidRPr="00916B3A">
        <w:rPr>
          <w:rFonts w:ascii="Times New Roman" w:eastAsia="Times New Roman" w:hAnsi="Times New Roman" w:cs="Times New Roman"/>
          <w:spacing w:val="-1"/>
          <w:sz w:val="20"/>
          <w:szCs w:val="20"/>
          <w:lang w:eastAsia="ru-RU"/>
        </w:rPr>
        <w:t xml:space="preserve">в данном исследовании является добровольным. Вы можете </w:t>
      </w:r>
      <w:r w:rsidRPr="00916B3A">
        <w:rPr>
          <w:rFonts w:ascii="Times New Roman" w:eastAsia="Times New Roman" w:hAnsi="Times New Roman" w:cs="Times New Roman"/>
          <w:spacing w:val="-3"/>
          <w:sz w:val="20"/>
          <w:szCs w:val="20"/>
          <w:lang w:eastAsia="ru-RU"/>
        </w:rPr>
        <w:t xml:space="preserve">отказаться от участия в исследовании или прекратить участие в любое время. В любом </w:t>
      </w:r>
      <w:r w:rsidRPr="00916B3A">
        <w:rPr>
          <w:rFonts w:ascii="Times New Roman" w:eastAsia="Times New Roman" w:hAnsi="Times New Roman" w:cs="Times New Roman"/>
          <w:spacing w:val="-2"/>
          <w:sz w:val="20"/>
          <w:szCs w:val="20"/>
          <w:lang w:eastAsia="ru-RU"/>
        </w:rPr>
        <w:t xml:space="preserve">случае Вам не будет отказано в том, на что Вы имеете право, не будучи </w:t>
      </w:r>
      <w:r w:rsidRPr="00916B3A">
        <w:rPr>
          <w:rFonts w:ascii="Times New Roman" w:eastAsia="Times New Roman" w:hAnsi="Times New Roman" w:cs="Times New Roman"/>
          <w:spacing w:val="-3"/>
          <w:sz w:val="20"/>
          <w:szCs w:val="20"/>
          <w:lang w:eastAsia="ru-RU"/>
        </w:rPr>
        <w:t>участником исследования.</w:t>
      </w:r>
    </w:p>
    <w:p w14:paraId="0C9D508A" w14:textId="77777777" w:rsidR="00657950" w:rsidRPr="00916B3A" w:rsidRDefault="00657950" w:rsidP="00657950">
      <w:pPr>
        <w:spacing w:after="0" w:line="240" w:lineRule="auto"/>
        <w:rPr>
          <w:rFonts w:ascii="Times New Roman" w:hAnsi="Times New Roman" w:cs="Times New Roman"/>
          <w:b/>
          <w:sz w:val="20"/>
          <w:szCs w:val="20"/>
        </w:rPr>
      </w:pPr>
      <w:r w:rsidRPr="00916B3A">
        <w:rPr>
          <w:rFonts w:ascii="Times New Roman" w:hAnsi="Times New Roman" w:cs="Times New Roman"/>
          <w:b/>
          <w:sz w:val="20"/>
          <w:szCs w:val="20"/>
        </w:rPr>
        <w:t xml:space="preserve">12.ЗАВЕРШЕНИЕ УЧАСТИЯ: </w:t>
      </w:r>
      <w:r w:rsidRPr="00916B3A">
        <w:rPr>
          <w:rFonts w:ascii="Times New Roman" w:eastAsia="Times New Roman" w:hAnsi="Times New Roman" w:cs="Times New Roman"/>
          <w:sz w:val="20"/>
          <w:szCs w:val="20"/>
          <w:lang w:eastAsia="ru-RU"/>
        </w:rPr>
        <w:t>Вы можете прекратить участие в исследовании в любое время без каких-либо отрицательных последствий для Вас.</w:t>
      </w:r>
      <w:r w:rsidRPr="00916B3A">
        <w:rPr>
          <w:rFonts w:ascii="Times New Roman" w:eastAsia="Times New Roman" w:hAnsi="Times New Roman" w:cs="Times New Roman"/>
          <w:spacing w:val="-3"/>
          <w:sz w:val="20"/>
          <w:szCs w:val="20"/>
          <w:lang w:eastAsia="ru-RU"/>
        </w:rPr>
        <w:t xml:space="preserve"> Отказ от участия не отразится никоим образом на отношениях к Вам Вашего врача и медицинских работников и Вам не будет отказано в медицинских услугах, на которые Вы имеете право.</w:t>
      </w:r>
    </w:p>
    <w:p w14:paraId="3AAE25D2" w14:textId="4C1EC946" w:rsidR="008F197E" w:rsidRPr="00916B3A" w:rsidRDefault="00657950" w:rsidP="00657950">
      <w:pPr>
        <w:widowControl w:val="0"/>
        <w:autoSpaceDE w:val="0"/>
        <w:autoSpaceDN w:val="0"/>
        <w:adjustRightInd w:val="0"/>
        <w:spacing w:after="0" w:line="240" w:lineRule="auto"/>
        <w:rPr>
          <w:rFonts w:ascii="Times New Roman" w:eastAsia="Times New Roman" w:hAnsi="Times New Roman" w:cs="Times New Roman"/>
          <w:b/>
          <w:i/>
          <w:sz w:val="20"/>
          <w:szCs w:val="20"/>
          <w:lang w:eastAsia="ru-RU"/>
        </w:rPr>
      </w:pPr>
      <w:r w:rsidRPr="00916B3A">
        <w:rPr>
          <w:rFonts w:ascii="Times New Roman" w:hAnsi="Times New Roman" w:cs="Times New Roman"/>
          <w:b/>
          <w:sz w:val="20"/>
          <w:szCs w:val="20"/>
        </w:rPr>
        <w:t xml:space="preserve">13.КОНТАКТНЫЕ ЛИЦА: </w:t>
      </w:r>
      <w:r w:rsidRPr="00916B3A">
        <w:rPr>
          <w:rFonts w:ascii="Times New Roman" w:eastAsia="Times New Roman" w:hAnsi="Times New Roman" w:cs="Times New Roman"/>
          <w:spacing w:val="-1"/>
          <w:sz w:val="20"/>
          <w:szCs w:val="20"/>
          <w:lang w:eastAsia="ru-RU"/>
        </w:rPr>
        <w:t xml:space="preserve">Если у Вас возникают проблемы или вопросы, касающиеся данного исследования, </w:t>
      </w:r>
      <w:r w:rsidRPr="00916B3A">
        <w:rPr>
          <w:rFonts w:ascii="Times New Roman" w:eastAsia="Times New Roman" w:hAnsi="Times New Roman" w:cs="Times New Roman"/>
          <w:sz w:val="20"/>
          <w:szCs w:val="20"/>
          <w:lang w:eastAsia="ru-RU"/>
        </w:rPr>
        <w:t xml:space="preserve">Ваших прав как участника исследования или вреда от исследования, обратитесь </w:t>
      </w:r>
      <w:proofErr w:type="gramStart"/>
      <w:r w:rsidRPr="00916B3A">
        <w:rPr>
          <w:rFonts w:ascii="Times New Roman" w:eastAsia="Times New Roman" w:hAnsi="Times New Roman" w:cs="Times New Roman"/>
          <w:sz w:val="20"/>
          <w:szCs w:val="20"/>
          <w:lang w:val="kk-KZ" w:eastAsia="ru-RU"/>
        </w:rPr>
        <w:t>к</w:t>
      </w:r>
      <w:r w:rsidR="008F197E" w:rsidRPr="00916B3A">
        <w:rPr>
          <w:rFonts w:ascii="Times New Roman" w:eastAsia="Times New Roman" w:hAnsi="Times New Roman" w:cs="Times New Roman"/>
          <w:b/>
          <w:i/>
          <w:sz w:val="20"/>
          <w:szCs w:val="20"/>
          <w:lang w:eastAsia="ru-RU"/>
        </w:rPr>
        <w:t xml:space="preserve"> Научный центр</w:t>
      </w:r>
      <w:proofErr w:type="gramEnd"/>
      <w:r w:rsidR="008F197E" w:rsidRPr="00916B3A">
        <w:rPr>
          <w:rFonts w:ascii="Times New Roman" w:eastAsia="Times New Roman" w:hAnsi="Times New Roman" w:cs="Times New Roman"/>
          <w:b/>
          <w:i/>
          <w:sz w:val="20"/>
          <w:szCs w:val="20"/>
          <w:lang w:eastAsia="ru-RU"/>
        </w:rPr>
        <w:t xml:space="preserve"> акушерства, гинекологии и перинатологии, Достык125, </w:t>
      </w:r>
    </w:p>
    <w:p w14:paraId="1147813F" w14:textId="541C6123" w:rsidR="00657950" w:rsidRPr="00916B3A" w:rsidRDefault="00657950" w:rsidP="00657950">
      <w:pPr>
        <w:spacing w:after="0" w:line="240" w:lineRule="auto"/>
        <w:rPr>
          <w:rFonts w:ascii="Times New Roman" w:eastAsia="Times New Roman" w:hAnsi="Times New Roman" w:cs="Times New Roman"/>
          <w:sz w:val="20"/>
          <w:szCs w:val="20"/>
          <w:lang w:eastAsia="ru-RU"/>
        </w:rPr>
      </w:pPr>
      <w:r w:rsidRPr="00916B3A">
        <w:rPr>
          <w:rFonts w:ascii="Times New Roman" w:eastAsia="Times New Roman" w:hAnsi="Times New Roman" w:cs="Times New Roman"/>
          <w:spacing w:val="-2"/>
          <w:sz w:val="20"/>
          <w:szCs w:val="20"/>
          <w:lang w:eastAsia="ru-RU"/>
        </w:rPr>
        <w:t xml:space="preserve">Вы можете также позвонить тому (той), кто будет представлять Ваши интересы в </w:t>
      </w:r>
      <w:proofErr w:type="gramStart"/>
      <w:r w:rsidRPr="00916B3A">
        <w:rPr>
          <w:rFonts w:ascii="Times New Roman" w:eastAsia="Times New Roman" w:hAnsi="Times New Roman" w:cs="Times New Roman"/>
          <w:spacing w:val="-2"/>
          <w:sz w:val="20"/>
          <w:szCs w:val="20"/>
          <w:lang w:eastAsia="ru-RU"/>
        </w:rPr>
        <w:t>том,</w:t>
      </w:r>
      <w:r w:rsidRPr="00916B3A">
        <w:rPr>
          <w:rFonts w:ascii="Times New Roman" w:eastAsia="Times New Roman" w:hAnsi="Times New Roman" w:cs="Times New Roman"/>
          <w:spacing w:val="-1"/>
          <w:sz w:val="20"/>
          <w:szCs w:val="20"/>
          <w:lang w:eastAsia="ru-RU"/>
        </w:rPr>
        <w:t>что</w:t>
      </w:r>
      <w:proofErr w:type="gramEnd"/>
      <w:r w:rsidRPr="00916B3A">
        <w:rPr>
          <w:rFonts w:ascii="Times New Roman" w:eastAsia="Times New Roman" w:hAnsi="Times New Roman" w:cs="Times New Roman"/>
          <w:spacing w:val="-1"/>
          <w:sz w:val="20"/>
          <w:szCs w:val="20"/>
          <w:lang w:eastAsia="ru-RU"/>
        </w:rPr>
        <w:t xml:space="preserve"> касается</w:t>
      </w:r>
      <w:r w:rsidR="008F197E" w:rsidRPr="00916B3A">
        <w:rPr>
          <w:rFonts w:ascii="Times New Roman" w:eastAsia="Times New Roman" w:hAnsi="Times New Roman" w:cs="Times New Roman"/>
          <w:spacing w:val="-1"/>
          <w:sz w:val="20"/>
          <w:szCs w:val="20"/>
          <w:lang w:eastAsia="ru-RU"/>
        </w:rPr>
        <w:t xml:space="preserve"> </w:t>
      </w:r>
      <w:r w:rsidRPr="00916B3A">
        <w:rPr>
          <w:rFonts w:ascii="Times New Roman" w:eastAsia="Times New Roman" w:hAnsi="Times New Roman" w:cs="Times New Roman"/>
          <w:spacing w:val="-1"/>
          <w:sz w:val="20"/>
          <w:szCs w:val="20"/>
          <w:lang w:eastAsia="ru-RU"/>
        </w:rPr>
        <w:t>исследова</w:t>
      </w:r>
      <w:r w:rsidRPr="00916B3A">
        <w:rPr>
          <w:rFonts w:ascii="Times New Roman" w:eastAsia="Times New Roman" w:hAnsi="Times New Roman" w:cs="Times New Roman"/>
          <w:spacing w:val="-1"/>
          <w:sz w:val="20"/>
          <w:szCs w:val="20"/>
          <w:lang w:val="kk-KZ" w:eastAsia="ru-RU"/>
        </w:rPr>
        <w:t>ния</w:t>
      </w:r>
      <w:r w:rsidRPr="00916B3A">
        <w:rPr>
          <w:rFonts w:ascii="Times New Roman" w:eastAsia="Times New Roman" w:hAnsi="Times New Roman" w:cs="Times New Roman"/>
          <w:spacing w:val="-1"/>
          <w:sz w:val="20"/>
          <w:szCs w:val="20"/>
          <w:lang w:eastAsia="ru-RU"/>
        </w:rPr>
        <w:t>.</w:t>
      </w:r>
    </w:p>
    <w:p w14:paraId="3267834D" w14:textId="77777777" w:rsidR="00657950" w:rsidRPr="00916B3A" w:rsidRDefault="00657950" w:rsidP="00657950">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6B3A">
        <w:rPr>
          <w:rFonts w:ascii="Times New Roman" w:eastAsia="Times New Roman" w:hAnsi="Times New Roman" w:cs="Times New Roman"/>
          <w:b/>
          <w:sz w:val="20"/>
          <w:szCs w:val="20"/>
          <w:lang w:eastAsia="ru-RU"/>
        </w:rPr>
        <w:t>СОГЛАСИЕ СОВЕРШЕННОЛЕТНЕГО УЧАСТНИКА</w:t>
      </w:r>
    </w:p>
    <w:p w14:paraId="4824E6A8"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Я прочла описание данного исследования.</w:t>
      </w:r>
    </w:p>
    <w:p w14:paraId="4AB19206"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Мне была представлена возможность, обсудить его и задать вопросы.</w:t>
      </w:r>
    </w:p>
    <w:p w14:paraId="193BC59A"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Настоящим я выражаю свое согласие на участие в данном исследовании.</w:t>
      </w:r>
    </w:p>
    <w:p w14:paraId="25185B1F"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ФИО совершеннолетнего участника/Законного представителя__________________</w:t>
      </w:r>
    </w:p>
    <w:p w14:paraId="326C7440"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________________________________________________________________________</w:t>
      </w:r>
    </w:p>
    <w:p w14:paraId="05B499BD"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Подпись совершеннолетнего участника/Законного представителя _______________</w:t>
      </w:r>
    </w:p>
    <w:p w14:paraId="7C7A9D01"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Дата_________________</w:t>
      </w:r>
    </w:p>
    <w:p w14:paraId="06E63C28"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99E89B2"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ФИО свидетеля__________________________________________________________</w:t>
      </w:r>
    </w:p>
    <w:p w14:paraId="62155039"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Подпись свидетеля*______________________________________________________</w:t>
      </w:r>
    </w:p>
    <w:p w14:paraId="66B37D63"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Дата_______________</w:t>
      </w:r>
    </w:p>
    <w:p w14:paraId="0EDE2146"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AAF39E4"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ФИО исследователя ______________________________________________________</w:t>
      </w:r>
    </w:p>
    <w:p w14:paraId="2F4CDA43"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Подпись исследователя___________________________________________________</w:t>
      </w:r>
    </w:p>
    <w:p w14:paraId="325E0EB0"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Дата_______________</w:t>
      </w:r>
    </w:p>
    <w:p w14:paraId="5D664150" w14:textId="77777777" w:rsidR="00657950" w:rsidRPr="00916B3A" w:rsidRDefault="00657950" w:rsidP="0065795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6B3A">
        <w:rPr>
          <w:rFonts w:ascii="Times New Roman" w:eastAsia="Times New Roman" w:hAnsi="Times New Roman" w:cs="Times New Roman"/>
          <w:sz w:val="20"/>
          <w:szCs w:val="20"/>
          <w:lang w:eastAsia="ru-RU"/>
        </w:rPr>
        <w:t>*Подпись свидетеля требуется только в случаях, если участник исследования по каким-либо причинам не может прочитать информацию и ему читает другой человек.</w:t>
      </w:r>
    </w:p>
    <w:p w14:paraId="34EA05A2" w14:textId="77777777" w:rsidR="008D1509" w:rsidRPr="00916B3A" w:rsidRDefault="008D1509" w:rsidP="00FB3C23">
      <w:pPr>
        <w:pStyle w:val="afa"/>
        <w:jc w:val="center"/>
        <w:rPr>
          <w:rFonts w:ascii="Times New Roman" w:hAnsi="Times New Roman" w:cs="Times New Roman"/>
          <w:b/>
          <w:bCs/>
          <w:sz w:val="20"/>
          <w:szCs w:val="20"/>
        </w:rPr>
      </w:pPr>
    </w:p>
    <w:p w14:paraId="36AA58EA" w14:textId="77777777" w:rsidR="008D1509" w:rsidRPr="00916B3A" w:rsidRDefault="008D1509" w:rsidP="00FB3C23">
      <w:pPr>
        <w:pStyle w:val="afa"/>
        <w:jc w:val="center"/>
        <w:rPr>
          <w:rFonts w:ascii="Times New Roman" w:hAnsi="Times New Roman" w:cs="Times New Roman"/>
          <w:b/>
          <w:bCs/>
          <w:sz w:val="28"/>
          <w:szCs w:val="28"/>
        </w:rPr>
      </w:pPr>
    </w:p>
    <w:p w14:paraId="408D9F5B" w14:textId="77777777" w:rsidR="003260D7" w:rsidRPr="00916B3A" w:rsidRDefault="003260D7" w:rsidP="003260D7">
      <w:pPr>
        <w:pStyle w:val="afa"/>
        <w:rPr>
          <w:rFonts w:ascii="Times New Roman" w:hAnsi="Times New Roman" w:cs="Times New Roman"/>
          <w:b/>
          <w:bCs/>
          <w:sz w:val="28"/>
          <w:szCs w:val="28"/>
        </w:rPr>
      </w:pPr>
    </w:p>
    <w:p w14:paraId="0093D2F2" w14:textId="77777777" w:rsidR="008F197E" w:rsidRPr="00916B3A" w:rsidRDefault="003260D7" w:rsidP="003260D7">
      <w:pPr>
        <w:pStyle w:val="afa"/>
        <w:rPr>
          <w:rFonts w:ascii="Times New Roman" w:hAnsi="Times New Roman" w:cs="Times New Roman"/>
          <w:b/>
          <w:bCs/>
          <w:sz w:val="28"/>
          <w:szCs w:val="28"/>
        </w:rPr>
      </w:pPr>
      <w:r w:rsidRPr="00916B3A">
        <w:rPr>
          <w:rFonts w:ascii="Times New Roman" w:hAnsi="Times New Roman" w:cs="Times New Roman"/>
          <w:b/>
          <w:bCs/>
          <w:sz w:val="28"/>
          <w:szCs w:val="28"/>
        </w:rPr>
        <w:t xml:space="preserve">                                                                                           </w:t>
      </w:r>
    </w:p>
    <w:p w14:paraId="06921505" w14:textId="77777777" w:rsidR="008F197E" w:rsidRPr="00916B3A" w:rsidRDefault="008F197E" w:rsidP="003260D7">
      <w:pPr>
        <w:pStyle w:val="afa"/>
        <w:rPr>
          <w:rFonts w:ascii="Times New Roman" w:hAnsi="Times New Roman" w:cs="Times New Roman"/>
          <w:b/>
          <w:bCs/>
          <w:sz w:val="28"/>
          <w:szCs w:val="28"/>
        </w:rPr>
      </w:pPr>
    </w:p>
    <w:p w14:paraId="4CF46133" w14:textId="77777777" w:rsidR="00807117" w:rsidRDefault="00807117">
      <w:pPr>
        <w:rPr>
          <w:rFonts w:ascii="Times New Roman" w:hAnsi="Times New Roman" w:cs="Times New Roman"/>
          <w:b/>
          <w:bCs/>
          <w:sz w:val="28"/>
          <w:szCs w:val="28"/>
        </w:rPr>
      </w:pPr>
      <w:r>
        <w:rPr>
          <w:rFonts w:ascii="Times New Roman" w:hAnsi="Times New Roman" w:cs="Times New Roman"/>
          <w:b/>
          <w:bCs/>
          <w:sz w:val="28"/>
          <w:szCs w:val="28"/>
        </w:rPr>
        <w:br w:type="page"/>
      </w:r>
    </w:p>
    <w:p w14:paraId="17B724E3" w14:textId="64708D94" w:rsidR="00FB3C23" w:rsidRPr="00916B3A" w:rsidRDefault="003260D7" w:rsidP="00807117">
      <w:pPr>
        <w:pStyle w:val="afa"/>
        <w:jc w:val="center"/>
        <w:rPr>
          <w:rFonts w:ascii="Times New Roman" w:hAnsi="Times New Roman" w:cs="Times New Roman"/>
          <w:b/>
          <w:bCs/>
          <w:sz w:val="28"/>
          <w:szCs w:val="28"/>
        </w:rPr>
      </w:pPr>
      <w:r w:rsidRPr="00916B3A">
        <w:rPr>
          <w:rFonts w:ascii="Times New Roman" w:hAnsi="Times New Roman" w:cs="Times New Roman"/>
          <w:b/>
          <w:bCs/>
          <w:sz w:val="28"/>
          <w:szCs w:val="28"/>
        </w:rPr>
        <w:t>ПРИЛОЖЕНИЕ Б</w:t>
      </w:r>
    </w:p>
    <w:p w14:paraId="03891FE7" w14:textId="5641B3B9" w:rsidR="00FB3C23"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noProof/>
          <w:sz w:val="28"/>
          <w:szCs w:val="28"/>
          <w:lang w:eastAsia="ru-RU"/>
        </w:rPr>
      </w:pPr>
      <w:r w:rsidRPr="00916B3A">
        <w:rPr>
          <w:rFonts w:ascii="Times New Roman" w:hAnsi="Times New Roman" w:cs="Times New Roman"/>
          <w:noProof/>
          <w:sz w:val="28"/>
          <w:szCs w:val="28"/>
          <w:lang w:eastAsia="ru-RU"/>
        </w:rPr>
        <w:t>Акт</w:t>
      </w:r>
      <w:r w:rsidR="008F197E" w:rsidRPr="00916B3A">
        <w:rPr>
          <w:rFonts w:ascii="Times New Roman" w:hAnsi="Times New Roman" w:cs="Times New Roman"/>
          <w:noProof/>
          <w:sz w:val="28"/>
          <w:szCs w:val="28"/>
          <w:lang w:eastAsia="ru-RU"/>
        </w:rPr>
        <w:t>ы</w:t>
      </w:r>
      <w:r w:rsidRPr="00916B3A">
        <w:rPr>
          <w:rFonts w:ascii="Times New Roman" w:hAnsi="Times New Roman" w:cs="Times New Roman"/>
          <w:noProof/>
          <w:sz w:val="28"/>
          <w:szCs w:val="28"/>
          <w:lang w:eastAsia="ru-RU"/>
        </w:rPr>
        <w:t xml:space="preserve"> внедрения</w:t>
      </w:r>
    </w:p>
    <w:p w14:paraId="3198A403" w14:textId="77777777" w:rsidR="00807117" w:rsidRPr="00916B3A" w:rsidRDefault="00807117" w:rsidP="00FB3C23">
      <w:pPr>
        <w:widowControl w:val="0"/>
        <w:autoSpaceDE w:val="0"/>
        <w:autoSpaceDN w:val="0"/>
        <w:adjustRightInd w:val="0"/>
        <w:spacing w:after="0" w:line="240" w:lineRule="auto"/>
        <w:ind w:left="142" w:firstLine="142"/>
        <w:jc w:val="center"/>
        <w:rPr>
          <w:rFonts w:ascii="Times New Roman" w:hAnsi="Times New Roman" w:cs="Times New Roman"/>
          <w:noProof/>
          <w:sz w:val="28"/>
          <w:szCs w:val="28"/>
          <w:lang w:eastAsia="ru-RU"/>
        </w:rPr>
      </w:pPr>
    </w:p>
    <w:p w14:paraId="653C015D" w14:textId="25A23ABC"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r w:rsidRPr="00916B3A">
        <w:rPr>
          <w:rFonts w:ascii="Times New Roman" w:eastAsia="Times New Roman" w:hAnsi="Times New Roman" w:cs="Times New Roman"/>
          <w:noProof/>
          <w:sz w:val="28"/>
          <w:szCs w:val="28"/>
          <w:lang w:eastAsia="ru-RU"/>
        </w:rPr>
        <w:drawing>
          <wp:inline distT="0" distB="0" distL="0" distR="0" wp14:anchorId="759F28BA" wp14:editId="6BF051F4">
            <wp:extent cx="5114772" cy="6636191"/>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1">
                      <a:extLst>
                        <a:ext uri="{28A0092B-C50C-407E-A947-70E740481C1C}">
                          <a14:useLocalDpi xmlns:a14="http://schemas.microsoft.com/office/drawing/2010/main" val="0"/>
                        </a:ext>
                      </a:extLst>
                    </a:blip>
                    <a:srcRect l="6098" t="1649" r="2245" b="7273"/>
                    <a:stretch/>
                  </pic:blipFill>
                  <pic:spPr bwMode="auto">
                    <a:xfrm>
                      <a:off x="0" y="0"/>
                      <a:ext cx="5129897" cy="6655816"/>
                    </a:xfrm>
                    <a:prstGeom prst="rect">
                      <a:avLst/>
                    </a:prstGeom>
                    <a:ln>
                      <a:noFill/>
                    </a:ln>
                    <a:extLst>
                      <a:ext uri="{53640926-AAD7-44D8-BBD7-CCE9431645EC}">
                        <a14:shadowObscured xmlns:a14="http://schemas.microsoft.com/office/drawing/2010/main"/>
                      </a:ext>
                    </a:extLst>
                  </pic:spPr>
                </pic:pic>
              </a:graphicData>
            </a:graphic>
          </wp:inline>
        </w:drawing>
      </w:r>
    </w:p>
    <w:p w14:paraId="5BB3F3DF" w14:textId="3104B15F"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1C154EAC" w14:textId="251E0479"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0B9E4F35" w14:textId="225B2F7A"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1F3914F1" w14:textId="566F9649"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11E55360" w14:textId="6DE486A2"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247D110D" w14:textId="1713CCA7"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6D9EDA90" w14:textId="4B2BCB08"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4BA22992" w14:textId="6514750F"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5CDBA633" w14:textId="0099C12C" w:rsidR="00FB3C23" w:rsidRPr="00916B3A" w:rsidRDefault="00705F82"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r w:rsidRPr="00916B3A">
        <w:rPr>
          <w:rFonts w:ascii="Times New Roman" w:hAnsi="Times New Roman" w:cs="Times New Roman"/>
          <w:noProof/>
          <w:sz w:val="28"/>
          <w:szCs w:val="28"/>
          <w:lang w:eastAsia="ru-RU"/>
        </w:rPr>
        <w:drawing>
          <wp:inline distT="0" distB="0" distL="0" distR="0" wp14:anchorId="259452BC" wp14:editId="1BE8DCDB">
            <wp:extent cx="5130568" cy="6834623"/>
            <wp:effectExtent l="0" t="0" r="0" b="4445"/>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2"/>
                    <a:srcRect l="12398" t="6048" r="9648" b="16440"/>
                    <a:stretch/>
                  </pic:blipFill>
                  <pic:spPr bwMode="auto">
                    <a:xfrm>
                      <a:off x="0" y="0"/>
                      <a:ext cx="5147717" cy="6857468"/>
                    </a:xfrm>
                    <a:prstGeom prst="rect">
                      <a:avLst/>
                    </a:prstGeom>
                    <a:ln>
                      <a:noFill/>
                    </a:ln>
                    <a:extLst>
                      <a:ext uri="{53640926-AAD7-44D8-BBD7-CCE9431645EC}">
                        <a14:shadowObscured xmlns:a14="http://schemas.microsoft.com/office/drawing/2010/main"/>
                      </a:ext>
                    </a:extLst>
                  </pic:spPr>
                </pic:pic>
              </a:graphicData>
            </a:graphic>
          </wp:inline>
        </w:drawing>
      </w:r>
    </w:p>
    <w:p w14:paraId="46D6CEDB" w14:textId="5D996273"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6062CE2F" w14:textId="3A27EC6A"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28A57F3E" w14:textId="7435F011"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5447A42D" w14:textId="2D698001"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436064B4" w14:textId="6BAD6233"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759D24BA" w14:textId="7AF4B6C3"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19143F38" w14:textId="4F1F503A"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7F559489" w14:textId="15504FA1"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4DD679F3" w14:textId="792CF330" w:rsidR="00FB3C23" w:rsidRPr="00916B3A" w:rsidRDefault="00705F82" w:rsidP="00705F82">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r w:rsidRPr="00916B3A">
        <w:rPr>
          <w:rFonts w:ascii="Times New Roman" w:hAnsi="Times New Roman" w:cs="Times New Roman"/>
          <w:noProof/>
          <w:sz w:val="28"/>
          <w:szCs w:val="28"/>
          <w:lang w:eastAsia="ru-RU"/>
        </w:rPr>
        <w:drawing>
          <wp:inline distT="0" distB="0" distL="0" distR="0" wp14:anchorId="551FC9BE" wp14:editId="67D7CBE1">
            <wp:extent cx="5565982" cy="7288040"/>
            <wp:effectExtent l="0" t="0" r="0" b="825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2"/>
                    <a:srcRect l="13222" t="5529" r="7441" b="12783"/>
                    <a:stretch/>
                  </pic:blipFill>
                  <pic:spPr bwMode="auto">
                    <a:xfrm>
                      <a:off x="0" y="0"/>
                      <a:ext cx="5593736" cy="7324381"/>
                    </a:xfrm>
                    <a:prstGeom prst="rect">
                      <a:avLst/>
                    </a:prstGeom>
                    <a:ln>
                      <a:noFill/>
                    </a:ln>
                    <a:extLst>
                      <a:ext uri="{53640926-AAD7-44D8-BBD7-CCE9431645EC}">
                        <a14:shadowObscured xmlns:a14="http://schemas.microsoft.com/office/drawing/2010/main"/>
                      </a:ext>
                    </a:extLst>
                  </pic:spPr>
                </pic:pic>
              </a:graphicData>
            </a:graphic>
          </wp:inline>
        </w:drawing>
      </w:r>
    </w:p>
    <w:p w14:paraId="6D2348A6" w14:textId="4D561E8D" w:rsidR="00FB3C23" w:rsidRPr="00916B3A" w:rsidRDefault="00FB3C23" w:rsidP="00FB3C23">
      <w:pPr>
        <w:widowControl w:val="0"/>
        <w:autoSpaceDE w:val="0"/>
        <w:autoSpaceDN w:val="0"/>
        <w:adjustRightInd w:val="0"/>
        <w:spacing w:after="0" w:line="240" w:lineRule="auto"/>
        <w:rPr>
          <w:rFonts w:ascii="Times New Roman" w:hAnsi="Times New Roman" w:cs="Times New Roman"/>
          <w:sz w:val="28"/>
          <w:szCs w:val="28"/>
        </w:rPr>
      </w:pPr>
    </w:p>
    <w:p w14:paraId="3B2547E7" w14:textId="516FD42E"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4A2BD894" w14:textId="38E14BF8" w:rsidR="00FB3C23" w:rsidRPr="00916B3A"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p w14:paraId="66A06BEA" w14:textId="72F2E34A" w:rsidR="00FE21CC" w:rsidRDefault="00FE21CC" w:rsidP="00FB3C23">
      <w:pPr>
        <w:pStyle w:val="afa"/>
        <w:jc w:val="right"/>
        <w:rPr>
          <w:rFonts w:ascii="Times New Roman" w:hAnsi="Times New Roman" w:cs="Times New Roman"/>
          <w:b/>
          <w:sz w:val="28"/>
          <w:szCs w:val="28"/>
        </w:rPr>
      </w:pPr>
    </w:p>
    <w:p w14:paraId="6B067EDF" w14:textId="365C8DB2" w:rsidR="001E7011" w:rsidRDefault="001E7011" w:rsidP="00FB3C23">
      <w:pPr>
        <w:pStyle w:val="afa"/>
        <w:jc w:val="right"/>
        <w:rPr>
          <w:rFonts w:ascii="Times New Roman" w:hAnsi="Times New Roman" w:cs="Times New Roman"/>
          <w:b/>
          <w:sz w:val="28"/>
          <w:szCs w:val="28"/>
        </w:rPr>
      </w:pPr>
    </w:p>
    <w:p w14:paraId="17B4BD42" w14:textId="167AC75E" w:rsidR="001E7011" w:rsidRDefault="001E7011" w:rsidP="00FB3C23">
      <w:pPr>
        <w:pStyle w:val="afa"/>
        <w:jc w:val="right"/>
        <w:rPr>
          <w:rFonts w:ascii="Times New Roman" w:hAnsi="Times New Roman" w:cs="Times New Roman"/>
          <w:b/>
          <w:sz w:val="28"/>
          <w:szCs w:val="28"/>
        </w:rPr>
      </w:pPr>
    </w:p>
    <w:p w14:paraId="7F3F131F" w14:textId="71733CB7" w:rsidR="001E7011" w:rsidRDefault="001E7011" w:rsidP="00FB3C23">
      <w:pPr>
        <w:pStyle w:val="afa"/>
        <w:jc w:val="right"/>
        <w:rPr>
          <w:rFonts w:ascii="Times New Roman" w:hAnsi="Times New Roman" w:cs="Times New Roman"/>
          <w:b/>
          <w:sz w:val="28"/>
          <w:szCs w:val="28"/>
        </w:rPr>
      </w:pPr>
    </w:p>
    <w:p w14:paraId="6CED2C9E" w14:textId="20A7B5E1" w:rsidR="001E7011" w:rsidRDefault="001E7011" w:rsidP="00FB3C23">
      <w:pPr>
        <w:pStyle w:val="afa"/>
        <w:jc w:val="right"/>
        <w:rPr>
          <w:rFonts w:ascii="Times New Roman" w:hAnsi="Times New Roman" w:cs="Times New Roman"/>
          <w:b/>
          <w:sz w:val="28"/>
          <w:szCs w:val="28"/>
        </w:rPr>
      </w:pPr>
    </w:p>
    <w:p w14:paraId="5CF930B5" w14:textId="472EEB56" w:rsidR="001E7011" w:rsidRDefault="001E7011" w:rsidP="00FB3C23">
      <w:pPr>
        <w:pStyle w:val="afa"/>
        <w:jc w:val="right"/>
        <w:rPr>
          <w:rFonts w:ascii="Times New Roman" w:hAnsi="Times New Roman" w:cs="Times New Roman"/>
          <w:b/>
          <w:sz w:val="28"/>
          <w:szCs w:val="28"/>
        </w:rPr>
      </w:pPr>
    </w:p>
    <w:p w14:paraId="6E071CAE" w14:textId="7F63FC0E" w:rsidR="001E7011" w:rsidRDefault="001E7011" w:rsidP="00FB3C23">
      <w:pPr>
        <w:pStyle w:val="afa"/>
        <w:jc w:val="right"/>
        <w:rPr>
          <w:rFonts w:ascii="Times New Roman" w:hAnsi="Times New Roman" w:cs="Times New Roman"/>
          <w:b/>
          <w:sz w:val="28"/>
          <w:szCs w:val="28"/>
        </w:rPr>
      </w:pPr>
    </w:p>
    <w:p w14:paraId="39C9A36A" w14:textId="06C057B8" w:rsidR="001E7011" w:rsidRDefault="001E7011" w:rsidP="00FB3C23">
      <w:pPr>
        <w:pStyle w:val="afa"/>
        <w:jc w:val="right"/>
        <w:rPr>
          <w:rFonts w:ascii="Times New Roman" w:hAnsi="Times New Roman" w:cs="Times New Roman"/>
          <w:b/>
          <w:sz w:val="28"/>
          <w:szCs w:val="28"/>
        </w:rPr>
      </w:pPr>
    </w:p>
    <w:p w14:paraId="1BF1EAEA" w14:textId="067AEE3E" w:rsidR="001E7011" w:rsidRDefault="001E7011" w:rsidP="00FB3C23">
      <w:pPr>
        <w:pStyle w:val="afa"/>
        <w:jc w:val="right"/>
        <w:rPr>
          <w:rFonts w:ascii="Times New Roman" w:hAnsi="Times New Roman" w:cs="Times New Roman"/>
          <w:b/>
          <w:sz w:val="28"/>
          <w:szCs w:val="28"/>
        </w:rPr>
      </w:pPr>
    </w:p>
    <w:p w14:paraId="35126B29" w14:textId="3C609BEA" w:rsidR="001E7011" w:rsidRDefault="001E7011" w:rsidP="00FB3C23">
      <w:pPr>
        <w:pStyle w:val="afa"/>
        <w:jc w:val="right"/>
        <w:rPr>
          <w:rFonts w:ascii="Times New Roman" w:hAnsi="Times New Roman" w:cs="Times New Roman"/>
          <w:b/>
          <w:sz w:val="28"/>
          <w:szCs w:val="28"/>
        </w:rPr>
      </w:pPr>
    </w:p>
    <w:p w14:paraId="3DEE08AA" w14:textId="01EDBAEF" w:rsidR="00031C19" w:rsidRPr="00031C19" w:rsidRDefault="00031C19" w:rsidP="00031C19">
      <w:pPr>
        <w:spacing w:before="100" w:beforeAutospacing="1" w:after="100" w:afterAutospacing="1" w:line="240" w:lineRule="auto"/>
        <w:rPr>
          <w:rFonts w:ascii="Times New Roman" w:eastAsia="Times New Roman" w:hAnsi="Times New Roman" w:cs="Times New Roman"/>
          <w:sz w:val="24"/>
          <w:szCs w:val="24"/>
          <w:lang w:eastAsia="ru-RU"/>
        </w:rPr>
      </w:pPr>
      <w:r w:rsidRPr="00031C19">
        <w:rPr>
          <w:rFonts w:ascii="Times New Roman" w:eastAsia="Times New Roman" w:hAnsi="Times New Roman" w:cs="Times New Roman"/>
          <w:noProof/>
          <w:sz w:val="24"/>
          <w:szCs w:val="24"/>
          <w:lang w:eastAsia="ru-RU"/>
        </w:rPr>
        <w:drawing>
          <wp:inline distT="0" distB="0" distL="0" distR="0" wp14:anchorId="0E285FC0" wp14:editId="6EE9DBFF">
            <wp:extent cx="5742490" cy="7660478"/>
            <wp:effectExtent l="0" t="0" r="0" b="0"/>
            <wp:docPr id="4" name="Рисунок 4" descr="C:\Users\gaukh\Downloads\WhatsApp Image 2025-02-03 at 22.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kh\Downloads\WhatsApp Image 2025-02-03 at 22.20.1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833" cy="7726301"/>
                    </a:xfrm>
                    <a:prstGeom prst="rect">
                      <a:avLst/>
                    </a:prstGeom>
                    <a:noFill/>
                    <a:ln>
                      <a:noFill/>
                    </a:ln>
                  </pic:spPr>
                </pic:pic>
              </a:graphicData>
            </a:graphic>
          </wp:inline>
        </w:drawing>
      </w:r>
    </w:p>
    <w:p w14:paraId="7FD9AC5C" w14:textId="65E95FC0" w:rsidR="00FB3C23" w:rsidRPr="00916B3A" w:rsidRDefault="00807117" w:rsidP="00807117">
      <w:pPr>
        <w:pStyle w:val="afa"/>
        <w:jc w:val="center"/>
        <w:rPr>
          <w:rFonts w:ascii="Times New Roman" w:hAnsi="Times New Roman" w:cs="Times New Roman"/>
          <w:b/>
          <w:sz w:val="28"/>
          <w:szCs w:val="28"/>
        </w:rPr>
      </w:pPr>
      <w:r w:rsidRPr="00916B3A">
        <w:rPr>
          <w:rFonts w:ascii="Times New Roman" w:hAnsi="Times New Roman" w:cs="Times New Roman"/>
          <w:b/>
          <w:sz w:val="28"/>
          <w:szCs w:val="28"/>
        </w:rPr>
        <w:t>ПРИЛОЖЕНИЕ В</w:t>
      </w:r>
    </w:p>
    <w:p w14:paraId="551BB995" w14:textId="127CC4F1" w:rsidR="00FB3C23" w:rsidRPr="00916B3A" w:rsidRDefault="00FB3C23" w:rsidP="00FB3C23">
      <w:pPr>
        <w:pStyle w:val="afa"/>
        <w:jc w:val="center"/>
        <w:rPr>
          <w:rFonts w:ascii="Times New Roman" w:hAnsi="Times New Roman" w:cs="Times New Roman"/>
          <w:bCs/>
          <w:sz w:val="28"/>
          <w:szCs w:val="28"/>
        </w:rPr>
      </w:pPr>
      <w:r w:rsidRPr="00916B3A">
        <w:rPr>
          <w:rFonts w:ascii="Times New Roman" w:hAnsi="Times New Roman" w:cs="Times New Roman"/>
          <w:bCs/>
          <w:sz w:val="28"/>
          <w:szCs w:val="28"/>
        </w:rPr>
        <w:t>Авторское свидетельство</w:t>
      </w:r>
    </w:p>
    <w:p w14:paraId="579C089F" w14:textId="77777777" w:rsidR="00C4253F" w:rsidRPr="00916B3A" w:rsidRDefault="00C4253F" w:rsidP="00FB3C23">
      <w:pPr>
        <w:pStyle w:val="afa"/>
        <w:jc w:val="center"/>
        <w:rPr>
          <w:rFonts w:ascii="Times New Roman" w:hAnsi="Times New Roman" w:cs="Times New Roman"/>
          <w:bCs/>
          <w:sz w:val="28"/>
          <w:szCs w:val="28"/>
        </w:rPr>
      </w:pPr>
    </w:p>
    <w:p w14:paraId="5ED2FC30" w14:textId="4BFEE2AA" w:rsidR="00C4253F" w:rsidRPr="009B4E71" w:rsidRDefault="00C4253F" w:rsidP="00FB3C23">
      <w:pPr>
        <w:pStyle w:val="afa"/>
        <w:jc w:val="center"/>
        <w:rPr>
          <w:rFonts w:ascii="Times New Roman" w:hAnsi="Times New Roman" w:cs="Times New Roman"/>
          <w:bCs/>
          <w:sz w:val="28"/>
          <w:szCs w:val="28"/>
        </w:rPr>
      </w:pPr>
      <w:r w:rsidRPr="00916B3A">
        <w:rPr>
          <w:rFonts w:ascii="Times New Roman" w:hAnsi="Times New Roman" w:cs="Times New Roman"/>
          <w:bCs/>
          <w:noProof/>
          <w:sz w:val="28"/>
          <w:szCs w:val="28"/>
          <w:lang w:eastAsia="ru-RU"/>
        </w:rPr>
        <w:drawing>
          <wp:inline distT="0" distB="0" distL="0" distR="0" wp14:anchorId="0C4A7DC9" wp14:editId="64D9BE5F">
            <wp:extent cx="5133975" cy="7092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3975" cy="7092950"/>
                    </a:xfrm>
                    <a:prstGeom prst="rect">
                      <a:avLst/>
                    </a:prstGeom>
                  </pic:spPr>
                </pic:pic>
              </a:graphicData>
            </a:graphic>
          </wp:inline>
        </w:drawing>
      </w:r>
    </w:p>
    <w:p w14:paraId="362C3572" w14:textId="7C2DF2AE" w:rsidR="00FB3C23" w:rsidRPr="009B4E71" w:rsidRDefault="00FB3C23" w:rsidP="00FB3C23">
      <w:pPr>
        <w:widowControl w:val="0"/>
        <w:autoSpaceDE w:val="0"/>
        <w:autoSpaceDN w:val="0"/>
        <w:adjustRightInd w:val="0"/>
        <w:spacing w:after="0" w:line="240" w:lineRule="auto"/>
        <w:ind w:left="142" w:firstLine="142"/>
        <w:jc w:val="center"/>
        <w:rPr>
          <w:rFonts w:ascii="Times New Roman" w:hAnsi="Times New Roman" w:cs="Times New Roman"/>
          <w:sz w:val="28"/>
          <w:szCs w:val="28"/>
        </w:rPr>
      </w:pPr>
    </w:p>
    <w:sectPr w:rsidR="00FB3C23" w:rsidRPr="009B4E71" w:rsidSect="00B450E8">
      <w:footerReference w:type="default" r:id="rId25"/>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E92C3" w14:textId="77777777" w:rsidR="00880F9B" w:rsidRDefault="00880F9B" w:rsidP="0058542A">
      <w:pPr>
        <w:spacing w:after="0" w:line="240" w:lineRule="auto"/>
      </w:pPr>
      <w:r>
        <w:separator/>
      </w:r>
    </w:p>
  </w:endnote>
  <w:endnote w:type="continuationSeparator" w:id="0">
    <w:p w14:paraId="70B362AC" w14:textId="77777777" w:rsidR="00880F9B" w:rsidRDefault="00880F9B" w:rsidP="00585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Italic">
    <w:altName w:val="Cambria"/>
    <w:panose1 w:val="00000000000000000000"/>
    <w:charset w:val="00"/>
    <w:family w:val="roman"/>
    <w:notTrueType/>
    <w:pitch w:val="default"/>
  </w:font>
  <w:font w:name="Newton-Bold">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Janson Text LT">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ordia New">
    <w:altName w:val="Microsoft Sans Serif"/>
    <w:panose1 w:val="020B0304020202020204"/>
    <w:charset w:val="00"/>
    <w:family w:val="swiss"/>
    <w:pitch w:val="variable"/>
    <w:sig w:usb0="00000000" w:usb1="00000000" w:usb2="00000000" w:usb3="00000000" w:csb0="0001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Andale Sans UI">
    <w:altName w:val="Calibri"/>
    <w:charset w:val="CC"/>
    <w:family w:val="auto"/>
    <w:pitch w:val="variable"/>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961214"/>
      <w:docPartObj>
        <w:docPartGallery w:val="Page Numbers (Bottom of Page)"/>
        <w:docPartUnique/>
      </w:docPartObj>
    </w:sdtPr>
    <w:sdtContent>
      <w:p w14:paraId="5391264E" w14:textId="75B124F4" w:rsidR="00F26644" w:rsidRDefault="00F26644" w:rsidP="00AC6EDE">
        <w:pPr>
          <w:pStyle w:val="af7"/>
          <w:jc w:val="center"/>
        </w:pPr>
        <w:r>
          <w:fldChar w:fldCharType="begin"/>
        </w:r>
        <w:r>
          <w:instrText>PAGE   \* MERGEFORMAT</w:instrText>
        </w:r>
        <w:r>
          <w:fldChar w:fldCharType="separate"/>
        </w:r>
        <w:r w:rsidR="00C935AA">
          <w:rPr>
            <w:noProof/>
          </w:rPr>
          <w:t>45</w:t>
        </w:r>
        <w:r>
          <w:fldChar w:fldCharType="end"/>
        </w:r>
      </w:p>
      <w:p w14:paraId="02774F43" w14:textId="77777777" w:rsidR="00F26644" w:rsidRDefault="00F26644" w:rsidP="00AC6EDE">
        <w:pPr>
          <w:pStyle w:val="af7"/>
          <w:jc w:val="cente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93203"/>
      <w:docPartObj>
        <w:docPartGallery w:val="Page Numbers (Bottom of Page)"/>
        <w:docPartUnique/>
      </w:docPartObj>
    </w:sdtPr>
    <w:sdtContent>
      <w:p w14:paraId="6F780B45" w14:textId="77777777" w:rsidR="00F26644" w:rsidRDefault="00F26644">
        <w:pPr>
          <w:pStyle w:val="af7"/>
          <w:jc w:val="center"/>
        </w:pPr>
      </w:p>
      <w:p w14:paraId="51F5D5F4" w14:textId="08CDEC2B" w:rsidR="00F26644" w:rsidRDefault="00F26644">
        <w:pPr>
          <w:pStyle w:val="af7"/>
          <w:jc w:val="center"/>
        </w:pPr>
        <w:r>
          <w:fldChar w:fldCharType="begin"/>
        </w:r>
        <w:r>
          <w:instrText>PAGE   \* MERGEFORMAT</w:instrText>
        </w:r>
        <w:r>
          <w:fldChar w:fldCharType="separate"/>
        </w:r>
        <w:r w:rsidR="007465C5">
          <w:rPr>
            <w:noProof/>
          </w:rPr>
          <w:t>87</w:t>
        </w:r>
        <w:r>
          <w:fldChar w:fldCharType="end"/>
        </w:r>
      </w:p>
    </w:sdtContent>
  </w:sdt>
  <w:p w14:paraId="2BB96625" w14:textId="742531D6" w:rsidR="00F26644" w:rsidRDefault="00F26644" w:rsidP="00AC6EDE">
    <w:pPr>
      <w:pStyle w:val="af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ACB58" w14:textId="77777777" w:rsidR="00880F9B" w:rsidRDefault="00880F9B" w:rsidP="0058542A">
      <w:pPr>
        <w:spacing w:after="0" w:line="240" w:lineRule="auto"/>
      </w:pPr>
      <w:r>
        <w:separator/>
      </w:r>
    </w:p>
  </w:footnote>
  <w:footnote w:type="continuationSeparator" w:id="0">
    <w:p w14:paraId="1A26F411" w14:textId="77777777" w:rsidR="00880F9B" w:rsidRDefault="00880F9B" w:rsidP="005854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7D9B"/>
    <w:multiLevelType w:val="hybridMultilevel"/>
    <w:tmpl w:val="BBD67F44"/>
    <w:lvl w:ilvl="0" w:tplc="D92AA40A">
      <w:numFmt w:val="bullet"/>
      <w:lvlText w:val="‐"/>
      <w:lvlJc w:val="left"/>
      <w:pPr>
        <w:ind w:left="720" w:hanging="360"/>
      </w:pPr>
      <w:rPr>
        <w:rFonts w:ascii="Times New Roman" w:eastAsia="Times New Roman" w:hAnsi="Times New Roman" w:cs="Times New Roman" w:hint="default"/>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0F4AB9"/>
    <w:multiLevelType w:val="hybridMultilevel"/>
    <w:tmpl w:val="11F40D30"/>
    <w:lvl w:ilvl="0" w:tplc="D92AA40A">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090046"/>
    <w:multiLevelType w:val="hybridMultilevel"/>
    <w:tmpl w:val="B1A8EA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DC04259"/>
    <w:multiLevelType w:val="hybridMultilevel"/>
    <w:tmpl w:val="0FCEA492"/>
    <w:lvl w:ilvl="0" w:tplc="1C707114">
      <w:start w:val="1"/>
      <w:numFmt w:val="bullet"/>
      <w:lvlText w:val="•"/>
      <w:lvlJc w:val="left"/>
      <w:pPr>
        <w:tabs>
          <w:tab w:val="num" w:pos="720"/>
        </w:tabs>
        <w:ind w:left="720" w:hanging="360"/>
      </w:pPr>
      <w:rPr>
        <w:rFonts w:ascii="Arial" w:hAnsi="Arial" w:hint="default"/>
      </w:rPr>
    </w:lvl>
    <w:lvl w:ilvl="1" w:tplc="AD9479F2" w:tentative="1">
      <w:start w:val="1"/>
      <w:numFmt w:val="bullet"/>
      <w:lvlText w:val="•"/>
      <w:lvlJc w:val="left"/>
      <w:pPr>
        <w:tabs>
          <w:tab w:val="num" w:pos="1440"/>
        </w:tabs>
        <w:ind w:left="1440" w:hanging="360"/>
      </w:pPr>
      <w:rPr>
        <w:rFonts w:ascii="Arial" w:hAnsi="Arial" w:hint="default"/>
      </w:rPr>
    </w:lvl>
    <w:lvl w:ilvl="2" w:tplc="B47216AA" w:tentative="1">
      <w:start w:val="1"/>
      <w:numFmt w:val="bullet"/>
      <w:lvlText w:val="•"/>
      <w:lvlJc w:val="left"/>
      <w:pPr>
        <w:tabs>
          <w:tab w:val="num" w:pos="2160"/>
        </w:tabs>
        <w:ind w:left="2160" w:hanging="360"/>
      </w:pPr>
      <w:rPr>
        <w:rFonts w:ascii="Arial" w:hAnsi="Arial" w:hint="default"/>
      </w:rPr>
    </w:lvl>
    <w:lvl w:ilvl="3" w:tplc="DD94011E" w:tentative="1">
      <w:start w:val="1"/>
      <w:numFmt w:val="bullet"/>
      <w:lvlText w:val="•"/>
      <w:lvlJc w:val="left"/>
      <w:pPr>
        <w:tabs>
          <w:tab w:val="num" w:pos="2880"/>
        </w:tabs>
        <w:ind w:left="2880" w:hanging="360"/>
      </w:pPr>
      <w:rPr>
        <w:rFonts w:ascii="Arial" w:hAnsi="Arial" w:hint="default"/>
      </w:rPr>
    </w:lvl>
    <w:lvl w:ilvl="4" w:tplc="2BF24100" w:tentative="1">
      <w:start w:val="1"/>
      <w:numFmt w:val="bullet"/>
      <w:lvlText w:val="•"/>
      <w:lvlJc w:val="left"/>
      <w:pPr>
        <w:tabs>
          <w:tab w:val="num" w:pos="3600"/>
        </w:tabs>
        <w:ind w:left="3600" w:hanging="360"/>
      </w:pPr>
      <w:rPr>
        <w:rFonts w:ascii="Arial" w:hAnsi="Arial" w:hint="default"/>
      </w:rPr>
    </w:lvl>
    <w:lvl w:ilvl="5" w:tplc="2DD841C2" w:tentative="1">
      <w:start w:val="1"/>
      <w:numFmt w:val="bullet"/>
      <w:lvlText w:val="•"/>
      <w:lvlJc w:val="left"/>
      <w:pPr>
        <w:tabs>
          <w:tab w:val="num" w:pos="4320"/>
        </w:tabs>
        <w:ind w:left="4320" w:hanging="360"/>
      </w:pPr>
      <w:rPr>
        <w:rFonts w:ascii="Arial" w:hAnsi="Arial" w:hint="default"/>
      </w:rPr>
    </w:lvl>
    <w:lvl w:ilvl="6" w:tplc="26783A62" w:tentative="1">
      <w:start w:val="1"/>
      <w:numFmt w:val="bullet"/>
      <w:lvlText w:val="•"/>
      <w:lvlJc w:val="left"/>
      <w:pPr>
        <w:tabs>
          <w:tab w:val="num" w:pos="5040"/>
        </w:tabs>
        <w:ind w:left="5040" w:hanging="360"/>
      </w:pPr>
      <w:rPr>
        <w:rFonts w:ascii="Arial" w:hAnsi="Arial" w:hint="default"/>
      </w:rPr>
    </w:lvl>
    <w:lvl w:ilvl="7" w:tplc="4380DBB2" w:tentative="1">
      <w:start w:val="1"/>
      <w:numFmt w:val="bullet"/>
      <w:lvlText w:val="•"/>
      <w:lvlJc w:val="left"/>
      <w:pPr>
        <w:tabs>
          <w:tab w:val="num" w:pos="5760"/>
        </w:tabs>
        <w:ind w:left="5760" w:hanging="360"/>
      </w:pPr>
      <w:rPr>
        <w:rFonts w:ascii="Arial" w:hAnsi="Arial" w:hint="default"/>
      </w:rPr>
    </w:lvl>
    <w:lvl w:ilvl="8" w:tplc="D91470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3D7988"/>
    <w:multiLevelType w:val="hybridMultilevel"/>
    <w:tmpl w:val="162CE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400AF2"/>
    <w:multiLevelType w:val="multilevel"/>
    <w:tmpl w:val="229890D8"/>
    <w:lvl w:ilvl="0">
      <w:start w:val="4"/>
      <w:numFmt w:val="decimal"/>
      <w:lvlText w:val="%1"/>
      <w:lvlJc w:val="left"/>
      <w:pPr>
        <w:ind w:left="1210" w:hanging="360"/>
      </w:pPr>
      <w:rPr>
        <w:rFonts w:hint="default"/>
      </w:rPr>
    </w:lvl>
    <w:lvl w:ilvl="1">
      <w:start w:val="1"/>
      <w:numFmt w:val="decimal"/>
      <w:isLgl/>
      <w:lvlText w:val="%1.%2"/>
      <w:lvlJc w:val="left"/>
      <w:pPr>
        <w:ind w:left="1270" w:hanging="4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30" w:hanging="108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2290" w:hanging="144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650" w:hanging="1800"/>
      </w:pPr>
      <w:rPr>
        <w:rFonts w:hint="default"/>
      </w:rPr>
    </w:lvl>
    <w:lvl w:ilvl="8">
      <w:start w:val="1"/>
      <w:numFmt w:val="decimal"/>
      <w:isLgl/>
      <w:lvlText w:val="%1.%2.%3.%4.%5.%6.%7.%8.%9"/>
      <w:lvlJc w:val="left"/>
      <w:pPr>
        <w:ind w:left="3010" w:hanging="2160"/>
      </w:pPr>
      <w:rPr>
        <w:rFonts w:hint="default"/>
      </w:rPr>
    </w:lvl>
  </w:abstractNum>
  <w:abstractNum w:abstractNumId="6" w15:restartNumberingAfterBreak="0">
    <w:nsid w:val="1F7F0799"/>
    <w:multiLevelType w:val="hybridMultilevel"/>
    <w:tmpl w:val="166ED794"/>
    <w:lvl w:ilvl="0" w:tplc="D92AA40A">
      <w:numFmt w:val="bullet"/>
      <w:lvlText w:val="‐"/>
      <w:lvlJc w:val="left"/>
      <w:pPr>
        <w:ind w:left="605"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325" w:hanging="360"/>
      </w:pPr>
      <w:rPr>
        <w:rFonts w:ascii="Courier New" w:hAnsi="Courier New" w:cs="Courier New" w:hint="default"/>
      </w:rPr>
    </w:lvl>
    <w:lvl w:ilvl="2" w:tplc="04190005" w:tentative="1">
      <w:start w:val="1"/>
      <w:numFmt w:val="bullet"/>
      <w:lvlText w:val=""/>
      <w:lvlJc w:val="left"/>
      <w:pPr>
        <w:ind w:left="2045" w:hanging="360"/>
      </w:pPr>
      <w:rPr>
        <w:rFonts w:ascii="Wingdings" w:hAnsi="Wingdings" w:hint="default"/>
      </w:rPr>
    </w:lvl>
    <w:lvl w:ilvl="3" w:tplc="04190001" w:tentative="1">
      <w:start w:val="1"/>
      <w:numFmt w:val="bullet"/>
      <w:lvlText w:val=""/>
      <w:lvlJc w:val="left"/>
      <w:pPr>
        <w:ind w:left="2765" w:hanging="360"/>
      </w:pPr>
      <w:rPr>
        <w:rFonts w:ascii="Symbol" w:hAnsi="Symbol" w:hint="default"/>
      </w:rPr>
    </w:lvl>
    <w:lvl w:ilvl="4" w:tplc="04190003" w:tentative="1">
      <w:start w:val="1"/>
      <w:numFmt w:val="bullet"/>
      <w:lvlText w:val="o"/>
      <w:lvlJc w:val="left"/>
      <w:pPr>
        <w:ind w:left="3485" w:hanging="360"/>
      </w:pPr>
      <w:rPr>
        <w:rFonts w:ascii="Courier New" w:hAnsi="Courier New" w:cs="Courier New" w:hint="default"/>
      </w:rPr>
    </w:lvl>
    <w:lvl w:ilvl="5" w:tplc="04190005" w:tentative="1">
      <w:start w:val="1"/>
      <w:numFmt w:val="bullet"/>
      <w:lvlText w:val=""/>
      <w:lvlJc w:val="left"/>
      <w:pPr>
        <w:ind w:left="4205" w:hanging="360"/>
      </w:pPr>
      <w:rPr>
        <w:rFonts w:ascii="Wingdings" w:hAnsi="Wingdings" w:hint="default"/>
      </w:rPr>
    </w:lvl>
    <w:lvl w:ilvl="6" w:tplc="04190001" w:tentative="1">
      <w:start w:val="1"/>
      <w:numFmt w:val="bullet"/>
      <w:lvlText w:val=""/>
      <w:lvlJc w:val="left"/>
      <w:pPr>
        <w:ind w:left="4925" w:hanging="360"/>
      </w:pPr>
      <w:rPr>
        <w:rFonts w:ascii="Symbol" w:hAnsi="Symbol" w:hint="default"/>
      </w:rPr>
    </w:lvl>
    <w:lvl w:ilvl="7" w:tplc="04190003" w:tentative="1">
      <w:start w:val="1"/>
      <w:numFmt w:val="bullet"/>
      <w:lvlText w:val="o"/>
      <w:lvlJc w:val="left"/>
      <w:pPr>
        <w:ind w:left="5645" w:hanging="360"/>
      </w:pPr>
      <w:rPr>
        <w:rFonts w:ascii="Courier New" w:hAnsi="Courier New" w:cs="Courier New" w:hint="default"/>
      </w:rPr>
    </w:lvl>
    <w:lvl w:ilvl="8" w:tplc="04190005" w:tentative="1">
      <w:start w:val="1"/>
      <w:numFmt w:val="bullet"/>
      <w:lvlText w:val=""/>
      <w:lvlJc w:val="left"/>
      <w:pPr>
        <w:ind w:left="6365" w:hanging="360"/>
      </w:pPr>
      <w:rPr>
        <w:rFonts w:ascii="Wingdings" w:hAnsi="Wingdings" w:hint="default"/>
      </w:rPr>
    </w:lvl>
  </w:abstractNum>
  <w:abstractNum w:abstractNumId="7" w15:restartNumberingAfterBreak="0">
    <w:nsid w:val="21451711"/>
    <w:multiLevelType w:val="hybridMultilevel"/>
    <w:tmpl w:val="77603A2C"/>
    <w:lvl w:ilvl="0" w:tplc="D92AA40A">
      <w:numFmt w:val="bullet"/>
      <w:lvlText w:val="‐"/>
      <w:lvlJc w:val="left"/>
      <w:pPr>
        <w:ind w:left="605"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325" w:hanging="360"/>
      </w:pPr>
      <w:rPr>
        <w:rFonts w:ascii="Courier New" w:hAnsi="Courier New" w:cs="Courier New" w:hint="default"/>
      </w:rPr>
    </w:lvl>
    <w:lvl w:ilvl="2" w:tplc="04190005" w:tentative="1">
      <w:start w:val="1"/>
      <w:numFmt w:val="bullet"/>
      <w:lvlText w:val=""/>
      <w:lvlJc w:val="left"/>
      <w:pPr>
        <w:ind w:left="2045" w:hanging="360"/>
      </w:pPr>
      <w:rPr>
        <w:rFonts w:ascii="Wingdings" w:hAnsi="Wingdings" w:hint="default"/>
      </w:rPr>
    </w:lvl>
    <w:lvl w:ilvl="3" w:tplc="04190001" w:tentative="1">
      <w:start w:val="1"/>
      <w:numFmt w:val="bullet"/>
      <w:lvlText w:val=""/>
      <w:lvlJc w:val="left"/>
      <w:pPr>
        <w:ind w:left="2765" w:hanging="360"/>
      </w:pPr>
      <w:rPr>
        <w:rFonts w:ascii="Symbol" w:hAnsi="Symbol" w:hint="default"/>
      </w:rPr>
    </w:lvl>
    <w:lvl w:ilvl="4" w:tplc="04190003" w:tentative="1">
      <w:start w:val="1"/>
      <w:numFmt w:val="bullet"/>
      <w:lvlText w:val="o"/>
      <w:lvlJc w:val="left"/>
      <w:pPr>
        <w:ind w:left="3485" w:hanging="360"/>
      </w:pPr>
      <w:rPr>
        <w:rFonts w:ascii="Courier New" w:hAnsi="Courier New" w:cs="Courier New" w:hint="default"/>
      </w:rPr>
    </w:lvl>
    <w:lvl w:ilvl="5" w:tplc="04190005" w:tentative="1">
      <w:start w:val="1"/>
      <w:numFmt w:val="bullet"/>
      <w:lvlText w:val=""/>
      <w:lvlJc w:val="left"/>
      <w:pPr>
        <w:ind w:left="4205" w:hanging="360"/>
      </w:pPr>
      <w:rPr>
        <w:rFonts w:ascii="Wingdings" w:hAnsi="Wingdings" w:hint="default"/>
      </w:rPr>
    </w:lvl>
    <w:lvl w:ilvl="6" w:tplc="04190001" w:tentative="1">
      <w:start w:val="1"/>
      <w:numFmt w:val="bullet"/>
      <w:lvlText w:val=""/>
      <w:lvlJc w:val="left"/>
      <w:pPr>
        <w:ind w:left="4925" w:hanging="360"/>
      </w:pPr>
      <w:rPr>
        <w:rFonts w:ascii="Symbol" w:hAnsi="Symbol" w:hint="default"/>
      </w:rPr>
    </w:lvl>
    <w:lvl w:ilvl="7" w:tplc="04190003" w:tentative="1">
      <w:start w:val="1"/>
      <w:numFmt w:val="bullet"/>
      <w:lvlText w:val="o"/>
      <w:lvlJc w:val="left"/>
      <w:pPr>
        <w:ind w:left="5645" w:hanging="360"/>
      </w:pPr>
      <w:rPr>
        <w:rFonts w:ascii="Courier New" w:hAnsi="Courier New" w:cs="Courier New" w:hint="default"/>
      </w:rPr>
    </w:lvl>
    <w:lvl w:ilvl="8" w:tplc="04190005" w:tentative="1">
      <w:start w:val="1"/>
      <w:numFmt w:val="bullet"/>
      <w:lvlText w:val=""/>
      <w:lvlJc w:val="left"/>
      <w:pPr>
        <w:ind w:left="6365" w:hanging="360"/>
      </w:pPr>
      <w:rPr>
        <w:rFonts w:ascii="Wingdings" w:hAnsi="Wingdings" w:hint="default"/>
      </w:rPr>
    </w:lvl>
  </w:abstractNum>
  <w:abstractNum w:abstractNumId="8" w15:restartNumberingAfterBreak="0">
    <w:nsid w:val="22263A6F"/>
    <w:multiLevelType w:val="hybridMultilevel"/>
    <w:tmpl w:val="B1A8EA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A1E6B3C"/>
    <w:multiLevelType w:val="hybridMultilevel"/>
    <w:tmpl w:val="592C7010"/>
    <w:lvl w:ilvl="0" w:tplc="1080528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863585"/>
    <w:multiLevelType w:val="hybridMultilevel"/>
    <w:tmpl w:val="F5FC7A3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3421D36"/>
    <w:multiLevelType w:val="hybridMultilevel"/>
    <w:tmpl w:val="68364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614C33"/>
    <w:multiLevelType w:val="hybridMultilevel"/>
    <w:tmpl w:val="17A432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C834EE"/>
    <w:multiLevelType w:val="multilevel"/>
    <w:tmpl w:val="4A121D70"/>
    <w:lvl w:ilvl="0">
      <w:start w:val="1"/>
      <w:numFmt w:val="decimal"/>
      <w:lvlText w:val="%1"/>
      <w:lvlJc w:val="left"/>
      <w:pPr>
        <w:ind w:left="1759" w:hanging="210"/>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3970" w:hanging="567"/>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2069" w:hanging="567"/>
      </w:pPr>
      <w:rPr>
        <w:rFonts w:hint="default"/>
        <w:lang w:val="ru-RU" w:eastAsia="en-US" w:bidi="ar-SA"/>
      </w:rPr>
    </w:lvl>
    <w:lvl w:ilvl="3">
      <w:numFmt w:val="bullet"/>
      <w:lvlText w:val="•"/>
      <w:lvlJc w:val="left"/>
      <w:pPr>
        <w:ind w:left="2379" w:hanging="567"/>
      </w:pPr>
      <w:rPr>
        <w:rFonts w:hint="default"/>
        <w:lang w:val="ru-RU" w:eastAsia="en-US" w:bidi="ar-SA"/>
      </w:rPr>
    </w:lvl>
    <w:lvl w:ilvl="4">
      <w:numFmt w:val="bullet"/>
      <w:lvlText w:val="•"/>
      <w:lvlJc w:val="left"/>
      <w:pPr>
        <w:ind w:left="2688" w:hanging="567"/>
      </w:pPr>
      <w:rPr>
        <w:rFonts w:hint="default"/>
        <w:lang w:val="ru-RU" w:eastAsia="en-US" w:bidi="ar-SA"/>
      </w:rPr>
    </w:lvl>
    <w:lvl w:ilvl="5">
      <w:numFmt w:val="bullet"/>
      <w:lvlText w:val="•"/>
      <w:lvlJc w:val="left"/>
      <w:pPr>
        <w:ind w:left="2998" w:hanging="567"/>
      </w:pPr>
      <w:rPr>
        <w:rFonts w:hint="default"/>
        <w:lang w:val="ru-RU" w:eastAsia="en-US" w:bidi="ar-SA"/>
      </w:rPr>
    </w:lvl>
    <w:lvl w:ilvl="6">
      <w:numFmt w:val="bullet"/>
      <w:lvlText w:val="•"/>
      <w:lvlJc w:val="left"/>
      <w:pPr>
        <w:ind w:left="3308" w:hanging="567"/>
      </w:pPr>
      <w:rPr>
        <w:rFonts w:hint="default"/>
        <w:lang w:val="ru-RU" w:eastAsia="en-US" w:bidi="ar-SA"/>
      </w:rPr>
    </w:lvl>
    <w:lvl w:ilvl="7">
      <w:numFmt w:val="bullet"/>
      <w:lvlText w:val="•"/>
      <w:lvlJc w:val="left"/>
      <w:pPr>
        <w:ind w:left="3617" w:hanging="567"/>
      </w:pPr>
      <w:rPr>
        <w:rFonts w:hint="default"/>
        <w:lang w:val="ru-RU" w:eastAsia="en-US" w:bidi="ar-SA"/>
      </w:rPr>
    </w:lvl>
    <w:lvl w:ilvl="8">
      <w:numFmt w:val="bullet"/>
      <w:lvlText w:val="•"/>
      <w:lvlJc w:val="left"/>
      <w:pPr>
        <w:ind w:left="3927" w:hanging="567"/>
      </w:pPr>
      <w:rPr>
        <w:rFonts w:hint="default"/>
        <w:lang w:val="ru-RU" w:eastAsia="en-US" w:bidi="ar-SA"/>
      </w:rPr>
    </w:lvl>
  </w:abstractNum>
  <w:abstractNum w:abstractNumId="14" w15:restartNumberingAfterBreak="0">
    <w:nsid w:val="38CE7A6F"/>
    <w:multiLevelType w:val="hybridMultilevel"/>
    <w:tmpl w:val="E8A6BE1E"/>
    <w:lvl w:ilvl="0" w:tplc="595EF18A">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03901"/>
    <w:multiLevelType w:val="hybridMultilevel"/>
    <w:tmpl w:val="359AD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14396A"/>
    <w:multiLevelType w:val="multilevel"/>
    <w:tmpl w:val="8C0C505A"/>
    <w:lvl w:ilvl="0">
      <w:start w:val="1"/>
      <w:numFmt w:val="decimal"/>
      <w:lvlText w:val="%1"/>
      <w:lvlJc w:val="left"/>
      <w:pPr>
        <w:ind w:left="1070" w:hanging="71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7" w15:restartNumberingAfterBreak="0">
    <w:nsid w:val="3F317659"/>
    <w:multiLevelType w:val="hybridMultilevel"/>
    <w:tmpl w:val="EFEE2CC6"/>
    <w:lvl w:ilvl="0" w:tplc="57782EE2">
      <w:start w:val="4"/>
      <w:numFmt w:val="decimal"/>
      <w:lvlText w:val="%1."/>
      <w:lvlJc w:val="left"/>
      <w:pPr>
        <w:ind w:left="392" w:hanging="360"/>
      </w:pPr>
      <w:rPr>
        <w:rFonts w:hint="default"/>
      </w:rPr>
    </w:lvl>
    <w:lvl w:ilvl="1" w:tplc="04190019">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18" w15:restartNumberingAfterBreak="0">
    <w:nsid w:val="43474610"/>
    <w:multiLevelType w:val="hybridMultilevel"/>
    <w:tmpl w:val="09AC599A"/>
    <w:lvl w:ilvl="0" w:tplc="7DD60082">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6D75E34"/>
    <w:multiLevelType w:val="hybridMultilevel"/>
    <w:tmpl w:val="58AC56B8"/>
    <w:lvl w:ilvl="0" w:tplc="2B7818BC">
      <w:start w:val="1"/>
      <w:numFmt w:val="decimal"/>
      <w:lvlText w:val="%1."/>
      <w:lvlJc w:val="left"/>
      <w:pPr>
        <w:ind w:left="238" w:hanging="42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3E0231CA">
      <w:numFmt w:val="bullet"/>
      <w:lvlText w:val="•"/>
      <w:lvlJc w:val="left"/>
      <w:pPr>
        <w:ind w:left="1244" w:hanging="425"/>
      </w:pPr>
      <w:rPr>
        <w:rFonts w:hint="default"/>
        <w:lang w:val="ru-RU" w:eastAsia="en-US" w:bidi="ar-SA"/>
      </w:rPr>
    </w:lvl>
    <w:lvl w:ilvl="2" w:tplc="8A0EA0B2">
      <w:numFmt w:val="bullet"/>
      <w:lvlText w:val="•"/>
      <w:lvlJc w:val="left"/>
      <w:pPr>
        <w:ind w:left="2249" w:hanging="425"/>
      </w:pPr>
      <w:rPr>
        <w:rFonts w:hint="default"/>
        <w:lang w:val="ru-RU" w:eastAsia="en-US" w:bidi="ar-SA"/>
      </w:rPr>
    </w:lvl>
    <w:lvl w:ilvl="3" w:tplc="63D6A0C8">
      <w:numFmt w:val="bullet"/>
      <w:lvlText w:val="•"/>
      <w:lvlJc w:val="left"/>
      <w:pPr>
        <w:ind w:left="3253" w:hanging="425"/>
      </w:pPr>
      <w:rPr>
        <w:rFonts w:hint="default"/>
        <w:lang w:val="ru-RU" w:eastAsia="en-US" w:bidi="ar-SA"/>
      </w:rPr>
    </w:lvl>
    <w:lvl w:ilvl="4" w:tplc="81FE5D86">
      <w:numFmt w:val="bullet"/>
      <w:lvlText w:val="•"/>
      <w:lvlJc w:val="left"/>
      <w:pPr>
        <w:ind w:left="4258" w:hanging="425"/>
      </w:pPr>
      <w:rPr>
        <w:rFonts w:hint="default"/>
        <w:lang w:val="ru-RU" w:eastAsia="en-US" w:bidi="ar-SA"/>
      </w:rPr>
    </w:lvl>
    <w:lvl w:ilvl="5" w:tplc="4B963496">
      <w:numFmt w:val="bullet"/>
      <w:lvlText w:val="•"/>
      <w:lvlJc w:val="left"/>
      <w:pPr>
        <w:ind w:left="5263" w:hanging="425"/>
      </w:pPr>
      <w:rPr>
        <w:rFonts w:hint="default"/>
        <w:lang w:val="ru-RU" w:eastAsia="en-US" w:bidi="ar-SA"/>
      </w:rPr>
    </w:lvl>
    <w:lvl w:ilvl="6" w:tplc="BCF6C45A">
      <w:numFmt w:val="bullet"/>
      <w:lvlText w:val="•"/>
      <w:lvlJc w:val="left"/>
      <w:pPr>
        <w:ind w:left="6267" w:hanging="425"/>
      </w:pPr>
      <w:rPr>
        <w:rFonts w:hint="default"/>
        <w:lang w:val="ru-RU" w:eastAsia="en-US" w:bidi="ar-SA"/>
      </w:rPr>
    </w:lvl>
    <w:lvl w:ilvl="7" w:tplc="3D2638A0">
      <w:numFmt w:val="bullet"/>
      <w:lvlText w:val="•"/>
      <w:lvlJc w:val="left"/>
      <w:pPr>
        <w:ind w:left="7272" w:hanging="425"/>
      </w:pPr>
      <w:rPr>
        <w:rFonts w:hint="default"/>
        <w:lang w:val="ru-RU" w:eastAsia="en-US" w:bidi="ar-SA"/>
      </w:rPr>
    </w:lvl>
    <w:lvl w:ilvl="8" w:tplc="D83E56CE">
      <w:numFmt w:val="bullet"/>
      <w:lvlText w:val="•"/>
      <w:lvlJc w:val="left"/>
      <w:pPr>
        <w:ind w:left="8277" w:hanging="425"/>
      </w:pPr>
      <w:rPr>
        <w:rFonts w:hint="default"/>
        <w:lang w:val="ru-RU" w:eastAsia="en-US" w:bidi="ar-SA"/>
      </w:rPr>
    </w:lvl>
  </w:abstractNum>
  <w:abstractNum w:abstractNumId="20" w15:restartNumberingAfterBreak="0">
    <w:nsid w:val="47B40625"/>
    <w:multiLevelType w:val="multilevel"/>
    <w:tmpl w:val="839A0EA0"/>
    <w:lvl w:ilvl="0">
      <w:start w:val="1"/>
      <w:numFmt w:val="decimal"/>
      <w:lvlText w:val="%1."/>
      <w:lvlJc w:val="left"/>
      <w:pPr>
        <w:ind w:left="720" w:hanging="360"/>
      </w:pPr>
    </w:lvl>
    <w:lvl w:ilvl="1">
      <w:start w:val="1"/>
      <w:numFmt w:val="decimal"/>
      <w:isLgl/>
      <w:lvlText w:val="%1.%2"/>
      <w:lvlJc w:val="left"/>
      <w:pPr>
        <w:ind w:left="1270" w:hanging="42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3400" w:hanging="1080"/>
      </w:pPr>
      <w:rPr>
        <w:rFonts w:hint="default"/>
      </w:rPr>
    </w:lvl>
    <w:lvl w:ilvl="5">
      <w:start w:val="1"/>
      <w:numFmt w:val="decimal"/>
      <w:isLgl/>
      <w:lvlText w:val="%1.%2.%3.%4.%5.%6"/>
      <w:lvlJc w:val="left"/>
      <w:pPr>
        <w:ind w:left="4250" w:hanging="144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590" w:hanging="1800"/>
      </w:pPr>
      <w:rPr>
        <w:rFonts w:hint="default"/>
      </w:rPr>
    </w:lvl>
    <w:lvl w:ilvl="8">
      <w:start w:val="1"/>
      <w:numFmt w:val="decimal"/>
      <w:isLgl/>
      <w:lvlText w:val="%1.%2.%3.%4.%5.%6.%7.%8.%9"/>
      <w:lvlJc w:val="left"/>
      <w:pPr>
        <w:ind w:left="6440" w:hanging="2160"/>
      </w:pPr>
      <w:rPr>
        <w:rFonts w:hint="default"/>
      </w:rPr>
    </w:lvl>
  </w:abstractNum>
  <w:abstractNum w:abstractNumId="21" w15:restartNumberingAfterBreak="0">
    <w:nsid w:val="480773E3"/>
    <w:multiLevelType w:val="hybridMultilevel"/>
    <w:tmpl w:val="36FA683A"/>
    <w:lvl w:ilvl="0" w:tplc="BB5681EC">
      <w:start w:val="1"/>
      <w:numFmt w:val="decimal"/>
      <w:lvlText w:val="%1"/>
      <w:lvlJc w:val="left"/>
      <w:pPr>
        <w:ind w:left="1287" w:hanging="360"/>
      </w:pPr>
      <w:rPr>
        <w:rFonts w:hint="default"/>
        <w:sz w:val="24"/>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B52540C"/>
    <w:multiLevelType w:val="hybridMultilevel"/>
    <w:tmpl w:val="75F6FBF2"/>
    <w:lvl w:ilvl="0" w:tplc="F4C25F4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3" w15:restartNumberingAfterBreak="0">
    <w:nsid w:val="4BA958CE"/>
    <w:multiLevelType w:val="hybridMultilevel"/>
    <w:tmpl w:val="4762E654"/>
    <w:lvl w:ilvl="0" w:tplc="A4BC5D18">
      <w:start w:val="1"/>
      <w:numFmt w:val="bullet"/>
      <w:lvlText w:val="•"/>
      <w:lvlJc w:val="left"/>
      <w:pPr>
        <w:tabs>
          <w:tab w:val="num" w:pos="720"/>
        </w:tabs>
        <w:ind w:left="720" w:hanging="360"/>
      </w:pPr>
      <w:rPr>
        <w:rFonts w:ascii="Times New Roman" w:hAnsi="Times New Roman" w:hint="default"/>
      </w:rPr>
    </w:lvl>
    <w:lvl w:ilvl="1" w:tplc="C0E258F8" w:tentative="1">
      <w:start w:val="1"/>
      <w:numFmt w:val="bullet"/>
      <w:lvlText w:val="•"/>
      <w:lvlJc w:val="left"/>
      <w:pPr>
        <w:tabs>
          <w:tab w:val="num" w:pos="1440"/>
        </w:tabs>
        <w:ind w:left="1440" w:hanging="360"/>
      </w:pPr>
      <w:rPr>
        <w:rFonts w:ascii="Times New Roman" w:hAnsi="Times New Roman" w:hint="default"/>
      </w:rPr>
    </w:lvl>
    <w:lvl w:ilvl="2" w:tplc="8B942756" w:tentative="1">
      <w:start w:val="1"/>
      <w:numFmt w:val="bullet"/>
      <w:lvlText w:val="•"/>
      <w:lvlJc w:val="left"/>
      <w:pPr>
        <w:tabs>
          <w:tab w:val="num" w:pos="2160"/>
        </w:tabs>
        <w:ind w:left="2160" w:hanging="360"/>
      </w:pPr>
      <w:rPr>
        <w:rFonts w:ascii="Times New Roman" w:hAnsi="Times New Roman" w:hint="default"/>
      </w:rPr>
    </w:lvl>
    <w:lvl w:ilvl="3" w:tplc="83BC5E30" w:tentative="1">
      <w:start w:val="1"/>
      <w:numFmt w:val="bullet"/>
      <w:lvlText w:val="•"/>
      <w:lvlJc w:val="left"/>
      <w:pPr>
        <w:tabs>
          <w:tab w:val="num" w:pos="2880"/>
        </w:tabs>
        <w:ind w:left="2880" w:hanging="360"/>
      </w:pPr>
      <w:rPr>
        <w:rFonts w:ascii="Times New Roman" w:hAnsi="Times New Roman" w:hint="default"/>
      </w:rPr>
    </w:lvl>
    <w:lvl w:ilvl="4" w:tplc="D9D4363A" w:tentative="1">
      <w:start w:val="1"/>
      <w:numFmt w:val="bullet"/>
      <w:lvlText w:val="•"/>
      <w:lvlJc w:val="left"/>
      <w:pPr>
        <w:tabs>
          <w:tab w:val="num" w:pos="3600"/>
        </w:tabs>
        <w:ind w:left="3600" w:hanging="360"/>
      </w:pPr>
      <w:rPr>
        <w:rFonts w:ascii="Times New Roman" w:hAnsi="Times New Roman" w:hint="default"/>
      </w:rPr>
    </w:lvl>
    <w:lvl w:ilvl="5" w:tplc="D94A7EF6" w:tentative="1">
      <w:start w:val="1"/>
      <w:numFmt w:val="bullet"/>
      <w:lvlText w:val="•"/>
      <w:lvlJc w:val="left"/>
      <w:pPr>
        <w:tabs>
          <w:tab w:val="num" w:pos="4320"/>
        </w:tabs>
        <w:ind w:left="4320" w:hanging="360"/>
      </w:pPr>
      <w:rPr>
        <w:rFonts w:ascii="Times New Roman" w:hAnsi="Times New Roman" w:hint="default"/>
      </w:rPr>
    </w:lvl>
    <w:lvl w:ilvl="6" w:tplc="4AFCF790" w:tentative="1">
      <w:start w:val="1"/>
      <w:numFmt w:val="bullet"/>
      <w:lvlText w:val="•"/>
      <w:lvlJc w:val="left"/>
      <w:pPr>
        <w:tabs>
          <w:tab w:val="num" w:pos="5040"/>
        </w:tabs>
        <w:ind w:left="5040" w:hanging="360"/>
      </w:pPr>
      <w:rPr>
        <w:rFonts w:ascii="Times New Roman" w:hAnsi="Times New Roman" w:hint="default"/>
      </w:rPr>
    </w:lvl>
    <w:lvl w:ilvl="7" w:tplc="0D6C53CE" w:tentative="1">
      <w:start w:val="1"/>
      <w:numFmt w:val="bullet"/>
      <w:lvlText w:val="•"/>
      <w:lvlJc w:val="left"/>
      <w:pPr>
        <w:tabs>
          <w:tab w:val="num" w:pos="5760"/>
        </w:tabs>
        <w:ind w:left="5760" w:hanging="360"/>
      </w:pPr>
      <w:rPr>
        <w:rFonts w:ascii="Times New Roman" w:hAnsi="Times New Roman" w:hint="default"/>
      </w:rPr>
    </w:lvl>
    <w:lvl w:ilvl="8" w:tplc="79E84FC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62813C2"/>
    <w:multiLevelType w:val="hybridMultilevel"/>
    <w:tmpl w:val="89108E72"/>
    <w:lvl w:ilvl="0" w:tplc="D92AA40A">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50011E"/>
    <w:multiLevelType w:val="hybridMultilevel"/>
    <w:tmpl w:val="110C6FE0"/>
    <w:lvl w:ilvl="0" w:tplc="69F0B528">
      <w:start w:val="1"/>
      <w:numFmt w:val="bullet"/>
      <w:lvlText w:val="•"/>
      <w:lvlJc w:val="left"/>
      <w:pPr>
        <w:tabs>
          <w:tab w:val="num" w:pos="720"/>
        </w:tabs>
        <w:ind w:left="720" w:hanging="360"/>
      </w:pPr>
      <w:rPr>
        <w:rFonts w:ascii="Arial" w:hAnsi="Arial" w:hint="default"/>
      </w:rPr>
    </w:lvl>
    <w:lvl w:ilvl="1" w:tplc="66FEB1BC" w:tentative="1">
      <w:start w:val="1"/>
      <w:numFmt w:val="bullet"/>
      <w:lvlText w:val="•"/>
      <w:lvlJc w:val="left"/>
      <w:pPr>
        <w:tabs>
          <w:tab w:val="num" w:pos="1440"/>
        </w:tabs>
        <w:ind w:left="1440" w:hanging="360"/>
      </w:pPr>
      <w:rPr>
        <w:rFonts w:ascii="Arial" w:hAnsi="Arial" w:hint="default"/>
      </w:rPr>
    </w:lvl>
    <w:lvl w:ilvl="2" w:tplc="01881A92" w:tentative="1">
      <w:start w:val="1"/>
      <w:numFmt w:val="bullet"/>
      <w:lvlText w:val="•"/>
      <w:lvlJc w:val="left"/>
      <w:pPr>
        <w:tabs>
          <w:tab w:val="num" w:pos="2160"/>
        </w:tabs>
        <w:ind w:left="2160" w:hanging="360"/>
      </w:pPr>
      <w:rPr>
        <w:rFonts w:ascii="Arial" w:hAnsi="Arial" w:hint="default"/>
      </w:rPr>
    </w:lvl>
    <w:lvl w:ilvl="3" w:tplc="CBB69698" w:tentative="1">
      <w:start w:val="1"/>
      <w:numFmt w:val="bullet"/>
      <w:lvlText w:val="•"/>
      <w:lvlJc w:val="left"/>
      <w:pPr>
        <w:tabs>
          <w:tab w:val="num" w:pos="2880"/>
        </w:tabs>
        <w:ind w:left="2880" w:hanging="360"/>
      </w:pPr>
      <w:rPr>
        <w:rFonts w:ascii="Arial" w:hAnsi="Arial" w:hint="default"/>
      </w:rPr>
    </w:lvl>
    <w:lvl w:ilvl="4" w:tplc="ACE2FEFA" w:tentative="1">
      <w:start w:val="1"/>
      <w:numFmt w:val="bullet"/>
      <w:lvlText w:val="•"/>
      <w:lvlJc w:val="left"/>
      <w:pPr>
        <w:tabs>
          <w:tab w:val="num" w:pos="3600"/>
        </w:tabs>
        <w:ind w:left="3600" w:hanging="360"/>
      </w:pPr>
      <w:rPr>
        <w:rFonts w:ascii="Arial" w:hAnsi="Arial" w:hint="default"/>
      </w:rPr>
    </w:lvl>
    <w:lvl w:ilvl="5" w:tplc="4210CB38" w:tentative="1">
      <w:start w:val="1"/>
      <w:numFmt w:val="bullet"/>
      <w:lvlText w:val="•"/>
      <w:lvlJc w:val="left"/>
      <w:pPr>
        <w:tabs>
          <w:tab w:val="num" w:pos="4320"/>
        </w:tabs>
        <w:ind w:left="4320" w:hanging="360"/>
      </w:pPr>
      <w:rPr>
        <w:rFonts w:ascii="Arial" w:hAnsi="Arial" w:hint="default"/>
      </w:rPr>
    </w:lvl>
    <w:lvl w:ilvl="6" w:tplc="C92643E6" w:tentative="1">
      <w:start w:val="1"/>
      <w:numFmt w:val="bullet"/>
      <w:lvlText w:val="•"/>
      <w:lvlJc w:val="left"/>
      <w:pPr>
        <w:tabs>
          <w:tab w:val="num" w:pos="5040"/>
        </w:tabs>
        <w:ind w:left="5040" w:hanging="360"/>
      </w:pPr>
      <w:rPr>
        <w:rFonts w:ascii="Arial" w:hAnsi="Arial" w:hint="default"/>
      </w:rPr>
    </w:lvl>
    <w:lvl w:ilvl="7" w:tplc="2B002512" w:tentative="1">
      <w:start w:val="1"/>
      <w:numFmt w:val="bullet"/>
      <w:lvlText w:val="•"/>
      <w:lvlJc w:val="left"/>
      <w:pPr>
        <w:tabs>
          <w:tab w:val="num" w:pos="5760"/>
        </w:tabs>
        <w:ind w:left="5760" w:hanging="360"/>
      </w:pPr>
      <w:rPr>
        <w:rFonts w:ascii="Arial" w:hAnsi="Arial" w:hint="default"/>
      </w:rPr>
    </w:lvl>
    <w:lvl w:ilvl="8" w:tplc="804A3CA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524142"/>
    <w:multiLevelType w:val="hybridMultilevel"/>
    <w:tmpl w:val="7C72AB08"/>
    <w:lvl w:ilvl="0" w:tplc="BB5681EC">
      <w:start w:val="1"/>
      <w:numFmt w:val="decimal"/>
      <w:lvlText w:val="%1"/>
      <w:lvlJc w:val="left"/>
      <w:pPr>
        <w:ind w:left="1287" w:hanging="360"/>
      </w:pPr>
      <w:rPr>
        <w:rFonts w:hint="default"/>
        <w:sz w:val="24"/>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586437DA"/>
    <w:multiLevelType w:val="hybridMultilevel"/>
    <w:tmpl w:val="B1A8EA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90D1168"/>
    <w:multiLevelType w:val="hybridMultilevel"/>
    <w:tmpl w:val="223EE77A"/>
    <w:lvl w:ilvl="0" w:tplc="D92AA40A">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plc="C92AF9CA" w:tentative="1">
      <w:start w:val="1"/>
      <w:numFmt w:val="bullet"/>
      <w:lvlText w:val=""/>
      <w:lvlJc w:val="left"/>
      <w:pPr>
        <w:tabs>
          <w:tab w:val="num" w:pos="1440"/>
        </w:tabs>
        <w:ind w:left="1440" w:hanging="360"/>
      </w:pPr>
      <w:rPr>
        <w:rFonts w:ascii="Symbol" w:hAnsi="Symbol" w:hint="default"/>
      </w:rPr>
    </w:lvl>
    <w:lvl w:ilvl="2" w:tplc="7AB61E94" w:tentative="1">
      <w:start w:val="1"/>
      <w:numFmt w:val="bullet"/>
      <w:lvlText w:val=""/>
      <w:lvlJc w:val="left"/>
      <w:pPr>
        <w:tabs>
          <w:tab w:val="num" w:pos="2160"/>
        </w:tabs>
        <w:ind w:left="2160" w:hanging="360"/>
      </w:pPr>
      <w:rPr>
        <w:rFonts w:ascii="Symbol" w:hAnsi="Symbol" w:hint="default"/>
      </w:rPr>
    </w:lvl>
    <w:lvl w:ilvl="3" w:tplc="9822D444" w:tentative="1">
      <w:start w:val="1"/>
      <w:numFmt w:val="bullet"/>
      <w:lvlText w:val=""/>
      <w:lvlJc w:val="left"/>
      <w:pPr>
        <w:tabs>
          <w:tab w:val="num" w:pos="2880"/>
        </w:tabs>
        <w:ind w:left="2880" w:hanging="360"/>
      </w:pPr>
      <w:rPr>
        <w:rFonts w:ascii="Symbol" w:hAnsi="Symbol" w:hint="default"/>
      </w:rPr>
    </w:lvl>
    <w:lvl w:ilvl="4" w:tplc="C81C64B2" w:tentative="1">
      <w:start w:val="1"/>
      <w:numFmt w:val="bullet"/>
      <w:lvlText w:val=""/>
      <w:lvlJc w:val="left"/>
      <w:pPr>
        <w:tabs>
          <w:tab w:val="num" w:pos="3600"/>
        </w:tabs>
        <w:ind w:left="3600" w:hanging="360"/>
      </w:pPr>
      <w:rPr>
        <w:rFonts w:ascii="Symbol" w:hAnsi="Symbol" w:hint="default"/>
      </w:rPr>
    </w:lvl>
    <w:lvl w:ilvl="5" w:tplc="98B29202" w:tentative="1">
      <w:start w:val="1"/>
      <w:numFmt w:val="bullet"/>
      <w:lvlText w:val=""/>
      <w:lvlJc w:val="left"/>
      <w:pPr>
        <w:tabs>
          <w:tab w:val="num" w:pos="4320"/>
        </w:tabs>
        <w:ind w:left="4320" w:hanging="360"/>
      </w:pPr>
      <w:rPr>
        <w:rFonts w:ascii="Symbol" w:hAnsi="Symbol" w:hint="default"/>
      </w:rPr>
    </w:lvl>
    <w:lvl w:ilvl="6" w:tplc="FC6083DE" w:tentative="1">
      <w:start w:val="1"/>
      <w:numFmt w:val="bullet"/>
      <w:lvlText w:val=""/>
      <w:lvlJc w:val="left"/>
      <w:pPr>
        <w:tabs>
          <w:tab w:val="num" w:pos="5040"/>
        </w:tabs>
        <w:ind w:left="5040" w:hanging="360"/>
      </w:pPr>
      <w:rPr>
        <w:rFonts w:ascii="Symbol" w:hAnsi="Symbol" w:hint="default"/>
      </w:rPr>
    </w:lvl>
    <w:lvl w:ilvl="7" w:tplc="78B41C7E" w:tentative="1">
      <w:start w:val="1"/>
      <w:numFmt w:val="bullet"/>
      <w:lvlText w:val=""/>
      <w:lvlJc w:val="left"/>
      <w:pPr>
        <w:tabs>
          <w:tab w:val="num" w:pos="5760"/>
        </w:tabs>
        <w:ind w:left="5760" w:hanging="360"/>
      </w:pPr>
      <w:rPr>
        <w:rFonts w:ascii="Symbol" w:hAnsi="Symbol" w:hint="default"/>
      </w:rPr>
    </w:lvl>
    <w:lvl w:ilvl="8" w:tplc="800CE69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AF11EFC"/>
    <w:multiLevelType w:val="hybridMultilevel"/>
    <w:tmpl w:val="B1A8EA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C80655E"/>
    <w:multiLevelType w:val="hybridMultilevel"/>
    <w:tmpl w:val="477E1CCE"/>
    <w:lvl w:ilvl="0" w:tplc="DFF67B5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65ED10B2"/>
    <w:multiLevelType w:val="hybridMultilevel"/>
    <w:tmpl w:val="69FA3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B70BE2"/>
    <w:multiLevelType w:val="multilevel"/>
    <w:tmpl w:val="325439B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862"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3" w15:restartNumberingAfterBreak="0">
    <w:nsid w:val="68EA3252"/>
    <w:multiLevelType w:val="hybridMultilevel"/>
    <w:tmpl w:val="05364EF6"/>
    <w:lvl w:ilvl="0" w:tplc="4416623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92583D"/>
    <w:multiLevelType w:val="multilevel"/>
    <w:tmpl w:val="E5465E4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A730572"/>
    <w:multiLevelType w:val="hybridMultilevel"/>
    <w:tmpl w:val="31DE9D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6E697D15"/>
    <w:multiLevelType w:val="hybridMultilevel"/>
    <w:tmpl w:val="30CA2C3E"/>
    <w:lvl w:ilvl="0" w:tplc="3F6C70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0041FD6"/>
    <w:multiLevelType w:val="multilevel"/>
    <w:tmpl w:val="29B0B8A8"/>
    <w:lvl w:ilvl="0">
      <w:start w:val="1"/>
      <w:numFmt w:val="decimal"/>
      <w:lvlText w:val="%1"/>
      <w:lvlJc w:val="left"/>
      <w:pPr>
        <w:ind w:left="850" w:hanging="850"/>
      </w:pPr>
      <w:rPr>
        <w:rFonts w:hint="default"/>
        <w:b/>
        <w:color w:val="000000"/>
      </w:rPr>
    </w:lvl>
    <w:lvl w:ilvl="1">
      <w:start w:val="1"/>
      <w:numFmt w:val="decimal"/>
      <w:lvlText w:val="%1.%2"/>
      <w:lvlJc w:val="left"/>
      <w:pPr>
        <w:ind w:left="1417" w:hanging="850"/>
      </w:pPr>
      <w:rPr>
        <w:rFonts w:hint="default"/>
        <w:b/>
        <w:color w:val="000000"/>
      </w:rPr>
    </w:lvl>
    <w:lvl w:ilvl="2">
      <w:start w:val="1"/>
      <w:numFmt w:val="decimal"/>
      <w:lvlText w:val="%1.%2.%3"/>
      <w:lvlJc w:val="left"/>
      <w:pPr>
        <w:ind w:left="1984" w:hanging="850"/>
      </w:pPr>
      <w:rPr>
        <w:rFonts w:hint="default"/>
        <w:b/>
        <w:color w:val="000000"/>
      </w:rPr>
    </w:lvl>
    <w:lvl w:ilvl="3">
      <w:start w:val="1"/>
      <w:numFmt w:val="decimal"/>
      <w:lvlText w:val="%1.%2.%3.%4"/>
      <w:lvlJc w:val="left"/>
      <w:pPr>
        <w:ind w:left="2781" w:hanging="1080"/>
      </w:pPr>
      <w:rPr>
        <w:rFonts w:hint="default"/>
        <w:b/>
        <w:color w:val="000000"/>
      </w:rPr>
    </w:lvl>
    <w:lvl w:ilvl="4">
      <w:start w:val="1"/>
      <w:numFmt w:val="decimal"/>
      <w:lvlText w:val="%1.%2.%3.%4.%5"/>
      <w:lvlJc w:val="left"/>
      <w:pPr>
        <w:ind w:left="3348" w:hanging="1080"/>
      </w:pPr>
      <w:rPr>
        <w:rFonts w:hint="default"/>
        <w:b/>
        <w:color w:val="000000"/>
      </w:rPr>
    </w:lvl>
    <w:lvl w:ilvl="5">
      <w:start w:val="1"/>
      <w:numFmt w:val="decimal"/>
      <w:lvlText w:val="%1.%2.%3.%4.%5.%6"/>
      <w:lvlJc w:val="left"/>
      <w:pPr>
        <w:ind w:left="4275" w:hanging="1440"/>
      </w:pPr>
      <w:rPr>
        <w:rFonts w:hint="default"/>
        <w:b/>
        <w:color w:val="000000"/>
      </w:rPr>
    </w:lvl>
    <w:lvl w:ilvl="6">
      <w:start w:val="1"/>
      <w:numFmt w:val="decimal"/>
      <w:lvlText w:val="%1.%2.%3.%4.%5.%6.%7"/>
      <w:lvlJc w:val="left"/>
      <w:pPr>
        <w:ind w:left="5202" w:hanging="1800"/>
      </w:pPr>
      <w:rPr>
        <w:rFonts w:hint="default"/>
        <w:b/>
        <w:color w:val="000000"/>
      </w:rPr>
    </w:lvl>
    <w:lvl w:ilvl="7">
      <w:start w:val="1"/>
      <w:numFmt w:val="decimal"/>
      <w:lvlText w:val="%1.%2.%3.%4.%5.%6.%7.%8"/>
      <w:lvlJc w:val="left"/>
      <w:pPr>
        <w:ind w:left="5769" w:hanging="1800"/>
      </w:pPr>
      <w:rPr>
        <w:rFonts w:hint="default"/>
        <w:b/>
        <w:color w:val="000000"/>
      </w:rPr>
    </w:lvl>
    <w:lvl w:ilvl="8">
      <w:start w:val="1"/>
      <w:numFmt w:val="decimal"/>
      <w:lvlText w:val="%1.%2.%3.%4.%5.%6.%7.%8.%9"/>
      <w:lvlJc w:val="left"/>
      <w:pPr>
        <w:ind w:left="6696" w:hanging="2160"/>
      </w:pPr>
      <w:rPr>
        <w:rFonts w:hint="default"/>
        <w:b/>
        <w:color w:val="000000"/>
      </w:rPr>
    </w:lvl>
  </w:abstractNum>
  <w:abstractNum w:abstractNumId="38" w15:restartNumberingAfterBreak="0">
    <w:nsid w:val="718C4F6B"/>
    <w:multiLevelType w:val="hybridMultilevel"/>
    <w:tmpl w:val="FC20DD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2D0791C"/>
    <w:multiLevelType w:val="hybridMultilevel"/>
    <w:tmpl w:val="EF0E9C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74AB280A"/>
    <w:multiLevelType w:val="hybridMultilevel"/>
    <w:tmpl w:val="67C44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D35E52"/>
    <w:multiLevelType w:val="hybridMultilevel"/>
    <w:tmpl w:val="6EDA00D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21089B"/>
    <w:multiLevelType w:val="hybridMultilevel"/>
    <w:tmpl w:val="B1A8EA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9FA2F27"/>
    <w:multiLevelType w:val="hybridMultilevel"/>
    <w:tmpl w:val="B1A8EA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BD975F4"/>
    <w:multiLevelType w:val="hybridMultilevel"/>
    <w:tmpl w:val="7850FFB4"/>
    <w:lvl w:ilvl="0" w:tplc="D92AA40A">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plc="E3A84A3A" w:tentative="1">
      <w:start w:val="1"/>
      <w:numFmt w:val="bullet"/>
      <w:lvlText w:val=""/>
      <w:lvlJc w:val="left"/>
      <w:pPr>
        <w:tabs>
          <w:tab w:val="num" w:pos="1440"/>
        </w:tabs>
        <w:ind w:left="1440" w:hanging="360"/>
      </w:pPr>
      <w:rPr>
        <w:rFonts w:ascii="Symbol" w:hAnsi="Symbol" w:hint="default"/>
      </w:rPr>
    </w:lvl>
    <w:lvl w:ilvl="2" w:tplc="F68CDC8E" w:tentative="1">
      <w:start w:val="1"/>
      <w:numFmt w:val="bullet"/>
      <w:lvlText w:val=""/>
      <w:lvlJc w:val="left"/>
      <w:pPr>
        <w:tabs>
          <w:tab w:val="num" w:pos="2160"/>
        </w:tabs>
        <w:ind w:left="2160" w:hanging="360"/>
      </w:pPr>
      <w:rPr>
        <w:rFonts w:ascii="Symbol" w:hAnsi="Symbol" w:hint="default"/>
      </w:rPr>
    </w:lvl>
    <w:lvl w:ilvl="3" w:tplc="F2BC9E6E" w:tentative="1">
      <w:start w:val="1"/>
      <w:numFmt w:val="bullet"/>
      <w:lvlText w:val=""/>
      <w:lvlJc w:val="left"/>
      <w:pPr>
        <w:tabs>
          <w:tab w:val="num" w:pos="2880"/>
        </w:tabs>
        <w:ind w:left="2880" w:hanging="360"/>
      </w:pPr>
      <w:rPr>
        <w:rFonts w:ascii="Symbol" w:hAnsi="Symbol" w:hint="default"/>
      </w:rPr>
    </w:lvl>
    <w:lvl w:ilvl="4" w:tplc="936AB082" w:tentative="1">
      <w:start w:val="1"/>
      <w:numFmt w:val="bullet"/>
      <w:lvlText w:val=""/>
      <w:lvlJc w:val="left"/>
      <w:pPr>
        <w:tabs>
          <w:tab w:val="num" w:pos="3600"/>
        </w:tabs>
        <w:ind w:left="3600" w:hanging="360"/>
      </w:pPr>
      <w:rPr>
        <w:rFonts w:ascii="Symbol" w:hAnsi="Symbol" w:hint="default"/>
      </w:rPr>
    </w:lvl>
    <w:lvl w:ilvl="5" w:tplc="EFC88592" w:tentative="1">
      <w:start w:val="1"/>
      <w:numFmt w:val="bullet"/>
      <w:lvlText w:val=""/>
      <w:lvlJc w:val="left"/>
      <w:pPr>
        <w:tabs>
          <w:tab w:val="num" w:pos="4320"/>
        </w:tabs>
        <w:ind w:left="4320" w:hanging="360"/>
      </w:pPr>
      <w:rPr>
        <w:rFonts w:ascii="Symbol" w:hAnsi="Symbol" w:hint="default"/>
      </w:rPr>
    </w:lvl>
    <w:lvl w:ilvl="6" w:tplc="C4660CE0" w:tentative="1">
      <w:start w:val="1"/>
      <w:numFmt w:val="bullet"/>
      <w:lvlText w:val=""/>
      <w:lvlJc w:val="left"/>
      <w:pPr>
        <w:tabs>
          <w:tab w:val="num" w:pos="5040"/>
        </w:tabs>
        <w:ind w:left="5040" w:hanging="360"/>
      </w:pPr>
      <w:rPr>
        <w:rFonts w:ascii="Symbol" w:hAnsi="Symbol" w:hint="default"/>
      </w:rPr>
    </w:lvl>
    <w:lvl w:ilvl="7" w:tplc="2888493C" w:tentative="1">
      <w:start w:val="1"/>
      <w:numFmt w:val="bullet"/>
      <w:lvlText w:val=""/>
      <w:lvlJc w:val="left"/>
      <w:pPr>
        <w:tabs>
          <w:tab w:val="num" w:pos="5760"/>
        </w:tabs>
        <w:ind w:left="5760" w:hanging="360"/>
      </w:pPr>
      <w:rPr>
        <w:rFonts w:ascii="Symbol" w:hAnsi="Symbol" w:hint="default"/>
      </w:rPr>
    </w:lvl>
    <w:lvl w:ilvl="8" w:tplc="DBD05CF0"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C00608F"/>
    <w:multiLevelType w:val="hybridMultilevel"/>
    <w:tmpl w:val="1D1C36D4"/>
    <w:lvl w:ilvl="0" w:tplc="7DD60082">
      <w:numFmt w:val="bullet"/>
      <w:lvlText w:val="•"/>
      <w:lvlJc w:val="left"/>
      <w:pPr>
        <w:ind w:left="1440" w:hanging="360"/>
      </w:pPr>
      <w:rPr>
        <w:rFonts w:ascii="Times New Roman" w:hAnsi="Times New Roman" w:cs="Times New Roman" w:hint="default"/>
      </w:rPr>
    </w:lvl>
    <w:lvl w:ilvl="1" w:tplc="293095A8">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7CC732A6"/>
    <w:multiLevelType w:val="multilevel"/>
    <w:tmpl w:val="0A2211E0"/>
    <w:lvl w:ilvl="0">
      <w:start w:val="3"/>
      <w:numFmt w:val="decimal"/>
      <w:lvlText w:val="%1."/>
      <w:lvlJc w:val="left"/>
      <w:pPr>
        <w:ind w:left="720" w:hanging="360"/>
      </w:pPr>
      <w:rPr>
        <w:rFonts w:hint="default"/>
      </w:rPr>
    </w:lvl>
    <w:lvl w:ilvl="1">
      <w:start w:val="2"/>
      <w:numFmt w:val="decimal"/>
      <w:isLgl/>
      <w:lvlText w:val="%1.%2"/>
      <w:lvlJc w:val="left"/>
      <w:pPr>
        <w:ind w:left="1417" w:hanging="850"/>
      </w:pPr>
      <w:rPr>
        <w:rFonts w:hint="default"/>
      </w:rPr>
    </w:lvl>
    <w:lvl w:ilvl="2">
      <w:start w:val="1"/>
      <w:numFmt w:val="decimal"/>
      <w:isLgl/>
      <w:lvlText w:val="%1.%2.%3"/>
      <w:lvlJc w:val="left"/>
      <w:pPr>
        <w:ind w:left="1624" w:hanging="85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abstractNumId w:val="34"/>
  </w:num>
  <w:num w:numId="2">
    <w:abstractNumId w:val="20"/>
  </w:num>
  <w:num w:numId="3">
    <w:abstractNumId w:val="16"/>
  </w:num>
  <w:num w:numId="4">
    <w:abstractNumId w:val="13"/>
  </w:num>
  <w:num w:numId="5">
    <w:abstractNumId w:val="2"/>
  </w:num>
  <w:num w:numId="6">
    <w:abstractNumId w:val="27"/>
  </w:num>
  <w:num w:numId="7">
    <w:abstractNumId w:val="8"/>
  </w:num>
  <w:num w:numId="8">
    <w:abstractNumId w:val="42"/>
  </w:num>
  <w:num w:numId="9">
    <w:abstractNumId w:val="46"/>
  </w:num>
  <w:num w:numId="10">
    <w:abstractNumId w:val="33"/>
  </w:num>
  <w:num w:numId="11">
    <w:abstractNumId w:val="36"/>
  </w:num>
  <w:num w:numId="12">
    <w:abstractNumId w:val="35"/>
  </w:num>
  <w:num w:numId="13">
    <w:abstractNumId w:val="15"/>
  </w:num>
  <w:num w:numId="14">
    <w:abstractNumId w:val="28"/>
  </w:num>
  <w:num w:numId="15">
    <w:abstractNumId w:val="44"/>
  </w:num>
  <w:num w:numId="16">
    <w:abstractNumId w:val="40"/>
  </w:num>
  <w:num w:numId="17">
    <w:abstractNumId w:val="38"/>
  </w:num>
  <w:num w:numId="18">
    <w:abstractNumId w:val="37"/>
  </w:num>
  <w:num w:numId="19">
    <w:abstractNumId w:val="43"/>
  </w:num>
  <w:num w:numId="20">
    <w:abstractNumId w:val="22"/>
  </w:num>
  <w:num w:numId="21">
    <w:abstractNumId w:val="14"/>
  </w:num>
  <w:num w:numId="22">
    <w:abstractNumId w:val="26"/>
  </w:num>
  <w:num w:numId="23">
    <w:abstractNumId w:val="10"/>
  </w:num>
  <w:num w:numId="24">
    <w:abstractNumId w:val="21"/>
  </w:num>
  <w:num w:numId="25">
    <w:abstractNumId w:val="39"/>
  </w:num>
  <w:num w:numId="26">
    <w:abstractNumId w:val="23"/>
  </w:num>
  <w:num w:numId="27">
    <w:abstractNumId w:val="12"/>
  </w:num>
  <w:num w:numId="28">
    <w:abstractNumId w:val="4"/>
  </w:num>
  <w:num w:numId="29">
    <w:abstractNumId w:val="11"/>
  </w:num>
  <w:num w:numId="30">
    <w:abstractNumId w:val="32"/>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29"/>
  </w:num>
  <w:num w:numId="34">
    <w:abstractNumId w:val="3"/>
  </w:num>
  <w:num w:numId="35">
    <w:abstractNumId w:val="17"/>
  </w:num>
  <w:num w:numId="36">
    <w:abstractNumId w:val="5"/>
  </w:num>
  <w:num w:numId="37">
    <w:abstractNumId w:val="6"/>
  </w:num>
  <w:num w:numId="38">
    <w:abstractNumId w:val="1"/>
  </w:num>
  <w:num w:numId="39">
    <w:abstractNumId w:val="7"/>
  </w:num>
  <w:num w:numId="40">
    <w:abstractNumId w:val="9"/>
  </w:num>
  <w:num w:numId="41">
    <w:abstractNumId w:val="41"/>
  </w:num>
  <w:num w:numId="42">
    <w:abstractNumId w:val="19"/>
  </w:num>
  <w:num w:numId="43">
    <w:abstractNumId w:val="30"/>
  </w:num>
  <w:num w:numId="44">
    <w:abstractNumId w:val="24"/>
  </w:num>
  <w:num w:numId="45">
    <w:abstractNumId w:val="31"/>
  </w:num>
  <w:num w:numId="46">
    <w:abstractNumId w:val="0"/>
  </w:num>
  <w:num w:numId="47">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UwMrc0szQwMDQwNjdW0lEKTi0uzszPAykwrAUA8CgAgiwAAAA="/>
  </w:docVars>
  <w:rsids>
    <w:rsidRoot w:val="00613A1B"/>
    <w:rsid w:val="000031B2"/>
    <w:rsid w:val="00006148"/>
    <w:rsid w:val="00006440"/>
    <w:rsid w:val="00010481"/>
    <w:rsid w:val="00010E9D"/>
    <w:rsid w:val="00013FB9"/>
    <w:rsid w:val="00015C2E"/>
    <w:rsid w:val="000160A1"/>
    <w:rsid w:val="00017463"/>
    <w:rsid w:val="00017D95"/>
    <w:rsid w:val="00021B57"/>
    <w:rsid w:val="00025D65"/>
    <w:rsid w:val="00031C19"/>
    <w:rsid w:val="00035A1D"/>
    <w:rsid w:val="00035FF5"/>
    <w:rsid w:val="0003719A"/>
    <w:rsid w:val="0004243B"/>
    <w:rsid w:val="000439D0"/>
    <w:rsid w:val="00050D66"/>
    <w:rsid w:val="00050DA8"/>
    <w:rsid w:val="00053175"/>
    <w:rsid w:val="000600DD"/>
    <w:rsid w:val="00061924"/>
    <w:rsid w:val="00062253"/>
    <w:rsid w:val="00064E5C"/>
    <w:rsid w:val="0006521B"/>
    <w:rsid w:val="00066CCA"/>
    <w:rsid w:val="0007004D"/>
    <w:rsid w:val="00070378"/>
    <w:rsid w:val="00071FBC"/>
    <w:rsid w:val="000723DF"/>
    <w:rsid w:val="00075DC4"/>
    <w:rsid w:val="00083A4B"/>
    <w:rsid w:val="00091951"/>
    <w:rsid w:val="000931FF"/>
    <w:rsid w:val="000943E4"/>
    <w:rsid w:val="00094994"/>
    <w:rsid w:val="0009576B"/>
    <w:rsid w:val="00095FE5"/>
    <w:rsid w:val="00097959"/>
    <w:rsid w:val="00097BF3"/>
    <w:rsid w:val="00097FC0"/>
    <w:rsid w:val="000A2711"/>
    <w:rsid w:val="000A4037"/>
    <w:rsid w:val="000A49CB"/>
    <w:rsid w:val="000A54A8"/>
    <w:rsid w:val="000A6155"/>
    <w:rsid w:val="000B43C5"/>
    <w:rsid w:val="000B4E71"/>
    <w:rsid w:val="000B7087"/>
    <w:rsid w:val="000B7B11"/>
    <w:rsid w:val="000C04C5"/>
    <w:rsid w:val="000C310A"/>
    <w:rsid w:val="000C4CB2"/>
    <w:rsid w:val="000C5CB1"/>
    <w:rsid w:val="000D0713"/>
    <w:rsid w:val="000D0865"/>
    <w:rsid w:val="000D1857"/>
    <w:rsid w:val="000D35BB"/>
    <w:rsid w:val="000D38EF"/>
    <w:rsid w:val="000D3C95"/>
    <w:rsid w:val="000D4516"/>
    <w:rsid w:val="000D49AF"/>
    <w:rsid w:val="000D5E56"/>
    <w:rsid w:val="000D7C22"/>
    <w:rsid w:val="000E125E"/>
    <w:rsid w:val="00104F9B"/>
    <w:rsid w:val="00105B57"/>
    <w:rsid w:val="00107205"/>
    <w:rsid w:val="001078CF"/>
    <w:rsid w:val="0011041E"/>
    <w:rsid w:val="00116BEA"/>
    <w:rsid w:val="001231A3"/>
    <w:rsid w:val="0012383F"/>
    <w:rsid w:val="00123F5B"/>
    <w:rsid w:val="00124C35"/>
    <w:rsid w:val="001258D3"/>
    <w:rsid w:val="00126336"/>
    <w:rsid w:val="00126797"/>
    <w:rsid w:val="0012698C"/>
    <w:rsid w:val="00127151"/>
    <w:rsid w:val="00131719"/>
    <w:rsid w:val="00133DFA"/>
    <w:rsid w:val="0013447B"/>
    <w:rsid w:val="001369D5"/>
    <w:rsid w:val="00136E20"/>
    <w:rsid w:val="00140EBD"/>
    <w:rsid w:val="001412B0"/>
    <w:rsid w:val="00143D6B"/>
    <w:rsid w:val="00143E7B"/>
    <w:rsid w:val="00150C5E"/>
    <w:rsid w:val="0016419E"/>
    <w:rsid w:val="00165CE5"/>
    <w:rsid w:val="001663CC"/>
    <w:rsid w:val="001707CD"/>
    <w:rsid w:val="00170826"/>
    <w:rsid w:val="00171F42"/>
    <w:rsid w:val="00175CB4"/>
    <w:rsid w:val="0017710F"/>
    <w:rsid w:val="00180886"/>
    <w:rsid w:val="00182D80"/>
    <w:rsid w:val="0018422B"/>
    <w:rsid w:val="00190FC3"/>
    <w:rsid w:val="001945FF"/>
    <w:rsid w:val="00195EF9"/>
    <w:rsid w:val="001A233B"/>
    <w:rsid w:val="001A5AC8"/>
    <w:rsid w:val="001A5C62"/>
    <w:rsid w:val="001B02B3"/>
    <w:rsid w:val="001B35D5"/>
    <w:rsid w:val="001B487F"/>
    <w:rsid w:val="001B686B"/>
    <w:rsid w:val="001C0D23"/>
    <w:rsid w:val="001C1037"/>
    <w:rsid w:val="001C211F"/>
    <w:rsid w:val="001C3116"/>
    <w:rsid w:val="001C4BF8"/>
    <w:rsid w:val="001C7629"/>
    <w:rsid w:val="001D37D3"/>
    <w:rsid w:val="001D5C40"/>
    <w:rsid w:val="001E17B7"/>
    <w:rsid w:val="001E6FF5"/>
    <w:rsid w:val="001E7011"/>
    <w:rsid w:val="001E7F40"/>
    <w:rsid w:val="001F0E41"/>
    <w:rsid w:val="001F46C5"/>
    <w:rsid w:val="00202677"/>
    <w:rsid w:val="00202726"/>
    <w:rsid w:val="00204873"/>
    <w:rsid w:val="00207374"/>
    <w:rsid w:val="00212240"/>
    <w:rsid w:val="00216933"/>
    <w:rsid w:val="00221335"/>
    <w:rsid w:val="00221D82"/>
    <w:rsid w:val="002223E5"/>
    <w:rsid w:val="0022319E"/>
    <w:rsid w:val="00223640"/>
    <w:rsid w:val="00224767"/>
    <w:rsid w:val="00225149"/>
    <w:rsid w:val="00225676"/>
    <w:rsid w:val="00225D1F"/>
    <w:rsid w:val="00226BEE"/>
    <w:rsid w:val="0023005B"/>
    <w:rsid w:val="00230C76"/>
    <w:rsid w:val="002322B6"/>
    <w:rsid w:val="00234A06"/>
    <w:rsid w:val="0024019A"/>
    <w:rsid w:val="0024789C"/>
    <w:rsid w:val="0025265A"/>
    <w:rsid w:val="00254B5B"/>
    <w:rsid w:val="00257510"/>
    <w:rsid w:val="00260FA0"/>
    <w:rsid w:val="002622F3"/>
    <w:rsid w:val="00262982"/>
    <w:rsid w:val="002635DA"/>
    <w:rsid w:val="0026594B"/>
    <w:rsid w:val="00266A3E"/>
    <w:rsid w:val="00267261"/>
    <w:rsid w:val="002712F7"/>
    <w:rsid w:val="00272136"/>
    <w:rsid w:val="00273C23"/>
    <w:rsid w:val="002750F1"/>
    <w:rsid w:val="00277EBA"/>
    <w:rsid w:val="00281B63"/>
    <w:rsid w:val="00282E71"/>
    <w:rsid w:val="002845AA"/>
    <w:rsid w:val="002905F3"/>
    <w:rsid w:val="002925BB"/>
    <w:rsid w:val="00293A56"/>
    <w:rsid w:val="00294626"/>
    <w:rsid w:val="0029558B"/>
    <w:rsid w:val="002A279A"/>
    <w:rsid w:val="002A2E38"/>
    <w:rsid w:val="002A46D8"/>
    <w:rsid w:val="002B0292"/>
    <w:rsid w:val="002B2D52"/>
    <w:rsid w:val="002B4EF0"/>
    <w:rsid w:val="002B4F84"/>
    <w:rsid w:val="002B5C33"/>
    <w:rsid w:val="002B6079"/>
    <w:rsid w:val="002B71B9"/>
    <w:rsid w:val="002C05EE"/>
    <w:rsid w:val="002C3954"/>
    <w:rsid w:val="002C5545"/>
    <w:rsid w:val="002D4636"/>
    <w:rsid w:val="002D4DD8"/>
    <w:rsid w:val="002F040F"/>
    <w:rsid w:val="002F11EB"/>
    <w:rsid w:val="002F4BE0"/>
    <w:rsid w:val="002F588F"/>
    <w:rsid w:val="002F6118"/>
    <w:rsid w:val="00303C60"/>
    <w:rsid w:val="0030495A"/>
    <w:rsid w:val="00305808"/>
    <w:rsid w:val="00306BFD"/>
    <w:rsid w:val="00310E64"/>
    <w:rsid w:val="00310F32"/>
    <w:rsid w:val="0031220C"/>
    <w:rsid w:val="00313955"/>
    <w:rsid w:val="00316F77"/>
    <w:rsid w:val="00321A19"/>
    <w:rsid w:val="003235EC"/>
    <w:rsid w:val="003254A5"/>
    <w:rsid w:val="00325DC6"/>
    <w:rsid w:val="003260D7"/>
    <w:rsid w:val="003266B6"/>
    <w:rsid w:val="00326948"/>
    <w:rsid w:val="003341C3"/>
    <w:rsid w:val="003372E2"/>
    <w:rsid w:val="0033753B"/>
    <w:rsid w:val="00342832"/>
    <w:rsid w:val="00355F98"/>
    <w:rsid w:val="003615AD"/>
    <w:rsid w:val="003628EA"/>
    <w:rsid w:val="00364712"/>
    <w:rsid w:val="003675C2"/>
    <w:rsid w:val="00370D58"/>
    <w:rsid w:val="003728E4"/>
    <w:rsid w:val="0037516C"/>
    <w:rsid w:val="003802D5"/>
    <w:rsid w:val="0038094C"/>
    <w:rsid w:val="00380A98"/>
    <w:rsid w:val="0038219A"/>
    <w:rsid w:val="0038415D"/>
    <w:rsid w:val="003855E1"/>
    <w:rsid w:val="003907DC"/>
    <w:rsid w:val="0039093F"/>
    <w:rsid w:val="00390E04"/>
    <w:rsid w:val="00391840"/>
    <w:rsid w:val="0039360E"/>
    <w:rsid w:val="003A0329"/>
    <w:rsid w:val="003A0678"/>
    <w:rsid w:val="003A680D"/>
    <w:rsid w:val="003B1977"/>
    <w:rsid w:val="003B45FB"/>
    <w:rsid w:val="003B6152"/>
    <w:rsid w:val="003C106E"/>
    <w:rsid w:val="003C17B8"/>
    <w:rsid w:val="003C195F"/>
    <w:rsid w:val="003C29FF"/>
    <w:rsid w:val="003C4851"/>
    <w:rsid w:val="003C4C05"/>
    <w:rsid w:val="003C597C"/>
    <w:rsid w:val="003D1DBC"/>
    <w:rsid w:val="003D3028"/>
    <w:rsid w:val="003D36FD"/>
    <w:rsid w:val="003E139E"/>
    <w:rsid w:val="003E46E6"/>
    <w:rsid w:val="003E5777"/>
    <w:rsid w:val="003E5992"/>
    <w:rsid w:val="003E756C"/>
    <w:rsid w:val="003F1C4B"/>
    <w:rsid w:val="003F1ED6"/>
    <w:rsid w:val="003F2791"/>
    <w:rsid w:val="003F3E92"/>
    <w:rsid w:val="003F5C2A"/>
    <w:rsid w:val="00402A5F"/>
    <w:rsid w:val="00403D59"/>
    <w:rsid w:val="00404317"/>
    <w:rsid w:val="00407E32"/>
    <w:rsid w:val="0041144C"/>
    <w:rsid w:val="00411CCF"/>
    <w:rsid w:val="00412C28"/>
    <w:rsid w:val="00416291"/>
    <w:rsid w:val="00420238"/>
    <w:rsid w:val="0042030A"/>
    <w:rsid w:val="00422ECF"/>
    <w:rsid w:val="00425375"/>
    <w:rsid w:val="0042637C"/>
    <w:rsid w:val="004279BA"/>
    <w:rsid w:val="00430F72"/>
    <w:rsid w:val="004362E3"/>
    <w:rsid w:val="00441CE8"/>
    <w:rsid w:val="0044203E"/>
    <w:rsid w:val="0044491F"/>
    <w:rsid w:val="0046192A"/>
    <w:rsid w:val="00462D63"/>
    <w:rsid w:val="004650F1"/>
    <w:rsid w:val="004677D5"/>
    <w:rsid w:val="00470D28"/>
    <w:rsid w:val="00471322"/>
    <w:rsid w:val="0047260E"/>
    <w:rsid w:val="004770D9"/>
    <w:rsid w:val="004809EA"/>
    <w:rsid w:val="00481050"/>
    <w:rsid w:val="0048173A"/>
    <w:rsid w:val="00487F90"/>
    <w:rsid w:val="00487FCC"/>
    <w:rsid w:val="004908BA"/>
    <w:rsid w:val="00492A6D"/>
    <w:rsid w:val="004A18D7"/>
    <w:rsid w:val="004A26FD"/>
    <w:rsid w:val="004A7929"/>
    <w:rsid w:val="004B03F5"/>
    <w:rsid w:val="004B1125"/>
    <w:rsid w:val="004B19A1"/>
    <w:rsid w:val="004B6F46"/>
    <w:rsid w:val="004C037E"/>
    <w:rsid w:val="004C3414"/>
    <w:rsid w:val="004C447F"/>
    <w:rsid w:val="004C47CB"/>
    <w:rsid w:val="004C4BC9"/>
    <w:rsid w:val="004C4CEC"/>
    <w:rsid w:val="004C6520"/>
    <w:rsid w:val="004C713A"/>
    <w:rsid w:val="004D4D24"/>
    <w:rsid w:val="004D739D"/>
    <w:rsid w:val="004E052B"/>
    <w:rsid w:val="004E13F4"/>
    <w:rsid w:val="004E231D"/>
    <w:rsid w:val="004E2FED"/>
    <w:rsid w:val="004E3427"/>
    <w:rsid w:val="004E426A"/>
    <w:rsid w:val="004E6D9D"/>
    <w:rsid w:val="004F146D"/>
    <w:rsid w:val="004F2780"/>
    <w:rsid w:val="004F61D5"/>
    <w:rsid w:val="004F69C1"/>
    <w:rsid w:val="004F7EC7"/>
    <w:rsid w:val="00500EB8"/>
    <w:rsid w:val="0050274D"/>
    <w:rsid w:val="00503B8C"/>
    <w:rsid w:val="005073A5"/>
    <w:rsid w:val="00511289"/>
    <w:rsid w:val="0051289C"/>
    <w:rsid w:val="00515EE5"/>
    <w:rsid w:val="00516349"/>
    <w:rsid w:val="0052183E"/>
    <w:rsid w:val="005219CA"/>
    <w:rsid w:val="00525BC7"/>
    <w:rsid w:val="00526EDF"/>
    <w:rsid w:val="00527FAA"/>
    <w:rsid w:val="0053055F"/>
    <w:rsid w:val="00533336"/>
    <w:rsid w:val="00534EEF"/>
    <w:rsid w:val="005367B1"/>
    <w:rsid w:val="00540AEE"/>
    <w:rsid w:val="005415DD"/>
    <w:rsid w:val="005440FE"/>
    <w:rsid w:val="00546353"/>
    <w:rsid w:val="005534B0"/>
    <w:rsid w:val="005536C0"/>
    <w:rsid w:val="0056274A"/>
    <w:rsid w:val="005638F7"/>
    <w:rsid w:val="005678F1"/>
    <w:rsid w:val="00571820"/>
    <w:rsid w:val="0057222F"/>
    <w:rsid w:val="00575CAF"/>
    <w:rsid w:val="00577960"/>
    <w:rsid w:val="00577C7D"/>
    <w:rsid w:val="0058095E"/>
    <w:rsid w:val="00580AB5"/>
    <w:rsid w:val="00581537"/>
    <w:rsid w:val="0058310F"/>
    <w:rsid w:val="0058542A"/>
    <w:rsid w:val="00585B55"/>
    <w:rsid w:val="00586AD7"/>
    <w:rsid w:val="00594CDB"/>
    <w:rsid w:val="00595F24"/>
    <w:rsid w:val="00597E0C"/>
    <w:rsid w:val="005A05B7"/>
    <w:rsid w:val="005A2DE6"/>
    <w:rsid w:val="005A470E"/>
    <w:rsid w:val="005A7B0F"/>
    <w:rsid w:val="005B046A"/>
    <w:rsid w:val="005B04E3"/>
    <w:rsid w:val="005B0610"/>
    <w:rsid w:val="005B4BEB"/>
    <w:rsid w:val="005B5613"/>
    <w:rsid w:val="005B752C"/>
    <w:rsid w:val="005B7E1D"/>
    <w:rsid w:val="005C1F7F"/>
    <w:rsid w:val="005C305C"/>
    <w:rsid w:val="005C3761"/>
    <w:rsid w:val="005C4DD4"/>
    <w:rsid w:val="005C54CE"/>
    <w:rsid w:val="005D1756"/>
    <w:rsid w:val="005D3441"/>
    <w:rsid w:val="005D61EC"/>
    <w:rsid w:val="005D76A2"/>
    <w:rsid w:val="005D7773"/>
    <w:rsid w:val="005E108F"/>
    <w:rsid w:val="005E1B1E"/>
    <w:rsid w:val="005E1D8E"/>
    <w:rsid w:val="005E5F60"/>
    <w:rsid w:val="005F44BA"/>
    <w:rsid w:val="005F4DD7"/>
    <w:rsid w:val="005F5385"/>
    <w:rsid w:val="005F775E"/>
    <w:rsid w:val="0060156A"/>
    <w:rsid w:val="00601743"/>
    <w:rsid w:val="00601C56"/>
    <w:rsid w:val="00601F31"/>
    <w:rsid w:val="00602AC6"/>
    <w:rsid w:val="006108F1"/>
    <w:rsid w:val="00610A14"/>
    <w:rsid w:val="00613A1B"/>
    <w:rsid w:val="0062041F"/>
    <w:rsid w:val="00627A4C"/>
    <w:rsid w:val="00630C34"/>
    <w:rsid w:val="00633D6D"/>
    <w:rsid w:val="006349B5"/>
    <w:rsid w:val="00635EAA"/>
    <w:rsid w:val="00643B3E"/>
    <w:rsid w:val="006440C3"/>
    <w:rsid w:val="00652A58"/>
    <w:rsid w:val="00654C12"/>
    <w:rsid w:val="006574D7"/>
    <w:rsid w:val="00657625"/>
    <w:rsid w:val="00657950"/>
    <w:rsid w:val="00662250"/>
    <w:rsid w:val="00672B17"/>
    <w:rsid w:val="00675E19"/>
    <w:rsid w:val="00686F63"/>
    <w:rsid w:val="00693440"/>
    <w:rsid w:val="006A4829"/>
    <w:rsid w:val="006A696A"/>
    <w:rsid w:val="006B109B"/>
    <w:rsid w:val="006B1CDB"/>
    <w:rsid w:val="006B33B9"/>
    <w:rsid w:val="006B65D0"/>
    <w:rsid w:val="006B678D"/>
    <w:rsid w:val="006C2D5D"/>
    <w:rsid w:val="006C33AE"/>
    <w:rsid w:val="006C42AA"/>
    <w:rsid w:val="006C632A"/>
    <w:rsid w:val="006D22A8"/>
    <w:rsid w:val="006D2664"/>
    <w:rsid w:val="006D30D5"/>
    <w:rsid w:val="006D3995"/>
    <w:rsid w:val="006D479C"/>
    <w:rsid w:val="006D4AB8"/>
    <w:rsid w:val="006E0468"/>
    <w:rsid w:val="006E1A7E"/>
    <w:rsid w:val="006E2FC7"/>
    <w:rsid w:val="006E38AF"/>
    <w:rsid w:val="006E7067"/>
    <w:rsid w:val="006E70CF"/>
    <w:rsid w:val="006E7737"/>
    <w:rsid w:val="006F060D"/>
    <w:rsid w:val="006F1EFF"/>
    <w:rsid w:val="006F2DD0"/>
    <w:rsid w:val="006F2EFE"/>
    <w:rsid w:val="006F3492"/>
    <w:rsid w:val="006F5EC8"/>
    <w:rsid w:val="006F775A"/>
    <w:rsid w:val="007022B5"/>
    <w:rsid w:val="00705F82"/>
    <w:rsid w:val="00706D94"/>
    <w:rsid w:val="00707C48"/>
    <w:rsid w:val="00712118"/>
    <w:rsid w:val="00714182"/>
    <w:rsid w:val="007161AE"/>
    <w:rsid w:val="00717719"/>
    <w:rsid w:val="00717C18"/>
    <w:rsid w:val="007203FA"/>
    <w:rsid w:val="0072049E"/>
    <w:rsid w:val="0072270A"/>
    <w:rsid w:val="00722CC7"/>
    <w:rsid w:val="0072752A"/>
    <w:rsid w:val="007305AD"/>
    <w:rsid w:val="0073246D"/>
    <w:rsid w:val="00734A60"/>
    <w:rsid w:val="00740193"/>
    <w:rsid w:val="007435BB"/>
    <w:rsid w:val="0074439C"/>
    <w:rsid w:val="00744BD2"/>
    <w:rsid w:val="007450C9"/>
    <w:rsid w:val="00745BEB"/>
    <w:rsid w:val="007465C5"/>
    <w:rsid w:val="007467E2"/>
    <w:rsid w:val="00747D56"/>
    <w:rsid w:val="0075097E"/>
    <w:rsid w:val="00750B6F"/>
    <w:rsid w:val="00750FB4"/>
    <w:rsid w:val="00751AEA"/>
    <w:rsid w:val="007529F6"/>
    <w:rsid w:val="00752ED4"/>
    <w:rsid w:val="007547CF"/>
    <w:rsid w:val="00754A9D"/>
    <w:rsid w:val="00756183"/>
    <w:rsid w:val="0075799B"/>
    <w:rsid w:val="00760711"/>
    <w:rsid w:val="00760781"/>
    <w:rsid w:val="00760AC4"/>
    <w:rsid w:val="00760BC8"/>
    <w:rsid w:val="00764557"/>
    <w:rsid w:val="00765C5F"/>
    <w:rsid w:val="00767925"/>
    <w:rsid w:val="00772551"/>
    <w:rsid w:val="007823A2"/>
    <w:rsid w:val="00783C4B"/>
    <w:rsid w:val="00784607"/>
    <w:rsid w:val="00784FF2"/>
    <w:rsid w:val="00785E8A"/>
    <w:rsid w:val="00791B4D"/>
    <w:rsid w:val="007926B6"/>
    <w:rsid w:val="0079414A"/>
    <w:rsid w:val="00797D47"/>
    <w:rsid w:val="007A02D0"/>
    <w:rsid w:val="007A62AB"/>
    <w:rsid w:val="007A66F6"/>
    <w:rsid w:val="007A7038"/>
    <w:rsid w:val="007B1DB7"/>
    <w:rsid w:val="007B20A4"/>
    <w:rsid w:val="007B3B39"/>
    <w:rsid w:val="007B7182"/>
    <w:rsid w:val="007C1525"/>
    <w:rsid w:val="007C45F8"/>
    <w:rsid w:val="007C564F"/>
    <w:rsid w:val="007C6BE5"/>
    <w:rsid w:val="007C7BF9"/>
    <w:rsid w:val="007D0B69"/>
    <w:rsid w:val="007D15FA"/>
    <w:rsid w:val="007D5BF5"/>
    <w:rsid w:val="007D6BFF"/>
    <w:rsid w:val="007E019D"/>
    <w:rsid w:val="007E2971"/>
    <w:rsid w:val="007E3C95"/>
    <w:rsid w:val="007E3E67"/>
    <w:rsid w:val="007F02F3"/>
    <w:rsid w:val="007F1431"/>
    <w:rsid w:val="007F1774"/>
    <w:rsid w:val="007F19EC"/>
    <w:rsid w:val="007F347F"/>
    <w:rsid w:val="007F7206"/>
    <w:rsid w:val="00800854"/>
    <w:rsid w:val="008009A5"/>
    <w:rsid w:val="0080474F"/>
    <w:rsid w:val="00807117"/>
    <w:rsid w:val="0081015F"/>
    <w:rsid w:val="0081151D"/>
    <w:rsid w:val="00813997"/>
    <w:rsid w:val="00814328"/>
    <w:rsid w:val="008231CC"/>
    <w:rsid w:val="00823812"/>
    <w:rsid w:val="00824887"/>
    <w:rsid w:val="00827B91"/>
    <w:rsid w:val="0083384C"/>
    <w:rsid w:val="008351A9"/>
    <w:rsid w:val="00836724"/>
    <w:rsid w:val="00836C1D"/>
    <w:rsid w:val="00842417"/>
    <w:rsid w:val="008478B5"/>
    <w:rsid w:val="00851E23"/>
    <w:rsid w:val="00853DB1"/>
    <w:rsid w:val="00856D43"/>
    <w:rsid w:val="00864131"/>
    <w:rsid w:val="00865E30"/>
    <w:rsid w:val="00867B3C"/>
    <w:rsid w:val="00871422"/>
    <w:rsid w:val="008752C4"/>
    <w:rsid w:val="0087541D"/>
    <w:rsid w:val="00880F9B"/>
    <w:rsid w:val="00884DC5"/>
    <w:rsid w:val="008860B9"/>
    <w:rsid w:val="0088631C"/>
    <w:rsid w:val="00886A7D"/>
    <w:rsid w:val="00891BB3"/>
    <w:rsid w:val="00894428"/>
    <w:rsid w:val="00896223"/>
    <w:rsid w:val="00896394"/>
    <w:rsid w:val="00896E23"/>
    <w:rsid w:val="00897E4A"/>
    <w:rsid w:val="008A39EA"/>
    <w:rsid w:val="008A63D0"/>
    <w:rsid w:val="008A740D"/>
    <w:rsid w:val="008B2B1C"/>
    <w:rsid w:val="008B5A0D"/>
    <w:rsid w:val="008C1920"/>
    <w:rsid w:val="008C268C"/>
    <w:rsid w:val="008C37FA"/>
    <w:rsid w:val="008C41B5"/>
    <w:rsid w:val="008C46C4"/>
    <w:rsid w:val="008C52E4"/>
    <w:rsid w:val="008C6800"/>
    <w:rsid w:val="008D0862"/>
    <w:rsid w:val="008D1509"/>
    <w:rsid w:val="008D4321"/>
    <w:rsid w:val="008D4F40"/>
    <w:rsid w:val="008D779C"/>
    <w:rsid w:val="008E1EA2"/>
    <w:rsid w:val="008E21E1"/>
    <w:rsid w:val="008E3852"/>
    <w:rsid w:val="008E56ED"/>
    <w:rsid w:val="008E694E"/>
    <w:rsid w:val="008F0C07"/>
    <w:rsid w:val="008F1599"/>
    <w:rsid w:val="008F197E"/>
    <w:rsid w:val="008F22D5"/>
    <w:rsid w:val="008F421D"/>
    <w:rsid w:val="008F4785"/>
    <w:rsid w:val="008F7A7F"/>
    <w:rsid w:val="00900226"/>
    <w:rsid w:val="00903E7C"/>
    <w:rsid w:val="00912815"/>
    <w:rsid w:val="00913683"/>
    <w:rsid w:val="00916B3A"/>
    <w:rsid w:val="009170EC"/>
    <w:rsid w:val="009205BE"/>
    <w:rsid w:val="00922C78"/>
    <w:rsid w:val="0092319E"/>
    <w:rsid w:val="00925545"/>
    <w:rsid w:val="00925B7D"/>
    <w:rsid w:val="00926641"/>
    <w:rsid w:val="009305E4"/>
    <w:rsid w:val="00930943"/>
    <w:rsid w:val="00933BF1"/>
    <w:rsid w:val="009425C3"/>
    <w:rsid w:val="009430DA"/>
    <w:rsid w:val="009433E6"/>
    <w:rsid w:val="00943A9E"/>
    <w:rsid w:val="00943F72"/>
    <w:rsid w:val="00944860"/>
    <w:rsid w:val="00950884"/>
    <w:rsid w:val="00951C76"/>
    <w:rsid w:val="00953217"/>
    <w:rsid w:val="00953E41"/>
    <w:rsid w:val="00956775"/>
    <w:rsid w:val="00957B42"/>
    <w:rsid w:val="00962E5C"/>
    <w:rsid w:val="00966B0A"/>
    <w:rsid w:val="00967C22"/>
    <w:rsid w:val="0097260B"/>
    <w:rsid w:val="009733D5"/>
    <w:rsid w:val="00977027"/>
    <w:rsid w:val="009810FA"/>
    <w:rsid w:val="00981C09"/>
    <w:rsid w:val="0098270D"/>
    <w:rsid w:val="00982BAB"/>
    <w:rsid w:val="00984D1F"/>
    <w:rsid w:val="009853D8"/>
    <w:rsid w:val="00986FA8"/>
    <w:rsid w:val="00987D3D"/>
    <w:rsid w:val="009901AF"/>
    <w:rsid w:val="00991705"/>
    <w:rsid w:val="00992710"/>
    <w:rsid w:val="00997125"/>
    <w:rsid w:val="009978F4"/>
    <w:rsid w:val="00997A1C"/>
    <w:rsid w:val="009A104C"/>
    <w:rsid w:val="009A380F"/>
    <w:rsid w:val="009A3ADC"/>
    <w:rsid w:val="009A6E9E"/>
    <w:rsid w:val="009A71FA"/>
    <w:rsid w:val="009A77D8"/>
    <w:rsid w:val="009B4E71"/>
    <w:rsid w:val="009B54B4"/>
    <w:rsid w:val="009B6FB6"/>
    <w:rsid w:val="009C19B5"/>
    <w:rsid w:val="009C1BD3"/>
    <w:rsid w:val="009C1DCF"/>
    <w:rsid w:val="009C41AB"/>
    <w:rsid w:val="009C4BA5"/>
    <w:rsid w:val="009C56DD"/>
    <w:rsid w:val="009C6FB1"/>
    <w:rsid w:val="009C7B01"/>
    <w:rsid w:val="009D28AD"/>
    <w:rsid w:val="009D33B2"/>
    <w:rsid w:val="009D375D"/>
    <w:rsid w:val="009D3EB0"/>
    <w:rsid w:val="009D681C"/>
    <w:rsid w:val="009E0987"/>
    <w:rsid w:val="009E3BDD"/>
    <w:rsid w:val="009E3E21"/>
    <w:rsid w:val="009E69EB"/>
    <w:rsid w:val="009E7485"/>
    <w:rsid w:val="009F0D24"/>
    <w:rsid w:val="009F17EF"/>
    <w:rsid w:val="009F475C"/>
    <w:rsid w:val="009F5A2A"/>
    <w:rsid w:val="00A001E4"/>
    <w:rsid w:val="00A0565E"/>
    <w:rsid w:val="00A062E2"/>
    <w:rsid w:val="00A071D5"/>
    <w:rsid w:val="00A10161"/>
    <w:rsid w:val="00A121F2"/>
    <w:rsid w:val="00A150A2"/>
    <w:rsid w:val="00A16044"/>
    <w:rsid w:val="00A17D9E"/>
    <w:rsid w:val="00A20165"/>
    <w:rsid w:val="00A25D00"/>
    <w:rsid w:val="00A270F3"/>
    <w:rsid w:val="00A401C2"/>
    <w:rsid w:val="00A41422"/>
    <w:rsid w:val="00A435C8"/>
    <w:rsid w:val="00A446BB"/>
    <w:rsid w:val="00A46026"/>
    <w:rsid w:val="00A5032C"/>
    <w:rsid w:val="00A51B87"/>
    <w:rsid w:val="00A51C5D"/>
    <w:rsid w:val="00A546A5"/>
    <w:rsid w:val="00A57DC5"/>
    <w:rsid w:val="00A60831"/>
    <w:rsid w:val="00A66F48"/>
    <w:rsid w:val="00A759AC"/>
    <w:rsid w:val="00A76164"/>
    <w:rsid w:val="00A771F9"/>
    <w:rsid w:val="00A81DA4"/>
    <w:rsid w:val="00A85D3F"/>
    <w:rsid w:val="00A91382"/>
    <w:rsid w:val="00A938F6"/>
    <w:rsid w:val="00A945BE"/>
    <w:rsid w:val="00A96543"/>
    <w:rsid w:val="00A96E20"/>
    <w:rsid w:val="00A9798F"/>
    <w:rsid w:val="00AA66F5"/>
    <w:rsid w:val="00AA7901"/>
    <w:rsid w:val="00AB1815"/>
    <w:rsid w:val="00AB4604"/>
    <w:rsid w:val="00AB4EB6"/>
    <w:rsid w:val="00AB5C0E"/>
    <w:rsid w:val="00AC1086"/>
    <w:rsid w:val="00AC173C"/>
    <w:rsid w:val="00AC38EC"/>
    <w:rsid w:val="00AC3AE8"/>
    <w:rsid w:val="00AC4A08"/>
    <w:rsid w:val="00AC6EDE"/>
    <w:rsid w:val="00AC76EC"/>
    <w:rsid w:val="00AD09F1"/>
    <w:rsid w:val="00AD52B5"/>
    <w:rsid w:val="00AE07BA"/>
    <w:rsid w:val="00AE39C7"/>
    <w:rsid w:val="00AE5878"/>
    <w:rsid w:val="00AF0DDA"/>
    <w:rsid w:val="00AF2E58"/>
    <w:rsid w:val="00AF336E"/>
    <w:rsid w:val="00B029E2"/>
    <w:rsid w:val="00B1524B"/>
    <w:rsid w:val="00B16654"/>
    <w:rsid w:val="00B16F1C"/>
    <w:rsid w:val="00B17C08"/>
    <w:rsid w:val="00B17F46"/>
    <w:rsid w:val="00B20047"/>
    <w:rsid w:val="00B20B12"/>
    <w:rsid w:val="00B213FF"/>
    <w:rsid w:val="00B22BE3"/>
    <w:rsid w:val="00B23E44"/>
    <w:rsid w:val="00B2595B"/>
    <w:rsid w:val="00B319A5"/>
    <w:rsid w:val="00B3477F"/>
    <w:rsid w:val="00B34D95"/>
    <w:rsid w:val="00B37EA2"/>
    <w:rsid w:val="00B43880"/>
    <w:rsid w:val="00B43AA6"/>
    <w:rsid w:val="00B44038"/>
    <w:rsid w:val="00B450E8"/>
    <w:rsid w:val="00B517E1"/>
    <w:rsid w:val="00B52A34"/>
    <w:rsid w:val="00B539AC"/>
    <w:rsid w:val="00B61E81"/>
    <w:rsid w:val="00B764F8"/>
    <w:rsid w:val="00B8095C"/>
    <w:rsid w:val="00B81DFD"/>
    <w:rsid w:val="00B82D50"/>
    <w:rsid w:val="00B8396A"/>
    <w:rsid w:val="00B86AE4"/>
    <w:rsid w:val="00B97EE2"/>
    <w:rsid w:val="00BA1320"/>
    <w:rsid w:val="00BA26FC"/>
    <w:rsid w:val="00BA3BD8"/>
    <w:rsid w:val="00BA510F"/>
    <w:rsid w:val="00BA6078"/>
    <w:rsid w:val="00BA6F7A"/>
    <w:rsid w:val="00BB0074"/>
    <w:rsid w:val="00BB237D"/>
    <w:rsid w:val="00BB2CD4"/>
    <w:rsid w:val="00BB3327"/>
    <w:rsid w:val="00BB5AF3"/>
    <w:rsid w:val="00BC1756"/>
    <w:rsid w:val="00BD29A5"/>
    <w:rsid w:val="00BD4031"/>
    <w:rsid w:val="00BD480B"/>
    <w:rsid w:val="00BD4A82"/>
    <w:rsid w:val="00BD533E"/>
    <w:rsid w:val="00BD7274"/>
    <w:rsid w:val="00BD7F13"/>
    <w:rsid w:val="00BE3EC5"/>
    <w:rsid w:val="00BE49D7"/>
    <w:rsid w:val="00BE5BD1"/>
    <w:rsid w:val="00BE6128"/>
    <w:rsid w:val="00BE6710"/>
    <w:rsid w:val="00BF01F7"/>
    <w:rsid w:val="00BF1DA0"/>
    <w:rsid w:val="00BF5664"/>
    <w:rsid w:val="00BF726D"/>
    <w:rsid w:val="00C00A1E"/>
    <w:rsid w:val="00C0328C"/>
    <w:rsid w:val="00C04FBC"/>
    <w:rsid w:val="00C050B0"/>
    <w:rsid w:val="00C051E0"/>
    <w:rsid w:val="00C1089E"/>
    <w:rsid w:val="00C11A77"/>
    <w:rsid w:val="00C13192"/>
    <w:rsid w:val="00C1581F"/>
    <w:rsid w:val="00C20214"/>
    <w:rsid w:val="00C23CAC"/>
    <w:rsid w:val="00C324BF"/>
    <w:rsid w:val="00C33D22"/>
    <w:rsid w:val="00C3750A"/>
    <w:rsid w:val="00C37FFB"/>
    <w:rsid w:val="00C41DFD"/>
    <w:rsid w:val="00C4253F"/>
    <w:rsid w:val="00C45D79"/>
    <w:rsid w:val="00C47A9C"/>
    <w:rsid w:val="00C47DC0"/>
    <w:rsid w:val="00C505D3"/>
    <w:rsid w:val="00C549EF"/>
    <w:rsid w:val="00C633C4"/>
    <w:rsid w:val="00C653AC"/>
    <w:rsid w:val="00C670E7"/>
    <w:rsid w:val="00C72C1F"/>
    <w:rsid w:val="00C82479"/>
    <w:rsid w:val="00C8700F"/>
    <w:rsid w:val="00C87F33"/>
    <w:rsid w:val="00C90218"/>
    <w:rsid w:val="00C91A29"/>
    <w:rsid w:val="00C9244C"/>
    <w:rsid w:val="00C92BEF"/>
    <w:rsid w:val="00C9332C"/>
    <w:rsid w:val="00C935AA"/>
    <w:rsid w:val="00C935CC"/>
    <w:rsid w:val="00C954C1"/>
    <w:rsid w:val="00C9698D"/>
    <w:rsid w:val="00C972AB"/>
    <w:rsid w:val="00CA41C5"/>
    <w:rsid w:val="00CA7051"/>
    <w:rsid w:val="00CA764E"/>
    <w:rsid w:val="00CC19D9"/>
    <w:rsid w:val="00CC3DF3"/>
    <w:rsid w:val="00CC3EDF"/>
    <w:rsid w:val="00CC4461"/>
    <w:rsid w:val="00CC5898"/>
    <w:rsid w:val="00CC6D47"/>
    <w:rsid w:val="00CD1F22"/>
    <w:rsid w:val="00CD2001"/>
    <w:rsid w:val="00CD5ABF"/>
    <w:rsid w:val="00CD5DCC"/>
    <w:rsid w:val="00CE0497"/>
    <w:rsid w:val="00CE1A5A"/>
    <w:rsid w:val="00CE1EB6"/>
    <w:rsid w:val="00CE207F"/>
    <w:rsid w:val="00CE2E49"/>
    <w:rsid w:val="00CE5343"/>
    <w:rsid w:val="00CF2829"/>
    <w:rsid w:val="00CF3F1B"/>
    <w:rsid w:val="00CF42BD"/>
    <w:rsid w:val="00CF5446"/>
    <w:rsid w:val="00CF5CAB"/>
    <w:rsid w:val="00D023E6"/>
    <w:rsid w:val="00D0417A"/>
    <w:rsid w:val="00D07BB3"/>
    <w:rsid w:val="00D120CD"/>
    <w:rsid w:val="00D158C3"/>
    <w:rsid w:val="00D15C91"/>
    <w:rsid w:val="00D1643D"/>
    <w:rsid w:val="00D178F3"/>
    <w:rsid w:val="00D216DD"/>
    <w:rsid w:val="00D219EB"/>
    <w:rsid w:val="00D27555"/>
    <w:rsid w:val="00D27C1B"/>
    <w:rsid w:val="00D3770F"/>
    <w:rsid w:val="00D469E3"/>
    <w:rsid w:val="00D51F7A"/>
    <w:rsid w:val="00D52925"/>
    <w:rsid w:val="00D52B1A"/>
    <w:rsid w:val="00D52BB1"/>
    <w:rsid w:val="00D54B17"/>
    <w:rsid w:val="00D54B23"/>
    <w:rsid w:val="00D63A12"/>
    <w:rsid w:val="00D642BA"/>
    <w:rsid w:val="00D71A15"/>
    <w:rsid w:val="00D72690"/>
    <w:rsid w:val="00D73A0B"/>
    <w:rsid w:val="00D742FB"/>
    <w:rsid w:val="00D755AA"/>
    <w:rsid w:val="00D755C1"/>
    <w:rsid w:val="00D76110"/>
    <w:rsid w:val="00D80181"/>
    <w:rsid w:val="00D80999"/>
    <w:rsid w:val="00D82F6F"/>
    <w:rsid w:val="00D83A1F"/>
    <w:rsid w:val="00D84F28"/>
    <w:rsid w:val="00D860AE"/>
    <w:rsid w:val="00D87C2B"/>
    <w:rsid w:val="00D91346"/>
    <w:rsid w:val="00D944E8"/>
    <w:rsid w:val="00DA1C9E"/>
    <w:rsid w:val="00DA2348"/>
    <w:rsid w:val="00DA6DD4"/>
    <w:rsid w:val="00DB05A1"/>
    <w:rsid w:val="00DB2C61"/>
    <w:rsid w:val="00DB7E19"/>
    <w:rsid w:val="00DC0564"/>
    <w:rsid w:val="00DC1FBC"/>
    <w:rsid w:val="00DC4692"/>
    <w:rsid w:val="00DC4AEB"/>
    <w:rsid w:val="00DC4C39"/>
    <w:rsid w:val="00DC7083"/>
    <w:rsid w:val="00DD1967"/>
    <w:rsid w:val="00DD20D0"/>
    <w:rsid w:val="00DD2B87"/>
    <w:rsid w:val="00DD3705"/>
    <w:rsid w:val="00DD74DC"/>
    <w:rsid w:val="00DE2754"/>
    <w:rsid w:val="00DE4E7A"/>
    <w:rsid w:val="00DF08B4"/>
    <w:rsid w:val="00DF1B6A"/>
    <w:rsid w:val="00DF7316"/>
    <w:rsid w:val="00DF7924"/>
    <w:rsid w:val="00E00641"/>
    <w:rsid w:val="00E055D5"/>
    <w:rsid w:val="00E061E5"/>
    <w:rsid w:val="00E10542"/>
    <w:rsid w:val="00E13F3E"/>
    <w:rsid w:val="00E175A0"/>
    <w:rsid w:val="00E17A7E"/>
    <w:rsid w:val="00E22FFC"/>
    <w:rsid w:val="00E24AE0"/>
    <w:rsid w:val="00E25B9F"/>
    <w:rsid w:val="00E26FDF"/>
    <w:rsid w:val="00E30179"/>
    <w:rsid w:val="00E317FF"/>
    <w:rsid w:val="00E31919"/>
    <w:rsid w:val="00E324A9"/>
    <w:rsid w:val="00E332B7"/>
    <w:rsid w:val="00E36DD3"/>
    <w:rsid w:val="00E409DC"/>
    <w:rsid w:val="00E450F9"/>
    <w:rsid w:val="00E46006"/>
    <w:rsid w:val="00E475DC"/>
    <w:rsid w:val="00E5336A"/>
    <w:rsid w:val="00E53493"/>
    <w:rsid w:val="00E53620"/>
    <w:rsid w:val="00E54278"/>
    <w:rsid w:val="00E57B7E"/>
    <w:rsid w:val="00E60637"/>
    <w:rsid w:val="00E6298F"/>
    <w:rsid w:val="00E65858"/>
    <w:rsid w:val="00E7119E"/>
    <w:rsid w:val="00E7433D"/>
    <w:rsid w:val="00E84431"/>
    <w:rsid w:val="00E848E4"/>
    <w:rsid w:val="00E84A0A"/>
    <w:rsid w:val="00E8587D"/>
    <w:rsid w:val="00E86C6A"/>
    <w:rsid w:val="00E87D58"/>
    <w:rsid w:val="00E92F85"/>
    <w:rsid w:val="00E93D0D"/>
    <w:rsid w:val="00E9579A"/>
    <w:rsid w:val="00E95B00"/>
    <w:rsid w:val="00EA272B"/>
    <w:rsid w:val="00EA2732"/>
    <w:rsid w:val="00EA3580"/>
    <w:rsid w:val="00EA5095"/>
    <w:rsid w:val="00EA7ABB"/>
    <w:rsid w:val="00EB1CBF"/>
    <w:rsid w:val="00EB3247"/>
    <w:rsid w:val="00EB6B6B"/>
    <w:rsid w:val="00EC05C5"/>
    <w:rsid w:val="00EC4DA7"/>
    <w:rsid w:val="00EC5CD2"/>
    <w:rsid w:val="00EC5D7C"/>
    <w:rsid w:val="00EC631E"/>
    <w:rsid w:val="00ED21D4"/>
    <w:rsid w:val="00ED2CEC"/>
    <w:rsid w:val="00ED3B10"/>
    <w:rsid w:val="00ED512A"/>
    <w:rsid w:val="00ED624D"/>
    <w:rsid w:val="00EE0460"/>
    <w:rsid w:val="00EE31A9"/>
    <w:rsid w:val="00EE4055"/>
    <w:rsid w:val="00EE4AF0"/>
    <w:rsid w:val="00EE683F"/>
    <w:rsid w:val="00EF679F"/>
    <w:rsid w:val="00EF7048"/>
    <w:rsid w:val="00EF72B1"/>
    <w:rsid w:val="00EF7CFE"/>
    <w:rsid w:val="00F03219"/>
    <w:rsid w:val="00F03339"/>
    <w:rsid w:val="00F0334C"/>
    <w:rsid w:val="00F12089"/>
    <w:rsid w:val="00F14985"/>
    <w:rsid w:val="00F17116"/>
    <w:rsid w:val="00F175C1"/>
    <w:rsid w:val="00F17D51"/>
    <w:rsid w:val="00F200F1"/>
    <w:rsid w:val="00F20163"/>
    <w:rsid w:val="00F20644"/>
    <w:rsid w:val="00F26644"/>
    <w:rsid w:val="00F36D65"/>
    <w:rsid w:val="00F37C30"/>
    <w:rsid w:val="00F40D66"/>
    <w:rsid w:val="00F43416"/>
    <w:rsid w:val="00F464C9"/>
    <w:rsid w:val="00F478AB"/>
    <w:rsid w:val="00F50978"/>
    <w:rsid w:val="00F525EE"/>
    <w:rsid w:val="00F556EE"/>
    <w:rsid w:val="00F5753E"/>
    <w:rsid w:val="00F610BB"/>
    <w:rsid w:val="00F63DD8"/>
    <w:rsid w:val="00F653B4"/>
    <w:rsid w:val="00F74A0D"/>
    <w:rsid w:val="00F76F29"/>
    <w:rsid w:val="00F80C73"/>
    <w:rsid w:val="00F81FA6"/>
    <w:rsid w:val="00F82270"/>
    <w:rsid w:val="00F85FDB"/>
    <w:rsid w:val="00F86708"/>
    <w:rsid w:val="00F867D7"/>
    <w:rsid w:val="00F86A16"/>
    <w:rsid w:val="00F87DB1"/>
    <w:rsid w:val="00F90BB7"/>
    <w:rsid w:val="00FA6FB4"/>
    <w:rsid w:val="00FA7060"/>
    <w:rsid w:val="00FA749B"/>
    <w:rsid w:val="00FB0000"/>
    <w:rsid w:val="00FB2C13"/>
    <w:rsid w:val="00FB3C23"/>
    <w:rsid w:val="00FB5760"/>
    <w:rsid w:val="00FB6068"/>
    <w:rsid w:val="00FB6961"/>
    <w:rsid w:val="00FB6BE8"/>
    <w:rsid w:val="00FC12D4"/>
    <w:rsid w:val="00FC14EF"/>
    <w:rsid w:val="00FC2BFB"/>
    <w:rsid w:val="00FC4B14"/>
    <w:rsid w:val="00FC6375"/>
    <w:rsid w:val="00FC637E"/>
    <w:rsid w:val="00FC69AB"/>
    <w:rsid w:val="00FD1056"/>
    <w:rsid w:val="00FD15F7"/>
    <w:rsid w:val="00FD1776"/>
    <w:rsid w:val="00FD2B0B"/>
    <w:rsid w:val="00FD344C"/>
    <w:rsid w:val="00FD38BD"/>
    <w:rsid w:val="00FD6F58"/>
    <w:rsid w:val="00FE1F52"/>
    <w:rsid w:val="00FE21CC"/>
    <w:rsid w:val="00FE54DB"/>
    <w:rsid w:val="00FE7F79"/>
    <w:rsid w:val="00FF070B"/>
    <w:rsid w:val="00FF1C8D"/>
    <w:rsid w:val="00FF33F2"/>
    <w:rsid w:val="00FF7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9FCCB"/>
  <w15:docId w15:val="{D8E09DF4-39FD-42CD-A01C-DB7A6BD5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87D"/>
  </w:style>
  <w:style w:type="paragraph" w:styleId="1">
    <w:name w:val="heading 1"/>
    <w:basedOn w:val="a"/>
    <w:link w:val="10"/>
    <w:uiPriority w:val="99"/>
    <w:qFormat/>
    <w:rsid w:val="003E59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7F14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unhideWhenUsed/>
    <w:qFormat/>
    <w:rsid w:val="00527FAA"/>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it-IT"/>
    </w:rPr>
  </w:style>
  <w:style w:type="paragraph" w:styleId="4">
    <w:name w:val="heading 4"/>
    <w:basedOn w:val="a"/>
    <w:next w:val="a"/>
    <w:link w:val="40"/>
    <w:semiHidden/>
    <w:unhideWhenUsed/>
    <w:qFormat/>
    <w:rsid w:val="000C4C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E59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7F1431"/>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semiHidden/>
    <w:rsid w:val="000C4CB2"/>
    <w:rPr>
      <w:rFonts w:asciiTheme="majorHAnsi" w:eastAsiaTheme="majorEastAsia" w:hAnsiTheme="majorHAnsi" w:cstheme="majorBidi"/>
      <w:i/>
      <w:iCs/>
      <w:color w:val="2F5496" w:themeColor="accent1" w:themeShade="BF"/>
    </w:rPr>
  </w:style>
  <w:style w:type="paragraph" w:customStyle="1" w:styleId="A3">
    <w:name w:val="По умолчанию A"/>
    <w:rsid w:val="00C0328C"/>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ru-RU"/>
    </w:rPr>
  </w:style>
  <w:style w:type="character" w:customStyle="1" w:styleId="a4">
    <w:name w:val="Ссылка"/>
    <w:rsid w:val="00C0328C"/>
    <w:rPr>
      <w:color w:val="0000FF"/>
      <w:u w:val="single" w:color="0000FF"/>
      <w:lang w:val="ru-RU"/>
    </w:rPr>
  </w:style>
  <w:style w:type="paragraph" w:customStyle="1" w:styleId="a5">
    <w:name w:val="Текстовый блок"/>
    <w:rsid w:val="00C0328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paragraph" w:styleId="a6">
    <w:name w:val="List Paragraph"/>
    <w:aliases w:val="маркированный,Bullets,List Paragraph (numbered (a)),NUMBERED PARAGRAPH,List Paragraph 1,List_Paragraph,Multilevel para_II,Akapit z listą BS,IBL List Paragraph,List Paragraph nowy,Numbered List Paragraph,Bullet1,Numbered list,NumberedParas"/>
    <w:basedOn w:val="a"/>
    <w:link w:val="a7"/>
    <w:uiPriority w:val="34"/>
    <w:qFormat/>
    <w:rsid w:val="003E5992"/>
    <w:pPr>
      <w:ind w:left="720"/>
      <w:contextualSpacing/>
    </w:pPr>
  </w:style>
  <w:style w:type="character" w:customStyle="1" w:styleId="a7">
    <w:name w:val="Абзац списка Знак"/>
    <w:aliases w:val="маркированный Знак,Bullets Знак,List Paragraph (numbered (a)) Знак,NUMBERED PARAGRAPH Знак,List Paragraph 1 Знак,List_Paragraph Знак,Multilevel para_II Знак,Akapit z listą BS Знак,IBL List Paragraph Знак,List Paragraph nowy Знак"/>
    <w:link w:val="a6"/>
    <w:uiPriority w:val="99"/>
    <w:locked/>
    <w:rsid w:val="002C5545"/>
  </w:style>
  <w:style w:type="paragraph" w:customStyle="1" w:styleId="titledescription">
    <w:name w:val="title_description"/>
    <w:basedOn w:val="a"/>
    <w:rsid w:val="003E59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3E5992"/>
    <w:rPr>
      <w:color w:val="0000FF"/>
      <w:u w:val="single"/>
    </w:rPr>
  </w:style>
  <w:style w:type="character" w:customStyle="1" w:styleId="article-authors">
    <w:name w:val="article-authors"/>
    <w:basedOn w:val="a0"/>
    <w:rsid w:val="003E5992"/>
  </w:style>
  <w:style w:type="paragraph" w:styleId="a9">
    <w:name w:val="Normal (Web)"/>
    <w:aliases w:val="Знак2 Знак,Знак2,Знак2 Знак Знак,Знак2 Знак Знак Знак Знак, Знак2 Знак Знак, Знак2 Знак, Знак2 Знак Знак Знак Знак,Обычный (Web),Знак4,Знак4 Знак Знак,Знак4 Знак,Обычный (Web)1,Обычный (веб) Знак1,Обычный (веб) Знак Знак"/>
    <w:basedOn w:val="a"/>
    <w:link w:val="aa"/>
    <w:uiPriority w:val="99"/>
    <w:unhideWhenUsed/>
    <w:qFormat/>
    <w:rsid w:val="004713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104F9B"/>
    <w:rPr>
      <w:rFonts w:ascii="Tahoma" w:hAnsi="Tahoma" w:cs="Tahoma" w:hint="default"/>
      <w:b w:val="0"/>
      <w:bCs w:val="0"/>
      <w:i w:val="0"/>
      <w:iCs w:val="0"/>
      <w:color w:val="000000"/>
      <w:sz w:val="18"/>
      <w:szCs w:val="18"/>
    </w:rPr>
  </w:style>
  <w:style w:type="character" w:styleId="ab">
    <w:name w:val="Emphasis"/>
    <w:basedOn w:val="a0"/>
    <w:uiPriority w:val="20"/>
    <w:qFormat/>
    <w:rsid w:val="005219CA"/>
    <w:rPr>
      <w:i/>
      <w:iCs/>
    </w:rPr>
  </w:style>
  <w:style w:type="character" w:styleId="ac">
    <w:name w:val="Strong"/>
    <w:basedOn w:val="a0"/>
    <w:uiPriority w:val="22"/>
    <w:qFormat/>
    <w:rsid w:val="005219CA"/>
    <w:rPr>
      <w:b/>
      <w:bCs/>
    </w:rPr>
  </w:style>
  <w:style w:type="paragraph" w:customStyle="1" w:styleId="ad">
    <w:name w:val="По умолчанию"/>
    <w:rsid w:val="0022319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table" w:styleId="ae">
    <w:name w:val="Table Grid"/>
    <w:basedOn w:val="a1"/>
    <w:uiPriority w:val="59"/>
    <w:rsid w:val="00A10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13447B"/>
    <w:rPr>
      <w:rFonts w:ascii="Newton-Italic" w:hAnsi="Newton-Italic" w:hint="default"/>
      <w:b w:val="0"/>
      <w:bCs w:val="0"/>
      <w:i/>
      <w:iCs/>
      <w:color w:val="000000"/>
      <w:sz w:val="18"/>
      <w:szCs w:val="18"/>
    </w:rPr>
  </w:style>
  <w:style w:type="character" w:customStyle="1" w:styleId="fontstyle31">
    <w:name w:val="fontstyle31"/>
    <w:basedOn w:val="a0"/>
    <w:rsid w:val="0013447B"/>
    <w:rPr>
      <w:rFonts w:ascii="Newton-Bold" w:hAnsi="Newton-Bold" w:hint="default"/>
      <w:b/>
      <w:bCs/>
      <w:i w:val="0"/>
      <w:iCs w:val="0"/>
      <w:color w:val="000000"/>
      <w:sz w:val="18"/>
      <w:szCs w:val="18"/>
    </w:rPr>
  </w:style>
  <w:style w:type="character" w:styleId="af">
    <w:name w:val="annotation reference"/>
    <w:basedOn w:val="a0"/>
    <w:uiPriority w:val="99"/>
    <w:semiHidden/>
    <w:unhideWhenUsed/>
    <w:rsid w:val="0058542A"/>
    <w:rPr>
      <w:sz w:val="16"/>
      <w:szCs w:val="16"/>
    </w:rPr>
  </w:style>
  <w:style w:type="paragraph" w:styleId="af0">
    <w:name w:val="annotation text"/>
    <w:basedOn w:val="a"/>
    <w:link w:val="af1"/>
    <w:uiPriority w:val="99"/>
    <w:unhideWhenUsed/>
    <w:rsid w:val="0058542A"/>
    <w:pPr>
      <w:spacing w:line="240" w:lineRule="auto"/>
    </w:pPr>
    <w:rPr>
      <w:sz w:val="20"/>
      <w:szCs w:val="20"/>
    </w:rPr>
  </w:style>
  <w:style w:type="character" w:customStyle="1" w:styleId="af1">
    <w:name w:val="Текст примечания Знак"/>
    <w:basedOn w:val="a0"/>
    <w:link w:val="af0"/>
    <w:uiPriority w:val="99"/>
    <w:rsid w:val="0058542A"/>
    <w:rPr>
      <w:sz w:val="20"/>
      <w:szCs w:val="20"/>
    </w:rPr>
  </w:style>
  <w:style w:type="paragraph" w:styleId="af2">
    <w:name w:val="annotation subject"/>
    <w:basedOn w:val="af0"/>
    <w:next w:val="af0"/>
    <w:link w:val="af3"/>
    <w:uiPriority w:val="99"/>
    <w:semiHidden/>
    <w:unhideWhenUsed/>
    <w:rsid w:val="0058542A"/>
    <w:rPr>
      <w:b/>
      <w:bCs/>
    </w:rPr>
  </w:style>
  <w:style w:type="character" w:customStyle="1" w:styleId="af3">
    <w:name w:val="Тема примечания Знак"/>
    <w:basedOn w:val="af1"/>
    <w:link w:val="af2"/>
    <w:uiPriority w:val="99"/>
    <w:semiHidden/>
    <w:rsid w:val="0058542A"/>
    <w:rPr>
      <w:b/>
      <w:bCs/>
      <w:sz w:val="20"/>
      <w:szCs w:val="20"/>
    </w:rPr>
  </w:style>
  <w:style w:type="paragraph" w:styleId="af4">
    <w:name w:val="Revision"/>
    <w:hidden/>
    <w:uiPriority w:val="99"/>
    <w:semiHidden/>
    <w:rsid w:val="0058542A"/>
    <w:pPr>
      <w:spacing w:after="0" w:line="240" w:lineRule="auto"/>
    </w:pPr>
  </w:style>
  <w:style w:type="paragraph" w:styleId="af5">
    <w:name w:val="header"/>
    <w:basedOn w:val="a"/>
    <w:link w:val="af6"/>
    <w:uiPriority w:val="99"/>
    <w:unhideWhenUsed/>
    <w:rsid w:val="0058542A"/>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8542A"/>
  </w:style>
  <w:style w:type="paragraph" w:styleId="af7">
    <w:name w:val="footer"/>
    <w:basedOn w:val="a"/>
    <w:link w:val="af8"/>
    <w:uiPriority w:val="99"/>
    <w:unhideWhenUsed/>
    <w:rsid w:val="0058542A"/>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8542A"/>
  </w:style>
  <w:style w:type="character" w:customStyle="1" w:styleId="11">
    <w:name w:val="Неразрешенное упоминание1"/>
    <w:basedOn w:val="a0"/>
    <w:uiPriority w:val="99"/>
    <w:semiHidden/>
    <w:unhideWhenUsed/>
    <w:rsid w:val="0051289C"/>
    <w:rPr>
      <w:color w:val="605E5C"/>
      <w:shd w:val="clear" w:color="auto" w:fill="E1DFDD"/>
    </w:rPr>
  </w:style>
  <w:style w:type="character" w:styleId="af9">
    <w:name w:val="FollowedHyperlink"/>
    <w:basedOn w:val="a0"/>
    <w:uiPriority w:val="99"/>
    <w:semiHidden/>
    <w:unhideWhenUsed/>
    <w:rsid w:val="00A96E20"/>
    <w:rPr>
      <w:color w:val="954F72" w:themeColor="followedHyperlink"/>
      <w:u w:val="single"/>
    </w:rPr>
  </w:style>
  <w:style w:type="character" w:customStyle="1" w:styleId="21">
    <w:name w:val="Неразрешенное упоминание2"/>
    <w:basedOn w:val="a0"/>
    <w:uiPriority w:val="99"/>
    <w:semiHidden/>
    <w:unhideWhenUsed/>
    <w:rsid w:val="00CF5CAB"/>
    <w:rPr>
      <w:color w:val="605E5C"/>
      <w:shd w:val="clear" w:color="auto" w:fill="E1DFDD"/>
    </w:rPr>
  </w:style>
  <w:style w:type="paragraph" w:styleId="afa">
    <w:name w:val="No Spacing"/>
    <w:aliases w:val="Этот бля,Этот"/>
    <w:link w:val="afb"/>
    <w:uiPriority w:val="1"/>
    <w:qFormat/>
    <w:rsid w:val="001A233B"/>
    <w:pPr>
      <w:spacing w:after="0" w:line="240" w:lineRule="auto"/>
    </w:pPr>
  </w:style>
  <w:style w:type="character" w:customStyle="1" w:styleId="afb">
    <w:name w:val="Без интервала Знак"/>
    <w:aliases w:val="Этот бля Знак,Этот Знак"/>
    <w:link w:val="afa"/>
    <w:uiPriority w:val="1"/>
    <w:locked/>
    <w:rsid w:val="009A77D8"/>
  </w:style>
  <w:style w:type="character" w:customStyle="1" w:styleId="31">
    <w:name w:val="Неразрешенное упоминание3"/>
    <w:basedOn w:val="a0"/>
    <w:uiPriority w:val="99"/>
    <w:unhideWhenUsed/>
    <w:rsid w:val="00A57DC5"/>
    <w:rPr>
      <w:color w:val="605E5C"/>
      <w:shd w:val="clear" w:color="auto" w:fill="E1DFDD"/>
    </w:rPr>
  </w:style>
  <w:style w:type="paragraph" w:customStyle="1" w:styleId="x-text-2">
    <w:name w:val="x-text-2"/>
    <w:basedOn w:val="a"/>
    <w:rsid w:val="00097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9"/>
    <w:semiHidden/>
    <w:rsid w:val="00527FAA"/>
    <w:rPr>
      <w:rFonts w:asciiTheme="majorHAnsi" w:eastAsiaTheme="majorEastAsia" w:hAnsiTheme="majorHAnsi" w:cstheme="majorBidi"/>
      <w:color w:val="1F3763" w:themeColor="accent1" w:themeShade="7F"/>
      <w:sz w:val="24"/>
      <w:szCs w:val="24"/>
      <w:lang w:val="it-IT"/>
    </w:rPr>
  </w:style>
  <w:style w:type="paragraph" w:customStyle="1" w:styleId="Default">
    <w:name w:val="Default"/>
    <w:uiPriority w:val="99"/>
    <w:rsid w:val="00527FAA"/>
    <w:pPr>
      <w:autoSpaceDE w:val="0"/>
      <w:autoSpaceDN w:val="0"/>
      <w:adjustRightInd w:val="0"/>
      <w:spacing w:after="0" w:line="240" w:lineRule="auto"/>
    </w:pPr>
    <w:rPr>
      <w:rFonts w:ascii="Times New Roman" w:hAnsi="Times New Roman" w:cs="Times New Roman"/>
      <w:color w:val="000000"/>
      <w:sz w:val="24"/>
      <w:szCs w:val="24"/>
    </w:rPr>
  </w:style>
  <w:style w:type="paragraph" w:styleId="afc">
    <w:name w:val="Bibliography"/>
    <w:basedOn w:val="a"/>
    <w:next w:val="a"/>
    <w:uiPriority w:val="37"/>
    <w:unhideWhenUsed/>
    <w:rsid w:val="00527FAA"/>
  </w:style>
  <w:style w:type="character" w:customStyle="1" w:styleId="tlid-translation">
    <w:name w:val="tlid-translation"/>
    <w:basedOn w:val="a0"/>
    <w:rsid w:val="00527FAA"/>
  </w:style>
  <w:style w:type="character" w:customStyle="1" w:styleId="HTML">
    <w:name w:val="Стандартный HTML Знак"/>
    <w:basedOn w:val="a0"/>
    <w:link w:val="HTML0"/>
    <w:uiPriority w:val="99"/>
    <w:semiHidden/>
    <w:rsid w:val="00527FAA"/>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527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fd">
    <w:name w:val="footnote text"/>
    <w:basedOn w:val="a"/>
    <w:link w:val="afe"/>
    <w:uiPriority w:val="99"/>
    <w:semiHidden/>
    <w:unhideWhenUsed/>
    <w:rsid w:val="00527FAA"/>
    <w:pPr>
      <w:spacing w:after="0" w:line="240" w:lineRule="auto"/>
    </w:pPr>
    <w:rPr>
      <w:sz w:val="20"/>
      <w:szCs w:val="20"/>
    </w:rPr>
  </w:style>
  <w:style w:type="character" w:customStyle="1" w:styleId="afe">
    <w:name w:val="Текст сноски Знак"/>
    <w:basedOn w:val="a0"/>
    <w:link w:val="afd"/>
    <w:uiPriority w:val="99"/>
    <w:semiHidden/>
    <w:rsid w:val="00527FAA"/>
    <w:rPr>
      <w:sz w:val="20"/>
      <w:szCs w:val="20"/>
    </w:rPr>
  </w:style>
  <w:style w:type="character" w:customStyle="1" w:styleId="mjx-char">
    <w:name w:val="mjx-char"/>
    <w:basedOn w:val="a0"/>
    <w:rsid w:val="00527FAA"/>
  </w:style>
  <w:style w:type="paragraph" w:styleId="aff">
    <w:name w:val="Balloon Text"/>
    <w:basedOn w:val="a"/>
    <w:link w:val="aff0"/>
    <w:uiPriority w:val="99"/>
    <w:semiHidden/>
    <w:unhideWhenUsed/>
    <w:rsid w:val="00527FAA"/>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527FAA"/>
    <w:rPr>
      <w:rFonts w:ascii="Segoe UI" w:hAnsi="Segoe UI" w:cs="Segoe UI"/>
      <w:sz w:val="18"/>
      <w:szCs w:val="18"/>
    </w:rPr>
  </w:style>
  <w:style w:type="character" w:customStyle="1" w:styleId="hiddennatural">
    <w:name w:val="hiddennatural"/>
    <w:basedOn w:val="a0"/>
    <w:rsid w:val="00527FAA"/>
  </w:style>
  <w:style w:type="character" w:customStyle="1" w:styleId="naturaloff">
    <w:name w:val="naturaloff"/>
    <w:basedOn w:val="a0"/>
    <w:rsid w:val="00527FAA"/>
  </w:style>
  <w:style w:type="paragraph" w:styleId="aff1">
    <w:name w:val="Subtitle"/>
    <w:basedOn w:val="a"/>
    <w:next w:val="a"/>
    <w:link w:val="aff2"/>
    <w:qFormat/>
    <w:rsid w:val="00527FAA"/>
    <w:pPr>
      <w:numPr>
        <w:ilvl w:val="1"/>
      </w:numPr>
    </w:pPr>
    <w:rPr>
      <w:rFonts w:eastAsiaTheme="minorEastAsia"/>
      <w:color w:val="5A5A5A" w:themeColor="text1" w:themeTint="A5"/>
      <w:spacing w:val="15"/>
    </w:rPr>
  </w:style>
  <w:style w:type="character" w:customStyle="1" w:styleId="aff2">
    <w:name w:val="Подзаголовок Знак"/>
    <w:basedOn w:val="a0"/>
    <w:link w:val="aff1"/>
    <w:rsid w:val="00527FAA"/>
    <w:rPr>
      <w:rFonts w:eastAsiaTheme="minorEastAsia"/>
      <w:color w:val="5A5A5A" w:themeColor="text1" w:themeTint="A5"/>
      <w:spacing w:val="15"/>
    </w:rPr>
  </w:style>
  <w:style w:type="character" w:customStyle="1" w:styleId="aff3">
    <w:name w:val="Текст Знак"/>
    <w:basedOn w:val="a0"/>
    <w:link w:val="aff4"/>
    <w:uiPriority w:val="99"/>
    <w:semiHidden/>
    <w:rsid w:val="00527FAA"/>
    <w:rPr>
      <w:rFonts w:ascii="Consolas" w:hAnsi="Consolas"/>
      <w:sz w:val="21"/>
      <w:szCs w:val="21"/>
    </w:rPr>
  </w:style>
  <w:style w:type="paragraph" w:styleId="aff4">
    <w:name w:val="Plain Text"/>
    <w:basedOn w:val="a"/>
    <w:link w:val="aff3"/>
    <w:uiPriority w:val="99"/>
    <w:semiHidden/>
    <w:unhideWhenUsed/>
    <w:rsid w:val="00527FAA"/>
    <w:pPr>
      <w:spacing w:after="0" w:line="240" w:lineRule="auto"/>
    </w:pPr>
    <w:rPr>
      <w:rFonts w:ascii="Consolas" w:hAnsi="Consolas"/>
      <w:sz w:val="21"/>
      <w:szCs w:val="21"/>
    </w:rPr>
  </w:style>
  <w:style w:type="paragraph" w:customStyle="1" w:styleId="12">
    <w:name w:val="ЗАГОЛОВОК 1"/>
    <w:basedOn w:val="1"/>
    <w:link w:val="13"/>
    <w:qFormat/>
    <w:rsid w:val="00527FAA"/>
    <w:pPr>
      <w:keepNext/>
      <w:keepLines/>
      <w:spacing w:before="240" w:beforeAutospacing="0" w:after="0" w:afterAutospacing="0" w:line="259" w:lineRule="auto"/>
      <w:jc w:val="both"/>
    </w:pPr>
    <w:rPr>
      <w:rFonts w:eastAsiaTheme="majorEastAsia"/>
      <w:sz w:val="28"/>
      <w:szCs w:val="28"/>
    </w:rPr>
  </w:style>
  <w:style w:type="character" w:customStyle="1" w:styleId="13">
    <w:name w:val="ЗАГОЛОВОК 1 Знак"/>
    <w:basedOn w:val="10"/>
    <w:link w:val="12"/>
    <w:rsid w:val="00527FAA"/>
    <w:rPr>
      <w:rFonts w:ascii="Times New Roman" w:eastAsiaTheme="majorEastAsia" w:hAnsi="Times New Roman" w:cs="Times New Roman"/>
      <w:b/>
      <w:bCs/>
      <w:kern w:val="36"/>
      <w:sz w:val="28"/>
      <w:szCs w:val="28"/>
      <w:lang w:eastAsia="ru-RU"/>
    </w:rPr>
  </w:style>
  <w:style w:type="paragraph" w:customStyle="1" w:styleId="22">
    <w:name w:val="заголовок2"/>
    <w:basedOn w:val="12"/>
    <w:link w:val="23"/>
    <w:qFormat/>
    <w:rsid w:val="00527FAA"/>
    <w:pPr>
      <w:spacing w:line="240" w:lineRule="auto"/>
      <w:ind w:firstLine="567"/>
      <w:contextualSpacing/>
    </w:pPr>
  </w:style>
  <w:style w:type="character" w:customStyle="1" w:styleId="23">
    <w:name w:val="заголовок2 Знак"/>
    <w:basedOn w:val="13"/>
    <w:link w:val="22"/>
    <w:rsid w:val="00527FAA"/>
    <w:rPr>
      <w:rFonts w:ascii="Times New Roman" w:eastAsiaTheme="majorEastAsia" w:hAnsi="Times New Roman" w:cs="Times New Roman"/>
      <w:b/>
      <w:bCs/>
      <w:kern w:val="36"/>
      <w:sz w:val="28"/>
      <w:szCs w:val="28"/>
      <w:lang w:eastAsia="ru-RU"/>
    </w:rPr>
  </w:style>
  <w:style w:type="character" w:customStyle="1" w:styleId="authors-list-item">
    <w:name w:val="authors-list-item"/>
    <w:basedOn w:val="a0"/>
    <w:rsid w:val="00527FAA"/>
  </w:style>
  <w:style w:type="character" w:customStyle="1" w:styleId="layout">
    <w:name w:val="layout"/>
    <w:basedOn w:val="a0"/>
    <w:rsid w:val="00527FAA"/>
  </w:style>
  <w:style w:type="character" w:customStyle="1" w:styleId="aff5">
    <w:name w:val="Нет"/>
    <w:rsid w:val="00527FAA"/>
  </w:style>
  <w:style w:type="paragraph" w:customStyle="1" w:styleId="-1">
    <w:name w:val="Без интервала-1"/>
    <w:basedOn w:val="afa"/>
    <w:link w:val="-10"/>
    <w:qFormat/>
    <w:rsid w:val="00527FAA"/>
    <w:pPr>
      <w:widowControl w:val="0"/>
      <w:ind w:right="-24"/>
      <w:jc w:val="center"/>
    </w:pPr>
    <w:rPr>
      <w:rFonts w:ascii="Times New Roman" w:eastAsia="Times New Roman" w:hAnsi="Times New Roman" w:cs="Times New Roman"/>
      <w:b/>
      <w:bCs/>
      <w:sz w:val="24"/>
      <w:szCs w:val="24"/>
      <w:shd w:val="clear" w:color="auto" w:fill="FFFFFF"/>
      <w:lang w:eastAsia="ru-RU"/>
    </w:rPr>
  </w:style>
  <w:style w:type="character" w:customStyle="1" w:styleId="-10">
    <w:name w:val="Без интервала-1 Знак"/>
    <w:link w:val="-1"/>
    <w:locked/>
    <w:rsid w:val="00527FAA"/>
    <w:rPr>
      <w:rFonts w:ascii="Times New Roman" w:eastAsia="Times New Roman" w:hAnsi="Times New Roman" w:cs="Times New Roman"/>
      <w:b/>
      <w:bCs/>
      <w:sz w:val="24"/>
      <w:szCs w:val="24"/>
      <w:lang w:eastAsia="ru-RU"/>
    </w:rPr>
  </w:style>
  <w:style w:type="paragraph" w:styleId="aff6">
    <w:name w:val="Body Text Indent"/>
    <w:basedOn w:val="a"/>
    <w:link w:val="aff7"/>
    <w:uiPriority w:val="99"/>
    <w:rsid w:val="00527FAA"/>
    <w:pPr>
      <w:spacing w:after="120" w:line="240" w:lineRule="auto"/>
      <w:ind w:left="283"/>
    </w:pPr>
    <w:rPr>
      <w:rFonts w:ascii="Times New Roman" w:eastAsia="Times New Roman" w:hAnsi="Times New Roman" w:cs="Times New Roman"/>
      <w:sz w:val="28"/>
      <w:szCs w:val="20"/>
      <w:lang w:eastAsia="ru-RU"/>
    </w:rPr>
  </w:style>
  <w:style w:type="character" w:customStyle="1" w:styleId="aff7">
    <w:name w:val="Основной текст с отступом Знак"/>
    <w:basedOn w:val="a0"/>
    <w:link w:val="aff6"/>
    <w:uiPriority w:val="99"/>
    <w:rsid w:val="00527FAA"/>
    <w:rPr>
      <w:rFonts w:ascii="Times New Roman" w:eastAsia="Times New Roman" w:hAnsi="Times New Roman" w:cs="Times New Roman"/>
      <w:sz w:val="28"/>
      <w:szCs w:val="20"/>
      <w:lang w:eastAsia="ru-RU"/>
    </w:rPr>
  </w:style>
  <w:style w:type="character" w:customStyle="1" w:styleId="ref-title">
    <w:name w:val="ref-title"/>
    <w:basedOn w:val="a0"/>
    <w:rsid w:val="00527FAA"/>
  </w:style>
  <w:style w:type="paragraph" w:customStyle="1" w:styleId="Titolosezioniarticologenerico">
    <w:name w:val="Titolo sezioni articolo generico"/>
    <w:basedOn w:val="a"/>
    <w:next w:val="a"/>
    <w:qFormat/>
    <w:rsid w:val="00527FAA"/>
    <w:pPr>
      <w:spacing w:before="240" w:after="240" w:line="240" w:lineRule="auto"/>
    </w:pPr>
    <w:rPr>
      <w:rFonts w:ascii="Times New Roman" w:eastAsia="Times New Roman" w:hAnsi="Times New Roman" w:cs="Times New Roman"/>
      <w:b/>
      <w:sz w:val="24"/>
      <w:szCs w:val="24"/>
      <w:lang w:val="en-US" w:eastAsia="it-IT"/>
    </w:rPr>
  </w:style>
  <w:style w:type="character" w:customStyle="1" w:styleId="aff8">
    <w:name w:val="Текст концевой сноски Знак"/>
    <w:basedOn w:val="a0"/>
    <w:link w:val="aff9"/>
    <w:uiPriority w:val="99"/>
    <w:semiHidden/>
    <w:rsid w:val="00527FAA"/>
    <w:rPr>
      <w:sz w:val="20"/>
      <w:szCs w:val="20"/>
      <w:lang w:val="en-GB"/>
    </w:rPr>
  </w:style>
  <w:style w:type="paragraph" w:styleId="aff9">
    <w:name w:val="endnote text"/>
    <w:basedOn w:val="a"/>
    <w:link w:val="aff8"/>
    <w:uiPriority w:val="99"/>
    <w:semiHidden/>
    <w:unhideWhenUsed/>
    <w:rsid w:val="00527FAA"/>
    <w:pPr>
      <w:spacing w:after="0" w:line="240" w:lineRule="auto"/>
    </w:pPr>
    <w:rPr>
      <w:sz w:val="20"/>
      <w:szCs w:val="20"/>
      <w:lang w:val="en-GB"/>
    </w:rPr>
  </w:style>
  <w:style w:type="character" w:customStyle="1" w:styleId="14">
    <w:name w:val="Текст концевой сноски Знак1"/>
    <w:basedOn w:val="a0"/>
    <w:uiPriority w:val="99"/>
    <w:semiHidden/>
    <w:rsid w:val="00527FAA"/>
    <w:rPr>
      <w:sz w:val="20"/>
      <w:szCs w:val="20"/>
    </w:rPr>
  </w:style>
  <w:style w:type="paragraph" w:customStyle="1" w:styleId="msonormal0">
    <w:name w:val="msonormal"/>
    <w:basedOn w:val="a"/>
    <w:rsid w:val="00527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527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527FA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527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527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527FAA"/>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527FAA"/>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527FA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527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527FA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527FA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527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527FA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527FA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527FA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27FAA"/>
    <w:pPr>
      <w:shd w:val="clear" w:color="000000" w:fill="E7E6E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527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527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527FAA"/>
    <w:pPr>
      <w:shd w:val="clear" w:color="000000" w:fill="E7E6E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527FA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527FAA"/>
    <w:pPr>
      <w:shd w:val="clear" w:color="000000" w:fill="D0CEC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527FAA"/>
    <w:pPr>
      <w:shd w:val="clear" w:color="000000" w:fill="D0CEC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527FAA"/>
    <w:pPr>
      <w:shd w:val="clear" w:color="000000" w:fill="D0CEC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527FAA"/>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527FAA"/>
    <w:pPr>
      <w:shd w:val="clear" w:color="000000" w:fill="E7E6E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527FAA"/>
    <w:pPr>
      <w:shd w:val="clear" w:color="000000" w:fill="E7E6E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527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527F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527FAA"/>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527FAA"/>
    <w:pPr>
      <w:shd w:val="clear" w:color="000000" w:fill="FFF2CC"/>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527FAA"/>
    <w:pPr>
      <w:shd w:val="clear" w:color="000000" w:fill="D9D9D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527FAA"/>
    <w:pP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527FAA"/>
    <w:pPr>
      <w:shd w:val="clear" w:color="000000" w:fill="BDD7EE"/>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527FAA"/>
    <w:pP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527FAA"/>
    <w:pP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9">
    <w:name w:val="xl99"/>
    <w:basedOn w:val="a"/>
    <w:rsid w:val="00527FAA"/>
    <w:pPr>
      <w:shd w:val="clear" w:color="000000" w:fill="D6DCE4"/>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527FA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uiPriority w:val="99"/>
    <w:rsid w:val="00527FAA"/>
    <w:rPr>
      <w:rFonts w:cs="Janson Text LT"/>
      <w:color w:val="000000"/>
      <w:sz w:val="16"/>
      <w:szCs w:val="16"/>
    </w:rPr>
  </w:style>
  <w:style w:type="character" w:customStyle="1" w:styleId="anchor-text">
    <w:name w:val="anchor-text"/>
    <w:basedOn w:val="a0"/>
    <w:rsid w:val="00527FAA"/>
  </w:style>
  <w:style w:type="paragraph" w:styleId="15">
    <w:name w:val="toc 1"/>
    <w:basedOn w:val="a"/>
    <w:next w:val="a"/>
    <w:autoRedefine/>
    <w:rsid w:val="00527FAA"/>
    <w:pPr>
      <w:tabs>
        <w:tab w:val="left" w:pos="709"/>
        <w:tab w:val="right" w:leader="dot" w:pos="9214"/>
      </w:tabs>
      <w:spacing w:after="0" w:line="360" w:lineRule="auto"/>
      <w:ind w:left="709" w:hanging="709"/>
    </w:pPr>
    <w:rPr>
      <w:rFonts w:ascii="Times New Roman" w:eastAsia="Times New Roman" w:hAnsi="Times New Roman" w:cs="Times New Roman"/>
      <w:sz w:val="24"/>
      <w:szCs w:val="24"/>
      <w:lang w:eastAsia="ru-RU"/>
    </w:rPr>
  </w:style>
  <w:style w:type="paragraph" w:customStyle="1" w:styleId="16">
    <w:name w:val="1"/>
    <w:basedOn w:val="a"/>
    <w:next w:val="affa"/>
    <w:qFormat/>
    <w:rsid w:val="00527FAA"/>
    <w:pPr>
      <w:spacing w:after="0" w:line="240" w:lineRule="auto"/>
      <w:jc w:val="center"/>
    </w:pPr>
    <w:rPr>
      <w:rFonts w:ascii="Times New Roman" w:eastAsia="Times New Roman" w:hAnsi="Times New Roman" w:cs="Times New Roman"/>
      <w:b/>
      <w:sz w:val="28"/>
      <w:szCs w:val="20"/>
      <w:lang w:eastAsia="ru-RU"/>
    </w:rPr>
  </w:style>
  <w:style w:type="paragraph" w:styleId="affa">
    <w:name w:val="Title"/>
    <w:basedOn w:val="a"/>
    <w:next w:val="a"/>
    <w:link w:val="affb"/>
    <w:uiPriority w:val="10"/>
    <w:qFormat/>
    <w:rsid w:val="00527F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b">
    <w:name w:val="Заголовок Знак"/>
    <w:basedOn w:val="a0"/>
    <w:link w:val="affa"/>
    <w:uiPriority w:val="10"/>
    <w:rsid w:val="00527FAA"/>
    <w:rPr>
      <w:rFonts w:asciiTheme="majorHAnsi" w:eastAsiaTheme="majorEastAsia" w:hAnsiTheme="majorHAnsi" w:cstheme="majorBidi"/>
      <w:spacing w:val="-10"/>
      <w:kern w:val="28"/>
      <w:sz w:val="56"/>
      <w:szCs w:val="56"/>
    </w:rPr>
  </w:style>
  <w:style w:type="paragraph" w:styleId="affc">
    <w:name w:val="Body Text"/>
    <w:basedOn w:val="a"/>
    <w:link w:val="affd"/>
    <w:uiPriority w:val="1"/>
    <w:unhideWhenUsed/>
    <w:qFormat/>
    <w:rsid w:val="00527FAA"/>
    <w:pPr>
      <w:spacing w:after="120"/>
    </w:pPr>
  </w:style>
  <w:style w:type="character" w:customStyle="1" w:styleId="affd">
    <w:name w:val="Основной текст Знак"/>
    <w:basedOn w:val="a0"/>
    <w:link w:val="affc"/>
    <w:uiPriority w:val="1"/>
    <w:rsid w:val="00527FAA"/>
  </w:style>
  <w:style w:type="character" w:customStyle="1" w:styleId="apple-converted-space">
    <w:name w:val="apple-converted-space"/>
    <w:uiPriority w:val="99"/>
    <w:rsid w:val="00527FAA"/>
  </w:style>
  <w:style w:type="paragraph" w:customStyle="1" w:styleId="MDPI31text">
    <w:name w:val="MDPI_3.1_text"/>
    <w:qFormat/>
    <w:rsid w:val="00EE4055"/>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styleId="affe">
    <w:name w:val="line number"/>
    <w:uiPriority w:val="99"/>
    <w:rsid w:val="00EE4055"/>
    <w:rPr>
      <w:rFonts w:ascii="Palatino Linotype" w:hAnsi="Palatino Linotype"/>
      <w:sz w:val="16"/>
    </w:rPr>
  </w:style>
  <w:style w:type="paragraph" w:customStyle="1" w:styleId="MDPI21heading1">
    <w:name w:val="MDPI_2.1_heading1"/>
    <w:qFormat/>
    <w:rsid w:val="00EE4055"/>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pf0">
    <w:name w:val="pf0"/>
    <w:basedOn w:val="a"/>
    <w:rsid w:val="001707C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DPI42tablebody">
    <w:name w:val="MDPI_4.2_table_body"/>
    <w:qFormat/>
    <w:rsid w:val="001707CD"/>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51figurecaption">
    <w:name w:val="MDPI_5.1_figure_caption"/>
    <w:qFormat/>
    <w:rsid w:val="001707CD"/>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1707CD"/>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2BackMatter">
    <w:name w:val="MDPI_6.2_BackMatter"/>
    <w:qFormat/>
    <w:rsid w:val="00C23CAC"/>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character" w:customStyle="1" w:styleId="t9">
    <w:name w:val="t9"/>
    <w:basedOn w:val="a0"/>
    <w:rsid w:val="00DC1FBC"/>
  </w:style>
  <w:style w:type="character" w:customStyle="1" w:styleId="t10">
    <w:name w:val="t10"/>
    <w:basedOn w:val="a0"/>
    <w:rsid w:val="00DC1FBC"/>
  </w:style>
  <w:style w:type="paragraph" w:customStyle="1" w:styleId="mdpi5f315ftext">
    <w:name w:val="mdpi_5f_3_1_5f_text"/>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5">
    <w:name w:val="t45"/>
    <w:basedOn w:val="a0"/>
    <w:rsid w:val="00DC1FBC"/>
  </w:style>
  <w:style w:type="character" w:customStyle="1" w:styleId="t8">
    <w:name w:val="t8"/>
    <w:basedOn w:val="a0"/>
    <w:rsid w:val="00DC1FBC"/>
  </w:style>
  <w:style w:type="character" w:customStyle="1" w:styleId="annotationstylebyfilter">
    <w:name w:val="annotation_style_by_filter"/>
    <w:basedOn w:val="a0"/>
    <w:rsid w:val="00DC1FBC"/>
  </w:style>
  <w:style w:type="character" w:customStyle="1" w:styleId="t25">
    <w:name w:val="t25"/>
    <w:basedOn w:val="a0"/>
    <w:rsid w:val="00DC1FBC"/>
  </w:style>
  <w:style w:type="character" w:customStyle="1" w:styleId="t20">
    <w:name w:val="t20"/>
    <w:basedOn w:val="a0"/>
    <w:rsid w:val="00DC1FBC"/>
  </w:style>
  <w:style w:type="character" w:customStyle="1" w:styleId="t115">
    <w:name w:val="t115"/>
    <w:basedOn w:val="a0"/>
    <w:rsid w:val="00DC1FBC"/>
  </w:style>
  <w:style w:type="character" w:customStyle="1" w:styleId="t19">
    <w:name w:val="t19"/>
    <w:basedOn w:val="a0"/>
    <w:rsid w:val="00DC1FBC"/>
  </w:style>
  <w:style w:type="character" w:customStyle="1" w:styleId="t11">
    <w:name w:val="t11"/>
    <w:basedOn w:val="a0"/>
    <w:rsid w:val="00DC1FBC"/>
  </w:style>
  <w:style w:type="paragraph" w:customStyle="1" w:styleId="mdpi5f415ftable5fcaption">
    <w:name w:val="mdpi_5f_4_1_5f_table_5f_caption"/>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9">
    <w:name w:val="t29"/>
    <w:basedOn w:val="a0"/>
    <w:rsid w:val="00DC1FBC"/>
  </w:style>
  <w:style w:type="paragraph" w:customStyle="1" w:styleId="p27">
    <w:name w:val="p27"/>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30">
    <w:name w:val="t30"/>
    <w:basedOn w:val="a0"/>
    <w:rsid w:val="00DC1FBC"/>
  </w:style>
  <w:style w:type="character" w:customStyle="1" w:styleId="t117">
    <w:name w:val="t117"/>
    <w:basedOn w:val="a0"/>
    <w:rsid w:val="00DC1FBC"/>
  </w:style>
  <w:style w:type="character" w:customStyle="1" w:styleId="t37">
    <w:name w:val="t37"/>
    <w:basedOn w:val="a0"/>
    <w:rsid w:val="00DC1FBC"/>
  </w:style>
  <w:style w:type="character" w:customStyle="1" w:styleId="t38">
    <w:name w:val="t38"/>
    <w:basedOn w:val="a0"/>
    <w:rsid w:val="00DC1FBC"/>
  </w:style>
  <w:style w:type="paragraph" w:customStyle="1" w:styleId="p44">
    <w:name w:val="p44"/>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5">
    <w:name w:val="t15"/>
    <w:basedOn w:val="a0"/>
    <w:rsid w:val="00DC1FBC"/>
  </w:style>
  <w:style w:type="character" w:customStyle="1" w:styleId="t17">
    <w:name w:val="t17"/>
    <w:basedOn w:val="a0"/>
    <w:rsid w:val="00DC1FBC"/>
  </w:style>
  <w:style w:type="paragraph" w:customStyle="1" w:styleId="p28">
    <w:name w:val="p28"/>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3">
    <w:name w:val="t43"/>
    <w:basedOn w:val="a0"/>
    <w:rsid w:val="00DC1FBC"/>
  </w:style>
  <w:style w:type="character" w:customStyle="1" w:styleId="t46">
    <w:name w:val="t46"/>
    <w:basedOn w:val="a0"/>
    <w:rsid w:val="00DC1FBC"/>
  </w:style>
  <w:style w:type="character" w:customStyle="1" w:styleId="t114">
    <w:name w:val="t114"/>
    <w:basedOn w:val="a0"/>
    <w:rsid w:val="00DC1FBC"/>
  </w:style>
  <w:style w:type="character" w:customStyle="1" w:styleId="t113">
    <w:name w:val="t113"/>
    <w:basedOn w:val="a0"/>
    <w:rsid w:val="00DC1FBC"/>
  </w:style>
  <w:style w:type="character" w:customStyle="1" w:styleId="t116">
    <w:name w:val="t116"/>
    <w:basedOn w:val="a0"/>
    <w:rsid w:val="00DC1FBC"/>
  </w:style>
  <w:style w:type="character" w:customStyle="1" w:styleId="t22">
    <w:name w:val="t22"/>
    <w:basedOn w:val="a0"/>
    <w:rsid w:val="00DC1FBC"/>
  </w:style>
  <w:style w:type="character" w:customStyle="1" w:styleId="t48">
    <w:name w:val="t48"/>
    <w:basedOn w:val="a0"/>
    <w:rsid w:val="00DC1FBC"/>
  </w:style>
  <w:style w:type="paragraph" w:customStyle="1" w:styleId="p32">
    <w:name w:val="p32"/>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2">
    <w:name w:val="t12"/>
    <w:basedOn w:val="a0"/>
    <w:rsid w:val="00DC1FBC"/>
  </w:style>
  <w:style w:type="character" w:customStyle="1" w:styleId="t44">
    <w:name w:val="t44"/>
    <w:basedOn w:val="a0"/>
    <w:rsid w:val="00DC1FBC"/>
  </w:style>
  <w:style w:type="character" w:customStyle="1" w:styleId="t31">
    <w:name w:val="t31"/>
    <w:basedOn w:val="a0"/>
    <w:rsid w:val="00DC1FBC"/>
  </w:style>
  <w:style w:type="paragraph" w:customStyle="1" w:styleId="p48">
    <w:name w:val="p48"/>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8">
    <w:name w:val="t18"/>
    <w:basedOn w:val="a0"/>
    <w:rsid w:val="00DC1FBC"/>
  </w:style>
  <w:style w:type="character" w:customStyle="1" w:styleId="t50">
    <w:name w:val="t50"/>
    <w:basedOn w:val="a0"/>
    <w:rsid w:val="00DC1FBC"/>
  </w:style>
  <w:style w:type="character" w:customStyle="1" w:styleId="t68">
    <w:name w:val="t68"/>
    <w:basedOn w:val="a0"/>
    <w:rsid w:val="00DC1FBC"/>
  </w:style>
  <w:style w:type="paragraph" w:customStyle="1" w:styleId="p24">
    <w:name w:val="p24"/>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2">
    <w:name w:val="t42"/>
    <w:basedOn w:val="a0"/>
    <w:rsid w:val="00DC1FBC"/>
  </w:style>
  <w:style w:type="character" w:customStyle="1" w:styleId="fr1">
    <w:name w:val="fr1"/>
    <w:basedOn w:val="a0"/>
    <w:rsid w:val="00DC1FBC"/>
  </w:style>
  <w:style w:type="character" w:customStyle="1" w:styleId="t32">
    <w:name w:val="t32"/>
    <w:basedOn w:val="a0"/>
    <w:rsid w:val="00DC1FBC"/>
  </w:style>
  <w:style w:type="paragraph" w:customStyle="1" w:styleId="p26">
    <w:name w:val="p26"/>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33">
    <w:name w:val="t33"/>
    <w:basedOn w:val="a0"/>
    <w:rsid w:val="00DC1FBC"/>
  </w:style>
  <w:style w:type="character" w:customStyle="1" w:styleId="t16">
    <w:name w:val="t16"/>
    <w:basedOn w:val="a0"/>
    <w:rsid w:val="00DC1FBC"/>
  </w:style>
  <w:style w:type="character" w:customStyle="1" w:styleId="t52">
    <w:name w:val="t52"/>
    <w:basedOn w:val="a0"/>
    <w:rsid w:val="00DC1FBC"/>
  </w:style>
  <w:style w:type="character" w:customStyle="1" w:styleId="t13">
    <w:name w:val="t13"/>
    <w:basedOn w:val="a0"/>
    <w:rsid w:val="00DC1FBC"/>
  </w:style>
  <w:style w:type="paragraph" w:customStyle="1" w:styleId="p34">
    <w:name w:val="p34"/>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54">
    <w:name w:val="t54"/>
    <w:basedOn w:val="a0"/>
    <w:rsid w:val="00DC1FBC"/>
  </w:style>
  <w:style w:type="character" w:customStyle="1" w:styleId="t55">
    <w:name w:val="t55"/>
    <w:basedOn w:val="a0"/>
    <w:rsid w:val="00DC1FBC"/>
  </w:style>
  <w:style w:type="character" w:customStyle="1" w:styleId="t57">
    <w:name w:val="t57"/>
    <w:basedOn w:val="a0"/>
    <w:rsid w:val="00DC1FBC"/>
  </w:style>
  <w:style w:type="paragraph" w:customStyle="1" w:styleId="p35">
    <w:name w:val="p35"/>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DC1F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35">
    <w:name w:val="t35"/>
    <w:basedOn w:val="a0"/>
    <w:rsid w:val="00DC1FBC"/>
  </w:style>
  <w:style w:type="character" w:customStyle="1" w:styleId="t21">
    <w:name w:val="t21"/>
    <w:basedOn w:val="a0"/>
    <w:rsid w:val="00DC1FBC"/>
  </w:style>
  <w:style w:type="paragraph" w:styleId="24">
    <w:name w:val="Body Text 2"/>
    <w:basedOn w:val="a"/>
    <w:link w:val="25"/>
    <w:uiPriority w:val="99"/>
    <w:rsid w:val="00F03219"/>
    <w:pPr>
      <w:spacing w:after="120" w:line="480" w:lineRule="auto"/>
    </w:pPr>
    <w:rPr>
      <w:rFonts w:ascii="Times New Roman" w:eastAsia="Times New Roman" w:hAnsi="Times New Roman" w:cs="Times New Roman"/>
      <w:sz w:val="24"/>
      <w:szCs w:val="24"/>
      <w:lang w:val="uk-UA" w:eastAsia="uk-UA"/>
    </w:rPr>
  </w:style>
  <w:style w:type="character" w:customStyle="1" w:styleId="25">
    <w:name w:val="Основной текст 2 Знак"/>
    <w:basedOn w:val="a0"/>
    <w:link w:val="24"/>
    <w:uiPriority w:val="99"/>
    <w:rsid w:val="00F03219"/>
    <w:rPr>
      <w:rFonts w:ascii="Times New Roman" w:eastAsia="Times New Roman" w:hAnsi="Times New Roman" w:cs="Times New Roman"/>
      <w:sz w:val="24"/>
      <w:szCs w:val="24"/>
      <w:lang w:val="uk-UA" w:eastAsia="uk-UA"/>
    </w:rPr>
  </w:style>
  <w:style w:type="character" w:customStyle="1" w:styleId="s0">
    <w:name w:val="s0"/>
    <w:rsid w:val="00F03219"/>
    <w:rPr>
      <w:rFonts w:ascii="Times New Roman" w:hAnsi="Times New Roman"/>
      <w:color w:val="000000"/>
      <w:sz w:val="32"/>
      <w:u w:val="none"/>
    </w:rPr>
  </w:style>
  <w:style w:type="character" w:customStyle="1" w:styleId="hps">
    <w:name w:val="hps"/>
    <w:uiPriority w:val="99"/>
    <w:rsid w:val="00F03219"/>
  </w:style>
  <w:style w:type="paragraph" w:customStyle="1" w:styleId="210">
    <w:name w:val="Знак21"/>
    <w:basedOn w:val="a"/>
    <w:next w:val="2"/>
    <w:autoRedefine/>
    <w:uiPriority w:val="99"/>
    <w:rsid w:val="00F03219"/>
    <w:pPr>
      <w:spacing w:line="240" w:lineRule="exact"/>
    </w:pPr>
    <w:rPr>
      <w:rFonts w:ascii="Times New Roman" w:eastAsia="Times New Roman" w:hAnsi="Times New Roman" w:cs="Times New Roman"/>
      <w:sz w:val="24"/>
      <w:szCs w:val="20"/>
      <w:lang w:val="en-US"/>
    </w:rPr>
  </w:style>
  <w:style w:type="character" w:customStyle="1" w:styleId="atn">
    <w:name w:val="atn"/>
    <w:basedOn w:val="a0"/>
    <w:uiPriority w:val="99"/>
    <w:rsid w:val="00F03219"/>
    <w:rPr>
      <w:rFonts w:cs="Times New Roman"/>
    </w:rPr>
  </w:style>
  <w:style w:type="character" w:customStyle="1" w:styleId="shorttext">
    <w:name w:val="short_text"/>
    <w:basedOn w:val="a0"/>
    <w:uiPriority w:val="99"/>
    <w:rsid w:val="00F03219"/>
    <w:rPr>
      <w:rFonts w:cs="Times New Roman"/>
    </w:rPr>
  </w:style>
  <w:style w:type="paragraph" w:customStyle="1" w:styleId="NanotechMainText">
    <w:name w:val="Nanotech Main Text"/>
    <w:basedOn w:val="a"/>
    <w:uiPriority w:val="99"/>
    <w:rsid w:val="00F03219"/>
    <w:pPr>
      <w:spacing w:after="0" w:line="240" w:lineRule="auto"/>
      <w:ind w:firstLine="284"/>
      <w:jc w:val="both"/>
    </w:pPr>
    <w:rPr>
      <w:rFonts w:ascii="Times New Roman" w:eastAsia="Times New Roman" w:hAnsi="Times New Roman" w:cs="Times New Roman"/>
      <w:sz w:val="20"/>
      <w:szCs w:val="20"/>
      <w:lang w:val="en-US"/>
    </w:rPr>
  </w:style>
  <w:style w:type="character" w:customStyle="1" w:styleId="il">
    <w:name w:val="il"/>
    <w:basedOn w:val="a0"/>
    <w:uiPriority w:val="99"/>
    <w:rsid w:val="00F03219"/>
    <w:rPr>
      <w:rFonts w:cs="Times New Roman"/>
    </w:rPr>
  </w:style>
  <w:style w:type="character" w:customStyle="1" w:styleId="inf">
    <w:name w:val="inf"/>
    <w:basedOn w:val="a0"/>
    <w:uiPriority w:val="99"/>
    <w:rsid w:val="00F03219"/>
    <w:rPr>
      <w:rFonts w:cs="Times New Roman"/>
    </w:rPr>
  </w:style>
  <w:style w:type="paragraph" w:styleId="afff">
    <w:name w:val="Document Map"/>
    <w:basedOn w:val="a"/>
    <w:link w:val="afff0"/>
    <w:uiPriority w:val="99"/>
    <w:semiHidden/>
    <w:rsid w:val="00F03219"/>
    <w:pPr>
      <w:shd w:val="clear" w:color="auto" w:fill="000080"/>
      <w:spacing w:after="0" w:line="240" w:lineRule="auto"/>
    </w:pPr>
    <w:rPr>
      <w:rFonts w:ascii="Tahoma" w:eastAsia="Times New Roman" w:hAnsi="Tahoma" w:cs="Tahoma"/>
      <w:sz w:val="20"/>
      <w:szCs w:val="20"/>
      <w:lang w:eastAsia="ru-RU"/>
    </w:rPr>
  </w:style>
  <w:style w:type="character" w:customStyle="1" w:styleId="afff0">
    <w:name w:val="Схема документа Знак"/>
    <w:basedOn w:val="a0"/>
    <w:link w:val="afff"/>
    <w:uiPriority w:val="99"/>
    <w:semiHidden/>
    <w:rsid w:val="00F03219"/>
    <w:rPr>
      <w:rFonts w:ascii="Tahoma" w:eastAsia="Times New Roman" w:hAnsi="Tahoma" w:cs="Tahoma"/>
      <w:sz w:val="20"/>
      <w:szCs w:val="20"/>
      <w:shd w:val="clear" w:color="auto" w:fill="000080"/>
      <w:lang w:eastAsia="ru-RU"/>
    </w:rPr>
  </w:style>
  <w:style w:type="character" w:customStyle="1" w:styleId="w1">
    <w:name w:val="w1"/>
    <w:basedOn w:val="a0"/>
    <w:uiPriority w:val="99"/>
    <w:rsid w:val="00F03219"/>
    <w:rPr>
      <w:rFonts w:cs="Times New Roman"/>
    </w:rPr>
  </w:style>
  <w:style w:type="paragraph" w:customStyle="1" w:styleId="17">
    <w:name w:val="Абзац списка1"/>
    <w:basedOn w:val="a"/>
    <w:uiPriority w:val="99"/>
    <w:rsid w:val="00F03219"/>
    <w:pPr>
      <w:spacing w:after="200" w:line="276" w:lineRule="auto"/>
      <w:ind w:left="720"/>
      <w:contextualSpacing/>
    </w:pPr>
    <w:rPr>
      <w:rFonts w:ascii="Calibri" w:eastAsia="Calibri" w:hAnsi="Calibri" w:cs="Times New Roman"/>
    </w:rPr>
  </w:style>
  <w:style w:type="character" w:customStyle="1" w:styleId="aa">
    <w:name w:val="Обычный (веб) Знак"/>
    <w:aliases w:val="Знак2 Знак Знак1,Знак2 Знак1,Знак2 Знак Знак Знак,Знак2 Знак Знак Знак Знак Знак, Знак2 Знак Знак Знак, Знак2 Знак Знак1, Знак2 Знак Знак Знак Знак Знак,Обычный (Web) Знак,Знак4 Знак1,Знак4 Знак Знак Знак,Знак4 Знак Знак1"/>
    <w:link w:val="a9"/>
    <w:uiPriority w:val="99"/>
    <w:locked/>
    <w:rsid w:val="00F03219"/>
    <w:rPr>
      <w:rFonts w:ascii="Times New Roman" w:eastAsia="Times New Roman" w:hAnsi="Times New Roman" w:cs="Times New Roman"/>
      <w:sz w:val="24"/>
      <w:szCs w:val="24"/>
      <w:lang w:eastAsia="ru-RU"/>
    </w:rPr>
  </w:style>
  <w:style w:type="character" w:customStyle="1" w:styleId="FontStyle206">
    <w:name w:val="Font Style206"/>
    <w:rsid w:val="00F03219"/>
    <w:rPr>
      <w:rFonts w:ascii="Times New Roman" w:hAnsi="Times New Roman" w:cs="Times New Roman"/>
      <w:b/>
      <w:bCs/>
      <w:sz w:val="22"/>
      <w:szCs w:val="22"/>
    </w:rPr>
  </w:style>
  <w:style w:type="paragraph" w:customStyle="1" w:styleId="MDPI41tablecaption">
    <w:name w:val="MDPI_4.1_table_caption"/>
    <w:qFormat/>
    <w:rsid w:val="00F03219"/>
    <w:pPr>
      <w:adjustRightInd w:val="0"/>
      <w:snapToGrid w:val="0"/>
      <w:spacing w:before="240" w:after="120" w:line="228" w:lineRule="auto"/>
      <w:ind w:left="2608"/>
    </w:pPr>
    <w:rPr>
      <w:rFonts w:ascii="Palatino Linotype" w:eastAsia="Times New Roman" w:hAnsi="Palatino Linotype"/>
      <w:color w:val="000000"/>
      <w:kern w:val="2"/>
      <w:sz w:val="18"/>
      <w:lang w:val="ru" w:eastAsia="de-DE" w:bidi="en-US"/>
      <w14:ligatures w14:val="standardContextual"/>
    </w:rPr>
  </w:style>
  <w:style w:type="paragraph" w:customStyle="1" w:styleId="MDPI43tablefooter">
    <w:name w:val="MDPI_4.3_table_footer"/>
    <w:next w:val="MDPI31text"/>
    <w:qFormat/>
    <w:rsid w:val="00F03219"/>
    <w:pPr>
      <w:adjustRightInd w:val="0"/>
      <w:snapToGrid w:val="0"/>
      <w:spacing w:after="0" w:line="228" w:lineRule="auto"/>
      <w:ind w:left="2608"/>
      <w:jc w:val="both"/>
    </w:pPr>
    <w:rPr>
      <w:rFonts w:ascii="Palatino Linotype" w:eastAsia="Times New Roman" w:hAnsi="Palatino Linotype" w:cs="Cordia New"/>
      <w:color w:val="000000"/>
      <w:kern w:val="2"/>
      <w:sz w:val="18"/>
      <w:lang w:val="ru" w:eastAsia="de-DE" w:bidi="en-US"/>
      <w14:ligatures w14:val="standardContextual"/>
    </w:rPr>
  </w:style>
  <w:style w:type="paragraph" w:customStyle="1" w:styleId="MDPI22heading2">
    <w:name w:val="MDPI_2.2_heading2"/>
    <w:qFormat/>
    <w:rsid w:val="00F03219"/>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2"/>
      <w:sz w:val="20"/>
      <w:lang w:val="ru" w:eastAsia="de-DE" w:bidi="en-US"/>
      <w14:ligatures w14:val="standardContextual"/>
    </w:rPr>
  </w:style>
  <w:style w:type="paragraph" w:customStyle="1" w:styleId="refauthorsname">
    <w:name w:val="ref__authors__name"/>
    <w:basedOn w:val="a"/>
    <w:rsid w:val="00F03219"/>
    <w:pPr>
      <w:spacing w:before="100" w:beforeAutospacing="1" w:after="100" w:afterAutospacing="1" w:line="240" w:lineRule="auto"/>
    </w:pPr>
    <w:rPr>
      <w:rFonts w:ascii="Times New Roman" w:eastAsia="Times New Roman" w:hAnsi="Times New Roman" w:cs="Times New Roman"/>
      <w:sz w:val="24"/>
      <w:szCs w:val="24"/>
      <w:lang w:val="ru" w:eastAsia="ru-RU"/>
    </w:rPr>
  </w:style>
  <w:style w:type="paragraph" w:customStyle="1" w:styleId="MDPI71References">
    <w:name w:val="MDPI_7.1_References"/>
    <w:qFormat/>
    <w:rsid w:val="00F03219"/>
    <w:pPr>
      <w:numPr>
        <w:numId w:val="21"/>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table" w:customStyle="1" w:styleId="TableNormal">
    <w:name w:val="Table Normal"/>
    <w:uiPriority w:val="2"/>
    <w:semiHidden/>
    <w:unhideWhenUsed/>
    <w:qFormat/>
    <w:rsid w:val="001072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07205"/>
    <w:pPr>
      <w:widowControl w:val="0"/>
      <w:autoSpaceDE w:val="0"/>
      <w:autoSpaceDN w:val="0"/>
      <w:spacing w:before="36" w:after="0" w:line="240" w:lineRule="auto"/>
    </w:pPr>
    <w:rPr>
      <w:rFonts w:ascii="Cambria" w:eastAsia="Cambria" w:hAnsi="Cambria" w:cs="Cambria"/>
      <w:lang w:val="en-US"/>
    </w:rPr>
  </w:style>
  <w:style w:type="table" w:styleId="-13">
    <w:name w:val="Grid Table 1 Light Accent 3"/>
    <w:basedOn w:val="a1"/>
    <w:uiPriority w:val="46"/>
    <w:rsid w:val="000B7B1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afff1">
    <w:name w:val="footnote reference"/>
    <w:basedOn w:val="a0"/>
    <w:uiPriority w:val="99"/>
    <w:semiHidden/>
    <w:unhideWhenUsed/>
    <w:rsid w:val="001369D5"/>
    <w:rPr>
      <w:vertAlign w:val="superscript"/>
    </w:rPr>
  </w:style>
  <w:style w:type="character" w:styleId="afff2">
    <w:name w:val="Placeholder Text"/>
    <w:basedOn w:val="a0"/>
    <w:uiPriority w:val="99"/>
    <w:semiHidden/>
    <w:rsid w:val="00412C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70656">
      <w:bodyDiv w:val="1"/>
      <w:marLeft w:val="0"/>
      <w:marRight w:val="0"/>
      <w:marTop w:val="0"/>
      <w:marBottom w:val="0"/>
      <w:divBdr>
        <w:top w:val="none" w:sz="0" w:space="0" w:color="auto"/>
        <w:left w:val="none" w:sz="0" w:space="0" w:color="auto"/>
        <w:bottom w:val="none" w:sz="0" w:space="0" w:color="auto"/>
        <w:right w:val="none" w:sz="0" w:space="0" w:color="auto"/>
      </w:divBdr>
    </w:div>
    <w:div w:id="160122621">
      <w:bodyDiv w:val="1"/>
      <w:marLeft w:val="0"/>
      <w:marRight w:val="0"/>
      <w:marTop w:val="0"/>
      <w:marBottom w:val="0"/>
      <w:divBdr>
        <w:top w:val="none" w:sz="0" w:space="0" w:color="auto"/>
        <w:left w:val="none" w:sz="0" w:space="0" w:color="auto"/>
        <w:bottom w:val="none" w:sz="0" w:space="0" w:color="auto"/>
        <w:right w:val="none" w:sz="0" w:space="0" w:color="auto"/>
      </w:divBdr>
    </w:div>
    <w:div w:id="163862933">
      <w:bodyDiv w:val="1"/>
      <w:marLeft w:val="0"/>
      <w:marRight w:val="0"/>
      <w:marTop w:val="0"/>
      <w:marBottom w:val="0"/>
      <w:divBdr>
        <w:top w:val="none" w:sz="0" w:space="0" w:color="auto"/>
        <w:left w:val="none" w:sz="0" w:space="0" w:color="auto"/>
        <w:bottom w:val="none" w:sz="0" w:space="0" w:color="auto"/>
        <w:right w:val="none" w:sz="0" w:space="0" w:color="auto"/>
      </w:divBdr>
    </w:div>
    <w:div w:id="313686984">
      <w:bodyDiv w:val="1"/>
      <w:marLeft w:val="0"/>
      <w:marRight w:val="0"/>
      <w:marTop w:val="0"/>
      <w:marBottom w:val="0"/>
      <w:divBdr>
        <w:top w:val="none" w:sz="0" w:space="0" w:color="auto"/>
        <w:left w:val="none" w:sz="0" w:space="0" w:color="auto"/>
        <w:bottom w:val="none" w:sz="0" w:space="0" w:color="auto"/>
        <w:right w:val="none" w:sz="0" w:space="0" w:color="auto"/>
      </w:divBdr>
      <w:divsChild>
        <w:div w:id="1482506432">
          <w:marLeft w:val="0"/>
          <w:marRight w:val="0"/>
          <w:marTop w:val="0"/>
          <w:marBottom w:val="0"/>
          <w:divBdr>
            <w:top w:val="none" w:sz="0" w:space="0" w:color="auto"/>
            <w:left w:val="none" w:sz="0" w:space="0" w:color="auto"/>
            <w:bottom w:val="none" w:sz="0" w:space="0" w:color="auto"/>
            <w:right w:val="none" w:sz="0" w:space="0" w:color="auto"/>
          </w:divBdr>
          <w:divsChild>
            <w:div w:id="746148645">
              <w:marLeft w:val="0"/>
              <w:marRight w:val="0"/>
              <w:marTop w:val="0"/>
              <w:marBottom w:val="0"/>
              <w:divBdr>
                <w:top w:val="none" w:sz="0" w:space="0" w:color="auto"/>
                <w:left w:val="none" w:sz="0" w:space="0" w:color="auto"/>
                <w:bottom w:val="none" w:sz="0" w:space="0" w:color="auto"/>
                <w:right w:val="none" w:sz="0" w:space="0" w:color="auto"/>
              </w:divBdr>
              <w:divsChild>
                <w:div w:id="1222324555">
                  <w:marLeft w:val="0"/>
                  <w:marRight w:val="0"/>
                  <w:marTop w:val="0"/>
                  <w:marBottom w:val="0"/>
                  <w:divBdr>
                    <w:top w:val="none" w:sz="0" w:space="0" w:color="auto"/>
                    <w:left w:val="none" w:sz="0" w:space="0" w:color="auto"/>
                    <w:bottom w:val="none" w:sz="0" w:space="0" w:color="auto"/>
                    <w:right w:val="none" w:sz="0" w:space="0" w:color="auto"/>
                  </w:divBdr>
                  <w:divsChild>
                    <w:div w:id="993605237">
                      <w:marLeft w:val="0"/>
                      <w:marRight w:val="0"/>
                      <w:marTop w:val="0"/>
                      <w:marBottom w:val="0"/>
                      <w:divBdr>
                        <w:top w:val="none" w:sz="0" w:space="0" w:color="auto"/>
                        <w:left w:val="none" w:sz="0" w:space="0" w:color="auto"/>
                        <w:bottom w:val="none" w:sz="0" w:space="0" w:color="auto"/>
                        <w:right w:val="none" w:sz="0" w:space="0" w:color="auto"/>
                      </w:divBdr>
                      <w:divsChild>
                        <w:div w:id="965237741">
                          <w:marLeft w:val="0"/>
                          <w:marRight w:val="0"/>
                          <w:marTop w:val="0"/>
                          <w:marBottom w:val="0"/>
                          <w:divBdr>
                            <w:top w:val="none" w:sz="0" w:space="0" w:color="auto"/>
                            <w:left w:val="none" w:sz="0" w:space="0" w:color="auto"/>
                            <w:bottom w:val="none" w:sz="0" w:space="0" w:color="auto"/>
                            <w:right w:val="none" w:sz="0" w:space="0" w:color="auto"/>
                          </w:divBdr>
                          <w:divsChild>
                            <w:div w:id="1571962552">
                              <w:marLeft w:val="0"/>
                              <w:marRight w:val="0"/>
                              <w:marTop w:val="0"/>
                              <w:marBottom w:val="0"/>
                              <w:divBdr>
                                <w:top w:val="none" w:sz="0" w:space="0" w:color="auto"/>
                                <w:left w:val="none" w:sz="0" w:space="0" w:color="auto"/>
                                <w:bottom w:val="none" w:sz="0" w:space="0" w:color="auto"/>
                                <w:right w:val="none" w:sz="0" w:space="0" w:color="auto"/>
                              </w:divBdr>
                              <w:divsChild>
                                <w:div w:id="967901603">
                                  <w:marLeft w:val="0"/>
                                  <w:marRight w:val="0"/>
                                  <w:marTop w:val="0"/>
                                  <w:marBottom w:val="0"/>
                                  <w:divBdr>
                                    <w:top w:val="none" w:sz="0" w:space="0" w:color="auto"/>
                                    <w:left w:val="none" w:sz="0" w:space="0" w:color="auto"/>
                                    <w:bottom w:val="none" w:sz="0" w:space="0" w:color="auto"/>
                                    <w:right w:val="none" w:sz="0" w:space="0" w:color="auto"/>
                                  </w:divBdr>
                                  <w:divsChild>
                                    <w:div w:id="1402564254">
                                      <w:marLeft w:val="0"/>
                                      <w:marRight w:val="0"/>
                                      <w:marTop w:val="0"/>
                                      <w:marBottom w:val="0"/>
                                      <w:divBdr>
                                        <w:top w:val="none" w:sz="0" w:space="0" w:color="auto"/>
                                        <w:left w:val="none" w:sz="0" w:space="0" w:color="auto"/>
                                        <w:bottom w:val="none" w:sz="0" w:space="0" w:color="auto"/>
                                        <w:right w:val="none" w:sz="0" w:space="0" w:color="auto"/>
                                      </w:divBdr>
                                      <w:divsChild>
                                        <w:div w:id="108401307">
                                          <w:marLeft w:val="0"/>
                                          <w:marRight w:val="0"/>
                                          <w:marTop w:val="0"/>
                                          <w:marBottom w:val="0"/>
                                          <w:divBdr>
                                            <w:top w:val="none" w:sz="0" w:space="0" w:color="auto"/>
                                            <w:left w:val="none" w:sz="0" w:space="0" w:color="auto"/>
                                            <w:bottom w:val="none" w:sz="0" w:space="0" w:color="auto"/>
                                            <w:right w:val="none" w:sz="0" w:space="0" w:color="auto"/>
                                          </w:divBdr>
                                          <w:divsChild>
                                            <w:div w:id="1731493850">
                                              <w:marLeft w:val="0"/>
                                              <w:marRight w:val="0"/>
                                              <w:marTop w:val="0"/>
                                              <w:marBottom w:val="0"/>
                                              <w:divBdr>
                                                <w:top w:val="none" w:sz="0" w:space="0" w:color="auto"/>
                                                <w:left w:val="none" w:sz="0" w:space="0" w:color="auto"/>
                                                <w:bottom w:val="none" w:sz="0" w:space="0" w:color="auto"/>
                                                <w:right w:val="none" w:sz="0" w:space="0" w:color="auto"/>
                                              </w:divBdr>
                                              <w:divsChild>
                                                <w:div w:id="1019236397">
                                                  <w:marLeft w:val="0"/>
                                                  <w:marRight w:val="0"/>
                                                  <w:marTop w:val="0"/>
                                                  <w:marBottom w:val="0"/>
                                                  <w:divBdr>
                                                    <w:top w:val="none" w:sz="0" w:space="0" w:color="auto"/>
                                                    <w:left w:val="none" w:sz="0" w:space="0" w:color="auto"/>
                                                    <w:bottom w:val="none" w:sz="0" w:space="0" w:color="auto"/>
                                                    <w:right w:val="none" w:sz="0" w:space="0" w:color="auto"/>
                                                  </w:divBdr>
                                                  <w:divsChild>
                                                    <w:div w:id="1062755219">
                                                      <w:marLeft w:val="0"/>
                                                      <w:marRight w:val="0"/>
                                                      <w:marTop w:val="0"/>
                                                      <w:marBottom w:val="0"/>
                                                      <w:divBdr>
                                                        <w:top w:val="none" w:sz="0" w:space="0" w:color="auto"/>
                                                        <w:left w:val="none" w:sz="0" w:space="0" w:color="auto"/>
                                                        <w:bottom w:val="none" w:sz="0" w:space="0" w:color="auto"/>
                                                        <w:right w:val="none" w:sz="0" w:space="0" w:color="auto"/>
                                                      </w:divBdr>
                                                      <w:divsChild>
                                                        <w:div w:id="15395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9696459">
      <w:bodyDiv w:val="1"/>
      <w:marLeft w:val="0"/>
      <w:marRight w:val="0"/>
      <w:marTop w:val="0"/>
      <w:marBottom w:val="0"/>
      <w:divBdr>
        <w:top w:val="none" w:sz="0" w:space="0" w:color="auto"/>
        <w:left w:val="none" w:sz="0" w:space="0" w:color="auto"/>
        <w:bottom w:val="none" w:sz="0" w:space="0" w:color="auto"/>
        <w:right w:val="none" w:sz="0" w:space="0" w:color="auto"/>
      </w:divBdr>
    </w:div>
    <w:div w:id="358699161">
      <w:bodyDiv w:val="1"/>
      <w:marLeft w:val="0"/>
      <w:marRight w:val="0"/>
      <w:marTop w:val="0"/>
      <w:marBottom w:val="0"/>
      <w:divBdr>
        <w:top w:val="none" w:sz="0" w:space="0" w:color="auto"/>
        <w:left w:val="none" w:sz="0" w:space="0" w:color="auto"/>
        <w:bottom w:val="none" w:sz="0" w:space="0" w:color="auto"/>
        <w:right w:val="none" w:sz="0" w:space="0" w:color="auto"/>
      </w:divBdr>
      <w:divsChild>
        <w:div w:id="423377483">
          <w:marLeft w:val="0"/>
          <w:marRight w:val="0"/>
          <w:marTop w:val="0"/>
          <w:marBottom w:val="0"/>
          <w:divBdr>
            <w:top w:val="none" w:sz="0" w:space="0" w:color="auto"/>
            <w:left w:val="none" w:sz="0" w:space="0" w:color="auto"/>
            <w:bottom w:val="none" w:sz="0" w:space="0" w:color="auto"/>
            <w:right w:val="none" w:sz="0" w:space="0" w:color="auto"/>
          </w:divBdr>
        </w:div>
        <w:div w:id="1913655534">
          <w:marLeft w:val="0"/>
          <w:marRight w:val="0"/>
          <w:marTop w:val="45"/>
          <w:marBottom w:val="45"/>
          <w:divBdr>
            <w:top w:val="none" w:sz="0" w:space="0" w:color="auto"/>
            <w:left w:val="none" w:sz="0" w:space="0" w:color="auto"/>
            <w:bottom w:val="none" w:sz="0" w:space="0" w:color="auto"/>
            <w:right w:val="none" w:sz="0" w:space="0" w:color="auto"/>
          </w:divBdr>
        </w:div>
      </w:divsChild>
    </w:div>
    <w:div w:id="378284396">
      <w:bodyDiv w:val="1"/>
      <w:marLeft w:val="0"/>
      <w:marRight w:val="0"/>
      <w:marTop w:val="0"/>
      <w:marBottom w:val="0"/>
      <w:divBdr>
        <w:top w:val="none" w:sz="0" w:space="0" w:color="auto"/>
        <w:left w:val="none" w:sz="0" w:space="0" w:color="auto"/>
        <w:bottom w:val="none" w:sz="0" w:space="0" w:color="auto"/>
        <w:right w:val="none" w:sz="0" w:space="0" w:color="auto"/>
      </w:divBdr>
    </w:div>
    <w:div w:id="394741664">
      <w:bodyDiv w:val="1"/>
      <w:marLeft w:val="0"/>
      <w:marRight w:val="0"/>
      <w:marTop w:val="0"/>
      <w:marBottom w:val="0"/>
      <w:divBdr>
        <w:top w:val="none" w:sz="0" w:space="0" w:color="auto"/>
        <w:left w:val="none" w:sz="0" w:space="0" w:color="auto"/>
        <w:bottom w:val="none" w:sz="0" w:space="0" w:color="auto"/>
        <w:right w:val="none" w:sz="0" w:space="0" w:color="auto"/>
      </w:divBdr>
    </w:div>
    <w:div w:id="409543876">
      <w:bodyDiv w:val="1"/>
      <w:marLeft w:val="0"/>
      <w:marRight w:val="0"/>
      <w:marTop w:val="0"/>
      <w:marBottom w:val="0"/>
      <w:divBdr>
        <w:top w:val="none" w:sz="0" w:space="0" w:color="auto"/>
        <w:left w:val="none" w:sz="0" w:space="0" w:color="auto"/>
        <w:bottom w:val="none" w:sz="0" w:space="0" w:color="auto"/>
        <w:right w:val="none" w:sz="0" w:space="0" w:color="auto"/>
      </w:divBdr>
    </w:div>
    <w:div w:id="558368027">
      <w:bodyDiv w:val="1"/>
      <w:marLeft w:val="0"/>
      <w:marRight w:val="0"/>
      <w:marTop w:val="0"/>
      <w:marBottom w:val="0"/>
      <w:divBdr>
        <w:top w:val="none" w:sz="0" w:space="0" w:color="auto"/>
        <w:left w:val="none" w:sz="0" w:space="0" w:color="auto"/>
        <w:bottom w:val="none" w:sz="0" w:space="0" w:color="auto"/>
        <w:right w:val="none" w:sz="0" w:space="0" w:color="auto"/>
      </w:divBdr>
    </w:div>
    <w:div w:id="610354689">
      <w:bodyDiv w:val="1"/>
      <w:marLeft w:val="0"/>
      <w:marRight w:val="0"/>
      <w:marTop w:val="0"/>
      <w:marBottom w:val="0"/>
      <w:divBdr>
        <w:top w:val="none" w:sz="0" w:space="0" w:color="auto"/>
        <w:left w:val="none" w:sz="0" w:space="0" w:color="auto"/>
        <w:bottom w:val="none" w:sz="0" w:space="0" w:color="auto"/>
        <w:right w:val="none" w:sz="0" w:space="0" w:color="auto"/>
      </w:divBdr>
    </w:div>
    <w:div w:id="645210474">
      <w:bodyDiv w:val="1"/>
      <w:marLeft w:val="0"/>
      <w:marRight w:val="0"/>
      <w:marTop w:val="0"/>
      <w:marBottom w:val="0"/>
      <w:divBdr>
        <w:top w:val="none" w:sz="0" w:space="0" w:color="auto"/>
        <w:left w:val="none" w:sz="0" w:space="0" w:color="auto"/>
        <w:bottom w:val="none" w:sz="0" w:space="0" w:color="auto"/>
        <w:right w:val="none" w:sz="0" w:space="0" w:color="auto"/>
      </w:divBdr>
    </w:div>
    <w:div w:id="710962496">
      <w:bodyDiv w:val="1"/>
      <w:marLeft w:val="0"/>
      <w:marRight w:val="0"/>
      <w:marTop w:val="0"/>
      <w:marBottom w:val="0"/>
      <w:divBdr>
        <w:top w:val="none" w:sz="0" w:space="0" w:color="auto"/>
        <w:left w:val="none" w:sz="0" w:space="0" w:color="auto"/>
        <w:bottom w:val="none" w:sz="0" w:space="0" w:color="auto"/>
        <w:right w:val="none" w:sz="0" w:space="0" w:color="auto"/>
      </w:divBdr>
    </w:div>
    <w:div w:id="819738409">
      <w:bodyDiv w:val="1"/>
      <w:marLeft w:val="0"/>
      <w:marRight w:val="0"/>
      <w:marTop w:val="0"/>
      <w:marBottom w:val="0"/>
      <w:divBdr>
        <w:top w:val="none" w:sz="0" w:space="0" w:color="auto"/>
        <w:left w:val="none" w:sz="0" w:space="0" w:color="auto"/>
        <w:bottom w:val="none" w:sz="0" w:space="0" w:color="auto"/>
        <w:right w:val="none" w:sz="0" w:space="0" w:color="auto"/>
      </w:divBdr>
      <w:divsChild>
        <w:div w:id="46422661">
          <w:marLeft w:val="0"/>
          <w:marRight w:val="0"/>
          <w:marTop w:val="0"/>
          <w:marBottom w:val="0"/>
          <w:divBdr>
            <w:top w:val="single" w:sz="2" w:space="0" w:color="E3E3E3"/>
            <w:left w:val="single" w:sz="2" w:space="0" w:color="E3E3E3"/>
            <w:bottom w:val="single" w:sz="2" w:space="0" w:color="E3E3E3"/>
            <w:right w:val="single" w:sz="2" w:space="0" w:color="E3E3E3"/>
          </w:divBdr>
          <w:divsChild>
            <w:div w:id="2036074373">
              <w:marLeft w:val="0"/>
              <w:marRight w:val="0"/>
              <w:marTop w:val="0"/>
              <w:marBottom w:val="0"/>
              <w:divBdr>
                <w:top w:val="single" w:sz="2" w:space="0" w:color="E3E3E3"/>
                <w:left w:val="single" w:sz="2" w:space="0" w:color="E3E3E3"/>
                <w:bottom w:val="single" w:sz="2" w:space="0" w:color="E3E3E3"/>
                <w:right w:val="single" w:sz="2" w:space="0" w:color="E3E3E3"/>
              </w:divBdr>
              <w:divsChild>
                <w:div w:id="1329480325">
                  <w:marLeft w:val="0"/>
                  <w:marRight w:val="0"/>
                  <w:marTop w:val="0"/>
                  <w:marBottom w:val="0"/>
                  <w:divBdr>
                    <w:top w:val="single" w:sz="2" w:space="2" w:color="E3E3E3"/>
                    <w:left w:val="single" w:sz="2" w:space="0" w:color="E3E3E3"/>
                    <w:bottom w:val="single" w:sz="2" w:space="0" w:color="E3E3E3"/>
                    <w:right w:val="single" w:sz="2" w:space="0" w:color="E3E3E3"/>
                  </w:divBdr>
                  <w:divsChild>
                    <w:div w:id="4010220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09730046">
      <w:bodyDiv w:val="1"/>
      <w:marLeft w:val="0"/>
      <w:marRight w:val="0"/>
      <w:marTop w:val="0"/>
      <w:marBottom w:val="0"/>
      <w:divBdr>
        <w:top w:val="none" w:sz="0" w:space="0" w:color="auto"/>
        <w:left w:val="none" w:sz="0" w:space="0" w:color="auto"/>
        <w:bottom w:val="none" w:sz="0" w:space="0" w:color="auto"/>
        <w:right w:val="none" w:sz="0" w:space="0" w:color="auto"/>
      </w:divBdr>
    </w:div>
    <w:div w:id="923028761">
      <w:bodyDiv w:val="1"/>
      <w:marLeft w:val="0"/>
      <w:marRight w:val="0"/>
      <w:marTop w:val="0"/>
      <w:marBottom w:val="0"/>
      <w:divBdr>
        <w:top w:val="none" w:sz="0" w:space="0" w:color="auto"/>
        <w:left w:val="none" w:sz="0" w:space="0" w:color="auto"/>
        <w:bottom w:val="none" w:sz="0" w:space="0" w:color="auto"/>
        <w:right w:val="none" w:sz="0" w:space="0" w:color="auto"/>
      </w:divBdr>
    </w:div>
    <w:div w:id="970666929">
      <w:bodyDiv w:val="1"/>
      <w:marLeft w:val="0"/>
      <w:marRight w:val="0"/>
      <w:marTop w:val="0"/>
      <w:marBottom w:val="0"/>
      <w:divBdr>
        <w:top w:val="none" w:sz="0" w:space="0" w:color="auto"/>
        <w:left w:val="none" w:sz="0" w:space="0" w:color="auto"/>
        <w:bottom w:val="none" w:sz="0" w:space="0" w:color="auto"/>
        <w:right w:val="none" w:sz="0" w:space="0" w:color="auto"/>
      </w:divBdr>
    </w:div>
    <w:div w:id="980504224">
      <w:bodyDiv w:val="1"/>
      <w:marLeft w:val="0"/>
      <w:marRight w:val="0"/>
      <w:marTop w:val="0"/>
      <w:marBottom w:val="0"/>
      <w:divBdr>
        <w:top w:val="none" w:sz="0" w:space="0" w:color="auto"/>
        <w:left w:val="none" w:sz="0" w:space="0" w:color="auto"/>
        <w:bottom w:val="none" w:sz="0" w:space="0" w:color="auto"/>
        <w:right w:val="none" w:sz="0" w:space="0" w:color="auto"/>
      </w:divBdr>
    </w:div>
    <w:div w:id="1036541276">
      <w:bodyDiv w:val="1"/>
      <w:marLeft w:val="0"/>
      <w:marRight w:val="0"/>
      <w:marTop w:val="0"/>
      <w:marBottom w:val="0"/>
      <w:divBdr>
        <w:top w:val="none" w:sz="0" w:space="0" w:color="auto"/>
        <w:left w:val="none" w:sz="0" w:space="0" w:color="auto"/>
        <w:bottom w:val="none" w:sz="0" w:space="0" w:color="auto"/>
        <w:right w:val="none" w:sz="0" w:space="0" w:color="auto"/>
      </w:divBdr>
    </w:div>
    <w:div w:id="1211071631">
      <w:bodyDiv w:val="1"/>
      <w:marLeft w:val="0"/>
      <w:marRight w:val="0"/>
      <w:marTop w:val="0"/>
      <w:marBottom w:val="0"/>
      <w:divBdr>
        <w:top w:val="none" w:sz="0" w:space="0" w:color="auto"/>
        <w:left w:val="none" w:sz="0" w:space="0" w:color="auto"/>
        <w:bottom w:val="none" w:sz="0" w:space="0" w:color="auto"/>
        <w:right w:val="none" w:sz="0" w:space="0" w:color="auto"/>
      </w:divBdr>
    </w:div>
    <w:div w:id="1263345635">
      <w:bodyDiv w:val="1"/>
      <w:marLeft w:val="0"/>
      <w:marRight w:val="0"/>
      <w:marTop w:val="0"/>
      <w:marBottom w:val="0"/>
      <w:divBdr>
        <w:top w:val="none" w:sz="0" w:space="0" w:color="auto"/>
        <w:left w:val="none" w:sz="0" w:space="0" w:color="auto"/>
        <w:bottom w:val="none" w:sz="0" w:space="0" w:color="auto"/>
        <w:right w:val="none" w:sz="0" w:space="0" w:color="auto"/>
      </w:divBdr>
    </w:div>
    <w:div w:id="1322079426">
      <w:bodyDiv w:val="1"/>
      <w:marLeft w:val="0"/>
      <w:marRight w:val="0"/>
      <w:marTop w:val="0"/>
      <w:marBottom w:val="0"/>
      <w:divBdr>
        <w:top w:val="none" w:sz="0" w:space="0" w:color="auto"/>
        <w:left w:val="none" w:sz="0" w:space="0" w:color="auto"/>
        <w:bottom w:val="none" w:sz="0" w:space="0" w:color="auto"/>
        <w:right w:val="none" w:sz="0" w:space="0" w:color="auto"/>
      </w:divBdr>
    </w:div>
    <w:div w:id="1416123504">
      <w:bodyDiv w:val="1"/>
      <w:marLeft w:val="0"/>
      <w:marRight w:val="0"/>
      <w:marTop w:val="0"/>
      <w:marBottom w:val="0"/>
      <w:divBdr>
        <w:top w:val="none" w:sz="0" w:space="0" w:color="auto"/>
        <w:left w:val="none" w:sz="0" w:space="0" w:color="auto"/>
        <w:bottom w:val="none" w:sz="0" w:space="0" w:color="auto"/>
        <w:right w:val="none" w:sz="0" w:space="0" w:color="auto"/>
      </w:divBdr>
    </w:div>
    <w:div w:id="1456218706">
      <w:bodyDiv w:val="1"/>
      <w:marLeft w:val="0"/>
      <w:marRight w:val="0"/>
      <w:marTop w:val="0"/>
      <w:marBottom w:val="0"/>
      <w:divBdr>
        <w:top w:val="none" w:sz="0" w:space="0" w:color="auto"/>
        <w:left w:val="none" w:sz="0" w:space="0" w:color="auto"/>
        <w:bottom w:val="none" w:sz="0" w:space="0" w:color="auto"/>
        <w:right w:val="none" w:sz="0" w:space="0" w:color="auto"/>
      </w:divBdr>
    </w:div>
    <w:div w:id="1477407473">
      <w:bodyDiv w:val="1"/>
      <w:marLeft w:val="0"/>
      <w:marRight w:val="0"/>
      <w:marTop w:val="0"/>
      <w:marBottom w:val="0"/>
      <w:divBdr>
        <w:top w:val="none" w:sz="0" w:space="0" w:color="auto"/>
        <w:left w:val="none" w:sz="0" w:space="0" w:color="auto"/>
        <w:bottom w:val="none" w:sz="0" w:space="0" w:color="auto"/>
        <w:right w:val="none" w:sz="0" w:space="0" w:color="auto"/>
      </w:divBdr>
      <w:divsChild>
        <w:div w:id="40595840">
          <w:marLeft w:val="0"/>
          <w:marRight w:val="0"/>
          <w:marTop w:val="0"/>
          <w:marBottom w:val="0"/>
          <w:divBdr>
            <w:top w:val="none" w:sz="0" w:space="0" w:color="auto"/>
            <w:left w:val="none" w:sz="0" w:space="0" w:color="auto"/>
            <w:bottom w:val="none" w:sz="0" w:space="0" w:color="auto"/>
            <w:right w:val="none" w:sz="0" w:space="0" w:color="auto"/>
          </w:divBdr>
        </w:div>
        <w:div w:id="351154157">
          <w:marLeft w:val="0"/>
          <w:marRight w:val="0"/>
          <w:marTop w:val="0"/>
          <w:marBottom w:val="0"/>
          <w:divBdr>
            <w:top w:val="none" w:sz="0" w:space="0" w:color="auto"/>
            <w:left w:val="none" w:sz="0" w:space="0" w:color="auto"/>
            <w:bottom w:val="none" w:sz="0" w:space="0" w:color="auto"/>
            <w:right w:val="none" w:sz="0" w:space="0" w:color="auto"/>
          </w:divBdr>
        </w:div>
        <w:div w:id="367219872">
          <w:marLeft w:val="0"/>
          <w:marRight w:val="0"/>
          <w:marTop w:val="0"/>
          <w:marBottom w:val="0"/>
          <w:divBdr>
            <w:top w:val="none" w:sz="0" w:space="0" w:color="auto"/>
            <w:left w:val="none" w:sz="0" w:space="0" w:color="auto"/>
            <w:bottom w:val="none" w:sz="0" w:space="0" w:color="auto"/>
            <w:right w:val="none" w:sz="0" w:space="0" w:color="auto"/>
          </w:divBdr>
        </w:div>
        <w:div w:id="405764153">
          <w:marLeft w:val="0"/>
          <w:marRight w:val="0"/>
          <w:marTop w:val="0"/>
          <w:marBottom w:val="0"/>
          <w:divBdr>
            <w:top w:val="none" w:sz="0" w:space="0" w:color="auto"/>
            <w:left w:val="none" w:sz="0" w:space="0" w:color="auto"/>
            <w:bottom w:val="none" w:sz="0" w:space="0" w:color="auto"/>
            <w:right w:val="none" w:sz="0" w:space="0" w:color="auto"/>
          </w:divBdr>
        </w:div>
        <w:div w:id="457527411">
          <w:marLeft w:val="0"/>
          <w:marRight w:val="0"/>
          <w:marTop w:val="0"/>
          <w:marBottom w:val="0"/>
          <w:divBdr>
            <w:top w:val="none" w:sz="0" w:space="0" w:color="auto"/>
            <w:left w:val="none" w:sz="0" w:space="0" w:color="auto"/>
            <w:bottom w:val="none" w:sz="0" w:space="0" w:color="auto"/>
            <w:right w:val="none" w:sz="0" w:space="0" w:color="auto"/>
          </w:divBdr>
        </w:div>
        <w:div w:id="511995121">
          <w:marLeft w:val="0"/>
          <w:marRight w:val="0"/>
          <w:marTop w:val="0"/>
          <w:marBottom w:val="0"/>
          <w:divBdr>
            <w:top w:val="none" w:sz="0" w:space="0" w:color="auto"/>
            <w:left w:val="none" w:sz="0" w:space="0" w:color="auto"/>
            <w:bottom w:val="none" w:sz="0" w:space="0" w:color="auto"/>
            <w:right w:val="none" w:sz="0" w:space="0" w:color="auto"/>
          </w:divBdr>
        </w:div>
        <w:div w:id="608897050">
          <w:marLeft w:val="0"/>
          <w:marRight w:val="0"/>
          <w:marTop w:val="0"/>
          <w:marBottom w:val="0"/>
          <w:divBdr>
            <w:top w:val="none" w:sz="0" w:space="0" w:color="auto"/>
            <w:left w:val="none" w:sz="0" w:space="0" w:color="auto"/>
            <w:bottom w:val="none" w:sz="0" w:space="0" w:color="auto"/>
            <w:right w:val="none" w:sz="0" w:space="0" w:color="auto"/>
          </w:divBdr>
        </w:div>
        <w:div w:id="674890563">
          <w:marLeft w:val="0"/>
          <w:marRight w:val="0"/>
          <w:marTop w:val="0"/>
          <w:marBottom w:val="0"/>
          <w:divBdr>
            <w:top w:val="none" w:sz="0" w:space="0" w:color="auto"/>
            <w:left w:val="none" w:sz="0" w:space="0" w:color="auto"/>
            <w:bottom w:val="none" w:sz="0" w:space="0" w:color="auto"/>
            <w:right w:val="none" w:sz="0" w:space="0" w:color="auto"/>
          </w:divBdr>
        </w:div>
        <w:div w:id="698235763">
          <w:marLeft w:val="0"/>
          <w:marRight w:val="0"/>
          <w:marTop w:val="0"/>
          <w:marBottom w:val="0"/>
          <w:divBdr>
            <w:top w:val="none" w:sz="0" w:space="0" w:color="auto"/>
            <w:left w:val="none" w:sz="0" w:space="0" w:color="auto"/>
            <w:bottom w:val="none" w:sz="0" w:space="0" w:color="auto"/>
            <w:right w:val="none" w:sz="0" w:space="0" w:color="auto"/>
          </w:divBdr>
        </w:div>
        <w:div w:id="744300983">
          <w:marLeft w:val="0"/>
          <w:marRight w:val="0"/>
          <w:marTop w:val="0"/>
          <w:marBottom w:val="0"/>
          <w:divBdr>
            <w:top w:val="none" w:sz="0" w:space="0" w:color="auto"/>
            <w:left w:val="none" w:sz="0" w:space="0" w:color="auto"/>
            <w:bottom w:val="none" w:sz="0" w:space="0" w:color="auto"/>
            <w:right w:val="none" w:sz="0" w:space="0" w:color="auto"/>
          </w:divBdr>
        </w:div>
        <w:div w:id="759181646">
          <w:marLeft w:val="0"/>
          <w:marRight w:val="0"/>
          <w:marTop w:val="0"/>
          <w:marBottom w:val="0"/>
          <w:divBdr>
            <w:top w:val="none" w:sz="0" w:space="0" w:color="auto"/>
            <w:left w:val="none" w:sz="0" w:space="0" w:color="auto"/>
            <w:bottom w:val="none" w:sz="0" w:space="0" w:color="auto"/>
            <w:right w:val="none" w:sz="0" w:space="0" w:color="auto"/>
          </w:divBdr>
        </w:div>
        <w:div w:id="880482980">
          <w:marLeft w:val="0"/>
          <w:marRight w:val="0"/>
          <w:marTop w:val="0"/>
          <w:marBottom w:val="0"/>
          <w:divBdr>
            <w:top w:val="none" w:sz="0" w:space="0" w:color="auto"/>
            <w:left w:val="none" w:sz="0" w:space="0" w:color="auto"/>
            <w:bottom w:val="none" w:sz="0" w:space="0" w:color="auto"/>
            <w:right w:val="none" w:sz="0" w:space="0" w:color="auto"/>
          </w:divBdr>
        </w:div>
        <w:div w:id="952245658">
          <w:marLeft w:val="0"/>
          <w:marRight w:val="0"/>
          <w:marTop w:val="0"/>
          <w:marBottom w:val="0"/>
          <w:divBdr>
            <w:top w:val="none" w:sz="0" w:space="0" w:color="auto"/>
            <w:left w:val="none" w:sz="0" w:space="0" w:color="auto"/>
            <w:bottom w:val="none" w:sz="0" w:space="0" w:color="auto"/>
            <w:right w:val="none" w:sz="0" w:space="0" w:color="auto"/>
          </w:divBdr>
        </w:div>
        <w:div w:id="994529721">
          <w:marLeft w:val="2608"/>
          <w:marRight w:val="0"/>
          <w:marTop w:val="0"/>
          <w:marBottom w:val="0"/>
          <w:divBdr>
            <w:top w:val="none" w:sz="0" w:space="0" w:color="auto"/>
            <w:left w:val="none" w:sz="0" w:space="0" w:color="auto"/>
            <w:bottom w:val="none" w:sz="0" w:space="0" w:color="auto"/>
            <w:right w:val="none" w:sz="0" w:space="0" w:color="auto"/>
          </w:divBdr>
        </w:div>
        <w:div w:id="1023359025">
          <w:marLeft w:val="2608"/>
          <w:marRight w:val="0"/>
          <w:marTop w:val="0"/>
          <w:marBottom w:val="0"/>
          <w:divBdr>
            <w:top w:val="none" w:sz="0" w:space="0" w:color="auto"/>
            <w:left w:val="none" w:sz="0" w:space="0" w:color="auto"/>
            <w:bottom w:val="none" w:sz="0" w:space="0" w:color="auto"/>
            <w:right w:val="none" w:sz="0" w:space="0" w:color="auto"/>
          </w:divBdr>
        </w:div>
        <w:div w:id="1077477701">
          <w:marLeft w:val="0"/>
          <w:marRight w:val="0"/>
          <w:marTop w:val="0"/>
          <w:marBottom w:val="0"/>
          <w:divBdr>
            <w:top w:val="none" w:sz="0" w:space="0" w:color="auto"/>
            <w:left w:val="none" w:sz="0" w:space="0" w:color="auto"/>
            <w:bottom w:val="none" w:sz="0" w:space="0" w:color="auto"/>
            <w:right w:val="none" w:sz="0" w:space="0" w:color="auto"/>
          </w:divBdr>
        </w:div>
        <w:div w:id="1112478181">
          <w:marLeft w:val="0"/>
          <w:marRight w:val="0"/>
          <w:marTop w:val="0"/>
          <w:marBottom w:val="0"/>
          <w:divBdr>
            <w:top w:val="none" w:sz="0" w:space="0" w:color="auto"/>
            <w:left w:val="none" w:sz="0" w:space="0" w:color="auto"/>
            <w:bottom w:val="none" w:sz="0" w:space="0" w:color="auto"/>
            <w:right w:val="none" w:sz="0" w:space="0" w:color="auto"/>
          </w:divBdr>
        </w:div>
        <w:div w:id="1231891055">
          <w:marLeft w:val="0"/>
          <w:marRight w:val="0"/>
          <w:marTop w:val="0"/>
          <w:marBottom w:val="0"/>
          <w:divBdr>
            <w:top w:val="none" w:sz="0" w:space="0" w:color="auto"/>
            <w:left w:val="none" w:sz="0" w:space="0" w:color="auto"/>
            <w:bottom w:val="none" w:sz="0" w:space="0" w:color="auto"/>
            <w:right w:val="none" w:sz="0" w:space="0" w:color="auto"/>
          </w:divBdr>
        </w:div>
        <w:div w:id="1327324530">
          <w:marLeft w:val="0"/>
          <w:marRight w:val="0"/>
          <w:marTop w:val="0"/>
          <w:marBottom w:val="0"/>
          <w:divBdr>
            <w:top w:val="none" w:sz="0" w:space="0" w:color="auto"/>
            <w:left w:val="none" w:sz="0" w:space="0" w:color="auto"/>
            <w:bottom w:val="none" w:sz="0" w:space="0" w:color="auto"/>
            <w:right w:val="none" w:sz="0" w:space="0" w:color="auto"/>
          </w:divBdr>
        </w:div>
        <w:div w:id="1591044353">
          <w:marLeft w:val="2608"/>
          <w:marRight w:val="0"/>
          <w:marTop w:val="120"/>
          <w:marBottom w:val="239"/>
          <w:divBdr>
            <w:top w:val="none" w:sz="0" w:space="0" w:color="auto"/>
            <w:left w:val="none" w:sz="0" w:space="0" w:color="auto"/>
            <w:bottom w:val="none" w:sz="0" w:space="0" w:color="auto"/>
            <w:right w:val="none" w:sz="0" w:space="0" w:color="auto"/>
          </w:divBdr>
        </w:div>
        <w:div w:id="1770001369">
          <w:marLeft w:val="0"/>
          <w:marRight w:val="0"/>
          <w:marTop w:val="0"/>
          <w:marBottom w:val="0"/>
          <w:divBdr>
            <w:top w:val="none" w:sz="0" w:space="0" w:color="auto"/>
            <w:left w:val="none" w:sz="0" w:space="0" w:color="auto"/>
            <w:bottom w:val="none" w:sz="0" w:space="0" w:color="auto"/>
            <w:right w:val="none" w:sz="0" w:space="0" w:color="auto"/>
          </w:divBdr>
        </w:div>
        <w:div w:id="1814133703">
          <w:marLeft w:val="0"/>
          <w:marRight w:val="0"/>
          <w:marTop w:val="0"/>
          <w:marBottom w:val="0"/>
          <w:divBdr>
            <w:top w:val="none" w:sz="0" w:space="0" w:color="auto"/>
            <w:left w:val="none" w:sz="0" w:space="0" w:color="auto"/>
            <w:bottom w:val="none" w:sz="0" w:space="0" w:color="auto"/>
            <w:right w:val="none" w:sz="0" w:space="0" w:color="auto"/>
          </w:divBdr>
        </w:div>
        <w:div w:id="1883009005">
          <w:marLeft w:val="0"/>
          <w:marRight w:val="0"/>
          <w:marTop w:val="0"/>
          <w:marBottom w:val="0"/>
          <w:divBdr>
            <w:top w:val="none" w:sz="0" w:space="0" w:color="auto"/>
            <w:left w:val="none" w:sz="0" w:space="0" w:color="auto"/>
            <w:bottom w:val="none" w:sz="0" w:space="0" w:color="auto"/>
            <w:right w:val="none" w:sz="0" w:space="0" w:color="auto"/>
          </w:divBdr>
        </w:div>
        <w:div w:id="1975135475">
          <w:marLeft w:val="0"/>
          <w:marRight w:val="0"/>
          <w:marTop w:val="0"/>
          <w:marBottom w:val="0"/>
          <w:divBdr>
            <w:top w:val="none" w:sz="0" w:space="0" w:color="auto"/>
            <w:left w:val="none" w:sz="0" w:space="0" w:color="auto"/>
            <w:bottom w:val="none" w:sz="0" w:space="0" w:color="auto"/>
            <w:right w:val="none" w:sz="0" w:space="0" w:color="auto"/>
          </w:divBdr>
        </w:div>
        <w:div w:id="1991014556">
          <w:marLeft w:val="0"/>
          <w:marRight w:val="0"/>
          <w:marTop w:val="0"/>
          <w:marBottom w:val="0"/>
          <w:divBdr>
            <w:top w:val="none" w:sz="0" w:space="0" w:color="auto"/>
            <w:left w:val="none" w:sz="0" w:space="0" w:color="auto"/>
            <w:bottom w:val="none" w:sz="0" w:space="0" w:color="auto"/>
            <w:right w:val="none" w:sz="0" w:space="0" w:color="auto"/>
          </w:divBdr>
        </w:div>
        <w:div w:id="2010520055">
          <w:marLeft w:val="0"/>
          <w:marRight w:val="0"/>
          <w:marTop w:val="0"/>
          <w:marBottom w:val="0"/>
          <w:divBdr>
            <w:top w:val="none" w:sz="0" w:space="0" w:color="auto"/>
            <w:left w:val="none" w:sz="0" w:space="0" w:color="auto"/>
            <w:bottom w:val="none" w:sz="0" w:space="0" w:color="auto"/>
            <w:right w:val="none" w:sz="0" w:space="0" w:color="auto"/>
          </w:divBdr>
        </w:div>
        <w:div w:id="2032756794">
          <w:marLeft w:val="0"/>
          <w:marRight w:val="0"/>
          <w:marTop w:val="0"/>
          <w:marBottom w:val="0"/>
          <w:divBdr>
            <w:top w:val="none" w:sz="0" w:space="0" w:color="auto"/>
            <w:left w:val="none" w:sz="0" w:space="0" w:color="auto"/>
            <w:bottom w:val="none" w:sz="0" w:space="0" w:color="auto"/>
            <w:right w:val="none" w:sz="0" w:space="0" w:color="auto"/>
          </w:divBdr>
        </w:div>
        <w:div w:id="2104106878">
          <w:marLeft w:val="0"/>
          <w:marRight w:val="0"/>
          <w:marTop w:val="0"/>
          <w:marBottom w:val="0"/>
          <w:divBdr>
            <w:top w:val="none" w:sz="0" w:space="0" w:color="auto"/>
            <w:left w:val="none" w:sz="0" w:space="0" w:color="auto"/>
            <w:bottom w:val="none" w:sz="0" w:space="0" w:color="auto"/>
            <w:right w:val="none" w:sz="0" w:space="0" w:color="auto"/>
          </w:divBdr>
        </w:div>
      </w:divsChild>
    </w:div>
    <w:div w:id="1560558207">
      <w:bodyDiv w:val="1"/>
      <w:marLeft w:val="0"/>
      <w:marRight w:val="0"/>
      <w:marTop w:val="0"/>
      <w:marBottom w:val="0"/>
      <w:divBdr>
        <w:top w:val="none" w:sz="0" w:space="0" w:color="auto"/>
        <w:left w:val="none" w:sz="0" w:space="0" w:color="auto"/>
        <w:bottom w:val="none" w:sz="0" w:space="0" w:color="auto"/>
        <w:right w:val="none" w:sz="0" w:space="0" w:color="auto"/>
      </w:divBdr>
    </w:div>
    <w:div w:id="1620643803">
      <w:bodyDiv w:val="1"/>
      <w:marLeft w:val="0"/>
      <w:marRight w:val="0"/>
      <w:marTop w:val="0"/>
      <w:marBottom w:val="0"/>
      <w:divBdr>
        <w:top w:val="none" w:sz="0" w:space="0" w:color="auto"/>
        <w:left w:val="none" w:sz="0" w:space="0" w:color="auto"/>
        <w:bottom w:val="none" w:sz="0" w:space="0" w:color="auto"/>
        <w:right w:val="none" w:sz="0" w:space="0" w:color="auto"/>
      </w:divBdr>
    </w:div>
    <w:div w:id="1630624156">
      <w:bodyDiv w:val="1"/>
      <w:marLeft w:val="0"/>
      <w:marRight w:val="0"/>
      <w:marTop w:val="0"/>
      <w:marBottom w:val="0"/>
      <w:divBdr>
        <w:top w:val="none" w:sz="0" w:space="0" w:color="auto"/>
        <w:left w:val="none" w:sz="0" w:space="0" w:color="auto"/>
        <w:bottom w:val="none" w:sz="0" w:space="0" w:color="auto"/>
        <w:right w:val="none" w:sz="0" w:space="0" w:color="auto"/>
      </w:divBdr>
    </w:div>
    <w:div w:id="1639610440">
      <w:bodyDiv w:val="1"/>
      <w:marLeft w:val="0"/>
      <w:marRight w:val="0"/>
      <w:marTop w:val="0"/>
      <w:marBottom w:val="0"/>
      <w:divBdr>
        <w:top w:val="none" w:sz="0" w:space="0" w:color="auto"/>
        <w:left w:val="none" w:sz="0" w:space="0" w:color="auto"/>
        <w:bottom w:val="none" w:sz="0" w:space="0" w:color="auto"/>
        <w:right w:val="none" w:sz="0" w:space="0" w:color="auto"/>
      </w:divBdr>
    </w:div>
    <w:div w:id="1695031478">
      <w:bodyDiv w:val="1"/>
      <w:marLeft w:val="0"/>
      <w:marRight w:val="0"/>
      <w:marTop w:val="0"/>
      <w:marBottom w:val="0"/>
      <w:divBdr>
        <w:top w:val="none" w:sz="0" w:space="0" w:color="auto"/>
        <w:left w:val="none" w:sz="0" w:space="0" w:color="auto"/>
        <w:bottom w:val="none" w:sz="0" w:space="0" w:color="auto"/>
        <w:right w:val="none" w:sz="0" w:space="0" w:color="auto"/>
      </w:divBdr>
    </w:div>
    <w:div w:id="1782146257">
      <w:bodyDiv w:val="1"/>
      <w:marLeft w:val="0"/>
      <w:marRight w:val="0"/>
      <w:marTop w:val="0"/>
      <w:marBottom w:val="0"/>
      <w:divBdr>
        <w:top w:val="none" w:sz="0" w:space="0" w:color="auto"/>
        <w:left w:val="none" w:sz="0" w:space="0" w:color="auto"/>
        <w:bottom w:val="none" w:sz="0" w:space="0" w:color="auto"/>
        <w:right w:val="none" w:sz="0" w:space="0" w:color="auto"/>
      </w:divBdr>
    </w:div>
    <w:div w:id="1789354667">
      <w:bodyDiv w:val="1"/>
      <w:marLeft w:val="0"/>
      <w:marRight w:val="0"/>
      <w:marTop w:val="0"/>
      <w:marBottom w:val="0"/>
      <w:divBdr>
        <w:top w:val="none" w:sz="0" w:space="0" w:color="auto"/>
        <w:left w:val="none" w:sz="0" w:space="0" w:color="auto"/>
        <w:bottom w:val="none" w:sz="0" w:space="0" w:color="auto"/>
        <w:right w:val="none" w:sz="0" w:space="0" w:color="auto"/>
      </w:divBdr>
      <w:divsChild>
        <w:div w:id="428963887">
          <w:marLeft w:val="720"/>
          <w:marRight w:val="0"/>
          <w:marTop w:val="200"/>
          <w:marBottom w:val="0"/>
          <w:divBdr>
            <w:top w:val="none" w:sz="0" w:space="0" w:color="auto"/>
            <w:left w:val="none" w:sz="0" w:space="0" w:color="auto"/>
            <w:bottom w:val="none" w:sz="0" w:space="0" w:color="auto"/>
            <w:right w:val="none" w:sz="0" w:space="0" w:color="auto"/>
          </w:divBdr>
        </w:div>
        <w:div w:id="1328753129">
          <w:marLeft w:val="720"/>
          <w:marRight w:val="0"/>
          <w:marTop w:val="200"/>
          <w:marBottom w:val="0"/>
          <w:divBdr>
            <w:top w:val="none" w:sz="0" w:space="0" w:color="auto"/>
            <w:left w:val="none" w:sz="0" w:space="0" w:color="auto"/>
            <w:bottom w:val="none" w:sz="0" w:space="0" w:color="auto"/>
            <w:right w:val="none" w:sz="0" w:space="0" w:color="auto"/>
          </w:divBdr>
        </w:div>
      </w:divsChild>
    </w:div>
    <w:div w:id="1852796944">
      <w:bodyDiv w:val="1"/>
      <w:marLeft w:val="0"/>
      <w:marRight w:val="0"/>
      <w:marTop w:val="0"/>
      <w:marBottom w:val="0"/>
      <w:divBdr>
        <w:top w:val="none" w:sz="0" w:space="0" w:color="auto"/>
        <w:left w:val="none" w:sz="0" w:space="0" w:color="auto"/>
        <w:bottom w:val="none" w:sz="0" w:space="0" w:color="auto"/>
        <w:right w:val="none" w:sz="0" w:space="0" w:color="auto"/>
      </w:divBdr>
    </w:div>
    <w:div w:id="1918250620">
      <w:bodyDiv w:val="1"/>
      <w:marLeft w:val="0"/>
      <w:marRight w:val="0"/>
      <w:marTop w:val="0"/>
      <w:marBottom w:val="0"/>
      <w:divBdr>
        <w:top w:val="none" w:sz="0" w:space="0" w:color="auto"/>
        <w:left w:val="none" w:sz="0" w:space="0" w:color="auto"/>
        <w:bottom w:val="none" w:sz="0" w:space="0" w:color="auto"/>
        <w:right w:val="none" w:sz="0" w:space="0" w:color="auto"/>
      </w:divBdr>
    </w:div>
    <w:div w:id="1929004203">
      <w:bodyDiv w:val="1"/>
      <w:marLeft w:val="0"/>
      <w:marRight w:val="0"/>
      <w:marTop w:val="0"/>
      <w:marBottom w:val="0"/>
      <w:divBdr>
        <w:top w:val="none" w:sz="0" w:space="0" w:color="auto"/>
        <w:left w:val="none" w:sz="0" w:space="0" w:color="auto"/>
        <w:bottom w:val="none" w:sz="0" w:space="0" w:color="auto"/>
        <w:right w:val="none" w:sz="0" w:space="0" w:color="auto"/>
      </w:divBdr>
    </w:div>
    <w:div w:id="1977484578">
      <w:bodyDiv w:val="1"/>
      <w:marLeft w:val="0"/>
      <w:marRight w:val="0"/>
      <w:marTop w:val="0"/>
      <w:marBottom w:val="0"/>
      <w:divBdr>
        <w:top w:val="none" w:sz="0" w:space="0" w:color="auto"/>
        <w:left w:val="none" w:sz="0" w:space="0" w:color="auto"/>
        <w:bottom w:val="none" w:sz="0" w:space="0" w:color="auto"/>
        <w:right w:val="none" w:sz="0" w:space="0" w:color="auto"/>
      </w:divBdr>
    </w:div>
    <w:div w:id="1996454272">
      <w:bodyDiv w:val="1"/>
      <w:marLeft w:val="0"/>
      <w:marRight w:val="0"/>
      <w:marTop w:val="0"/>
      <w:marBottom w:val="0"/>
      <w:divBdr>
        <w:top w:val="none" w:sz="0" w:space="0" w:color="auto"/>
        <w:left w:val="none" w:sz="0" w:space="0" w:color="auto"/>
        <w:bottom w:val="none" w:sz="0" w:space="0" w:color="auto"/>
        <w:right w:val="none" w:sz="0" w:space="0" w:color="auto"/>
      </w:divBdr>
    </w:div>
    <w:div w:id="2006662947">
      <w:bodyDiv w:val="1"/>
      <w:marLeft w:val="0"/>
      <w:marRight w:val="0"/>
      <w:marTop w:val="0"/>
      <w:marBottom w:val="0"/>
      <w:divBdr>
        <w:top w:val="none" w:sz="0" w:space="0" w:color="auto"/>
        <w:left w:val="none" w:sz="0" w:space="0" w:color="auto"/>
        <w:bottom w:val="none" w:sz="0" w:space="0" w:color="auto"/>
        <w:right w:val="none" w:sz="0" w:space="0" w:color="auto"/>
      </w:divBdr>
    </w:div>
    <w:div w:id="2040354860">
      <w:bodyDiv w:val="1"/>
      <w:marLeft w:val="0"/>
      <w:marRight w:val="0"/>
      <w:marTop w:val="0"/>
      <w:marBottom w:val="0"/>
      <w:divBdr>
        <w:top w:val="none" w:sz="0" w:space="0" w:color="auto"/>
        <w:left w:val="none" w:sz="0" w:space="0" w:color="auto"/>
        <w:bottom w:val="none" w:sz="0" w:space="0" w:color="auto"/>
        <w:right w:val="none" w:sz="0" w:space="0" w:color="auto"/>
      </w:divBdr>
      <w:divsChild>
        <w:div w:id="859591651">
          <w:marLeft w:val="720"/>
          <w:marRight w:val="0"/>
          <w:marTop w:val="72"/>
          <w:marBottom w:val="0"/>
          <w:divBdr>
            <w:top w:val="none" w:sz="0" w:space="0" w:color="auto"/>
            <w:left w:val="none" w:sz="0" w:space="0" w:color="auto"/>
            <w:bottom w:val="none" w:sz="0" w:space="0" w:color="auto"/>
            <w:right w:val="none" w:sz="0" w:space="0" w:color="auto"/>
          </w:divBdr>
        </w:div>
        <w:div w:id="984236353">
          <w:marLeft w:val="720"/>
          <w:marRight w:val="0"/>
          <w:marTop w:val="72"/>
          <w:marBottom w:val="0"/>
          <w:divBdr>
            <w:top w:val="none" w:sz="0" w:space="0" w:color="auto"/>
            <w:left w:val="none" w:sz="0" w:space="0" w:color="auto"/>
            <w:bottom w:val="none" w:sz="0" w:space="0" w:color="auto"/>
            <w:right w:val="none" w:sz="0" w:space="0" w:color="auto"/>
          </w:divBdr>
        </w:div>
      </w:divsChild>
    </w:div>
    <w:div w:id="2044940393">
      <w:bodyDiv w:val="1"/>
      <w:marLeft w:val="0"/>
      <w:marRight w:val="0"/>
      <w:marTop w:val="0"/>
      <w:marBottom w:val="0"/>
      <w:divBdr>
        <w:top w:val="none" w:sz="0" w:space="0" w:color="auto"/>
        <w:left w:val="none" w:sz="0" w:space="0" w:color="auto"/>
        <w:bottom w:val="none" w:sz="0" w:space="0" w:color="auto"/>
        <w:right w:val="none" w:sz="0" w:space="0" w:color="auto"/>
      </w:divBdr>
    </w:div>
    <w:div w:id="2096701964">
      <w:bodyDiv w:val="1"/>
      <w:marLeft w:val="0"/>
      <w:marRight w:val="0"/>
      <w:marTop w:val="0"/>
      <w:marBottom w:val="0"/>
      <w:divBdr>
        <w:top w:val="none" w:sz="0" w:space="0" w:color="auto"/>
        <w:left w:val="none" w:sz="0" w:space="0" w:color="auto"/>
        <w:bottom w:val="none" w:sz="0" w:space="0" w:color="auto"/>
        <w:right w:val="none" w:sz="0" w:space="0" w:color="auto"/>
      </w:divBdr>
    </w:div>
    <w:div w:id="2118139254">
      <w:bodyDiv w:val="1"/>
      <w:marLeft w:val="0"/>
      <w:marRight w:val="0"/>
      <w:marTop w:val="0"/>
      <w:marBottom w:val="0"/>
      <w:divBdr>
        <w:top w:val="none" w:sz="0" w:space="0" w:color="auto"/>
        <w:left w:val="none" w:sz="0" w:space="0" w:color="auto"/>
        <w:bottom w:val="none" w:sz="0" w:space="0" w:color="auto"/>
        <w:right w:val="none" w:sz="0" w:space="0" w:color="auto"/>
      </w:divBdr>
    </w:div>
    <w:div w:id="212284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F0BF7-B342-4095-9246-A9ADE188C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101</Pages>
  <Words>114332</Words>
  <Characters>651696</Characters>
  <Application>Microsoft Office Word</Application>
  <DocSecurity>0</DocSecurity>
  <Lines>5430</Lines>
  <Paragraphs>1528</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vt:lpstr/>
      <vt:lpstr/>
      <vt:lpstr/>
      <vt:lpstr>ВВЕДЕНИЕ</vt:lpstr>
      <vt:lpstr/>
    </vt:vector>
  </TitlesOfParts>
  <Company/>
  <LinksUpToDate>false</LinksUpToDate>
  <CharactersWithSpaces>764500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Almagul Kurmanova</dc:creator>
  <cp:keywords/>
  <dc:description/>
  <cp:lastModifiedBy>gaukh</cp:lastModifiedBy>
  <cp:revision>9</cp:revision>
  <cp:lastPrinted>2024-11-20T07:41:00Z</cp:lastPrinted>
  <dcterms:created xsi:type="dcterms:W3CDTF">2025-03-25T19:34:00Z</dcterms:created>
  <dcterms:modified xsi:type="dcterms:W3CDTF">2025-03-26T18:33:00Z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839066ef-39d3-31e2-b68f-5af63f6e7db3</vt:lpwstr>
  </property>
  <property fmtid="{D5CDD505-2E9C-101B-9397-08002B2CF9AE}" pid="4" name="Mendeley Recent Style Id 0_1">
    <vt:lpwstr>http://www.zotero.org/styles/acta-medica</vt:lpwstr>
  </property>
  <property fmtid="{D5CDD505-2E9C-101B-9397-08002B2CF9AE}" pid="5" name="Mendeley Recent Style Name 0_1">
    <vt:lpwstr>Acta Medica</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 11th edition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11th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http://www.zotero.org/styles/ieee</vt:lpwstr>
  </property>
</Properties>
</file>