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36pt;margin-top:30.363989pt;width:540pt;height:.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color w:val="010202"/>
          <w:spacing w:val="-10"/>
          <w:w w:val="120"/>
        </w:rPr>
        <w:t>PLOS</w:t>
      </w:r>
      <w:r>
        <w:rPr>
          <w:color w:val="010202"/>
          <w:spacing w:val="-51"/>
          <w:w w:val="120"/>
        </w:rPr>
        <w:t> </w:t>
      </w:r>
      <w:r>
        <w:rPr>
          <w:color w:val="BD3393"/>
          <w:spacing w:val="-9"/>
          <w:w w:val="120"/>
        </w:rPr>
        <w:t>ONE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"/>
        <w:rPr>
          <w:rFonts w:ascii="Tahoma"/>
          <w:sz w:val="15"/>
        </w:rPr>
      </w:pPr>
    </w:p>
    <w:p>
      <w:pPr>
        <w:spacing w:before="75"/>
        <w:ind w:left="3420" w:right="0" w:firstLine="0"/>
        <w:jc w:val="left"/>
        <w:rPr>
          <w:rFonts w:ascii="Arial MT"/>
          <w:sz w:val="16"/>
        </w:rPr>
      </w:pPr>
      <w:r>
        <w:rPr>
          <w:rFonts w:ascii="Arial MT"/>
          <w:spacing w:val="-2"/>
          <w:sz w:val="16"/>
        </w:rPr>
        <w:t>RESEARCH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pacing w:val="-1"/>
          <w:sz w:val="16"/>
        </w:rPr>
        <w:t>ARTICLE</w:t>
      </w:r>
    </w:p>
    <w:p>
      <w:pPr>
        <w:spacing w:line="261" w:lineRule="auto" w:before="79"/>
        <w:ind w:left="3420" w:right="0" w:firstLine="0"/>
        <w:jc w:val="left"/>
        <w:rPr>
          <w:rFonts w:ascii="Arial MT"/>
          <w:sz w:val="36"/>
        </w:rPr>
      </w:pPr>
      <w:r>
        <w:rPr>
          <w:rFonts w:ascii="Arial MT"/>
          <w:spacing w:val="-3"/>
          <w:w w:val="105"/>
          <w:sz w:val="36"/>
        </w:rPr>
        <w:t>Gene</w:t>
      </w:r>
      <w:r>
        <w:rPr>
          <w:rFonts w:ascii="Arial MT"/>
          <w:spacing w:val="-30"/>
          <w:w w:val="105"/>
          <w:sz w:val="36"/>
        </w:rPr>
        <w:t> </w:t>
      </w:r>
      <w:r>
        <w:rPr>
          <w:rFonts w:ascii="Arial MT"/>
          <w:spacing w:val="-2"/>
          <w:w w:val="105"/>
          <w:sz w:val="36"/>
        </w:rPr>
        <w:t>polymorphisms</w:t>
      </w:r>
      <w:r>
        <w:rPr>
          <w:rFonts w:ascii="Arial MT"/>
          <w:spacing w:val="-27"/>
          <w:w w:val="105"/>
          <w:sz w:val="36"/>
        </w:rPr>
        <w:t> </w:t>
      </w:r>
      <w:r>
        <w:rPr>
          <w:rFonts w:ascii="Arial MT"/>
          <w:spacing w:val="-2"/>
          <w:w w:val="105"/>
          <w:sz w:val="36"/>
        </w:rPr>
        <w:t>and</w:t>
      </w:r>
      <w:r>
        <w:rPr>
          <w:rFonts w:ascii="Arial MT"/>
          <w:spacing w:val="-30"/>
          <w:w w:val="105"/>
          <w:sz w:val="36"/>
        </w:rPr>
        <w:t> </w:t>
      </w:r>
      <w:r>
        <w:rPr>
          <w:rFonts w:ascii="Arial MT"/>
          <w:spacing w:val="-2"/>
          <w:w w:val="105"/>
          <w:sz w:val="36"/>
        </w:rPr>
        <w:t>serum</w:t>
      </w:r>
      <w:r>
        <w:rPr>
          <w:rFonts w:ascii="Arial MT"/>
          <w:spacing w:val="-28"/>
          <w:w w:val="105"/>
          <w:sz w:val="36"/>
        </w:rPr>
        <w:t> </w:t>
      </w:r>
      <w:r>
        <w:rPr>
          <w:rFonts w:ascii="Arial MT"/>
          <w:spacing w:val="-2"/>
          <w:w w:val="105"/>
          <w:sz w:val="36"/>
        </w:rPr>
        <w:t>levels</w:t>
      </w:r>
      <w:r>
        <w:rPr>
          <w:rFonts w:ascii="Arial MT"/>
          <w:spacing w:val="-29"/>
          <w:w w:val="105"/>
          <w:sz w:val="36"/>
        </w:rPr>
        <w:t> </w:t>
      </w:r>
      <w:r>
        <w:rPr>
          <w:rFonts w:ascii="Arial MT"/>
          <w:spacing w:val="-2"/>
          <w:w w:val="105"/>
          <w:sz w:val="36"/>
        </w:rPr>
        <w:t>of</w:t>
      </w:r>
      <w:r>
        <w:rPr>
          <w:rFonts w:ascii="Arial MT"/>
          <w:spacing w:val="-102"/>
          <w:w w:val="105"/>
          <w:sz w:val="36"/>
        </w:rPr>
        <w:t> </w:t>
      </w:r>
      <w:r>
        <w:rPr>
          <w:rFonts w:ascii="Arial MT"/>
          <w:sz w:val="36"/>
        </w:rPr>
        <w:t>BDNF</w:t>
      </w:r>
      <w:r>
        <w:rPr>
          <w:rFonts w:ascii="Arial MT"/>
          <w:spacing w:val="-24"/>
          <w:sz w:val="36"/>
        </w:rPr>
        <w:t> </w:t>
      </w:r>
      <w:r>
        <w:rPr>
          <w:rFonts w:ascii="Arial MT"/>
          <w:sz w:val="36"/>
        </w:rPr>
        <w:t>and</w:t>
      </w:r>
      <w:r>
        <w:rPr>
          <w:rFonts w:ascii="Arial MT"/>
          <w:spacing w:val="-22"/>
          <w:sz w:val="36"/>
        </w:rPr>
        <w:t> </w:t>
      </w:r>
      <w:r>
        <w:rPr>
          <w:rFonts w:ascii="Arial MT"/>
          <w:sz w:val="36"/>
        </w:rPr>
        <w:t>CRH</w:t>
      </w:r>
      <w:r>
        <w:rPr>
          <w:rFonts w:ascii="Arial MT"/>
          <w:spacing w:val="-22"/>
          <w:sz w:val="36"/>
        </w:rPr>
        <w:t> </w:t>
      </w:r>
      <w:r>
        <w:rPr>
          <w:rFonts w:ascii="Arial MT"/>
          <w:sz w:val="36"/>
        </w:rPr>
        <w:t>in</w:t>
      </w:r>
      <w:r>
        <w:rPr>
          <w:rFonts w:ascii="Arial MT"/>
          <w:spacing w:val="-23"/>
          <w:sz w:val="36"/>
        </w:rPr>
        <w:t> </w:t>
      </w:r>
      <w:r>
        <w:rPr>
          <w:rFonts w:ascii="Arial MT"/>
          <w:sz w:val="36"/>
        </w:rPr>
        <w:t>vitiligo</w:t>
      </w:r>
      <w:r>
        <w:rPr>
          <w:rFonts w:ascii="Arial MT"/>
          <w:spacing w:val="-22"/>
          <w:sz w:val="36"/>
        </w:rPr>
        <w:t> </w:t>
      </w:r>
      <w:r>
        <w:rPr>
          <w:rFonts w:ascii="Arial MT"/>
          <w:sz w:val="36"/>
        </w:rPr>
        <w:t>patients</w:t>
      </w:r>
    </w:p>
    <w:p>
      <w:pPr>
        <w:spacing w:line="252" w:lineRule="auto" w:before="205"/>
        <w:ind w:left="3420" w:right="348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1"/>
          <w:sz w:val="18"/>
        </w:rPr>
        <w:t>Assiya</w:t>
      </w:r>
      <w:r>
        <w:rPr>
          <w:rFonts w:ascii="Arial"/>
          <w:b/>
          <w:spacing w:val="-12"/>
          <w:sz w:val="18"/>
        </w:rPr>
        <w:t> </w:t>
      </w:r>
      <w:r>
        <w:rPr>
          <w:rFonts w:ascii="Arial"/>
          <w:b/>
          <w:spacing w:val="-1"/>
          <w:sz w:val="18"/>
        </w:rPr>
        <w:t>Kussainova</w:t>
      </w:r>
      <w:r>
        <w:rPr>
          <w:rFonts w:ascii="Arial"/>
          <w:b/>
          <w:spacing w:val="-1"/>
          <w:sz w:val="18"/>
          <w:vertAlign w:val="superscript"/>
        </w:rPr>
        <w:t>1</w:t>
      </w:r>
      <w:r>
        <w:rPr>
          <w:rFonts w:ascii="Arial"/>
          <w:b/>
          <w:spacing w:val="-1"/>
          <w:sz w:val="18"/>
          <w:vertAlign w:val="baseline"/>
        </w:rPr>
        <w:t>,</w:t>
      </w:r>
      <w:r>
        <w:rPr>
          <w:rFonts w:ascii="Arial"/>
          <w:b/>
          <w:spacing w:val="-11"/>
          <w:sz w:val="18"/>
          <w:vertAlign w:val="baseline"/>
        </w:rPr>
        <w:t> </w:t>
      </w:r>
      <w:r>
        <w:rPr>
          <w:rFonts w:ascii="Arial"/>
          <w:b/>
          <w:spacing w:val="-1"/>
          <w:sz w:val="18"/>
          <w:vertAlign w:val="baseline"/>
        </w:rPr>
        <w:t>Laura</w:t>
      </w:r>
      <w:r>
        <w:rPr>
          <w:rFonts w:ascii="Arial"/>
          <w:b/>
          <w:spacing w:val="-9"/>
          <w:sz w:val="18"/>
          <w:vertAlign w:val="baseline"/>
        </w:rPr>
        <w:t> </w:t>
      </w:r>
      <w:r>
        <w:rPr>
          <w:rFonts w:ascii="Arial"/>
          <w:b/>
          <w:spacing w:val="-1"/>
          <w:sz w:val="18"/>
          <w:vertAlign w:val="baseline"/>
        </w:rPr>
        <w:t>Kassym</w:t>
      </w:r>
      <w:r>
        <w:rPr>
          <w:rFonts w:ascii="Arial"/>
          <w:b/>
          <w:spacing w:val="3"/>
          <w:w w:val="99"/>
          <w:position w:val="-3"/>
          <w:sz w:val="18"/>
          <w:vertAlign w:val="baseline"/>
        </w:rPr>
        <w:drawing>
          <wp:inline distT="0" distB="0" distL="0" distR="0">
            <wp:extent cx="97535" cy="9753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b/>
          <w:spacing w:val="3"/>
          <w:w w:val="99"/>
          <w:position w:val="-3"/>
          <w:sz w:val="18"/>
          <w:vertAlign w:val="baseline"/>
        </w:rPr>
      </w:r>
      <w:r>
        <w:rPr>
          <w:rFonts w:ascii="Arial"/>
          <w:b/>
          <w:spacing w:val="-1"/>
          <w:position w:val="-3"/>
          <w:sz w:val="18"/>
          <w:vertAlign w:val="superscript"/>
        </w:rPr>
        <w:t>2</w:t>
      </w:r>
      <w:r>
        <w:rPr>
          <w:rFonts w:ascii="Tahoma"/>
          <w:b/>
          <w:spacing w:val="-1"/>
          <w:sz w:val="18"/>
          <w:vertAlign w:val="baseline"/>
        </w:rPr>
        <w:t>*</w:t>
      </w:r>
      <w:r>
        <w:rPr>
          <w:rFonts w:ascii="Arial"/>
          <w:b/>
          <w:spacing w:val="-1"/>
          <w:sz w:val="18"/>
          <w:vertAlign w:val="baseline"/>
        </w:rPr>
        <w:t>, Nazira Bekenova</w:t>
      </w:r>
      <w:r>
        <w:rPr>
          <w:rFonts w:ascii="Arial"/>
          <w:b/>
          <w:spacing w:val="-1"/>
          <w:sz w:val="18"/>
          <w:vertAlign w:val="superscript"/>
        </w:rPr>
        <w:t>1</w:t>
      </w:r>
      <w:r>
        <w:rPr>
          <w:rFonts w:ascii="Arial"/>
          <w:b/>
          <w:spacing w:val="-1"/>
          <w:sz w:val="18"/>
          <w:vertAlign w:val="baseline"/>
        </w:rPr>
        <w:t>, Almira </w:t>
      </w:r>
      <w:r>
        <w:rPr>
          <w:rFonts w:ascii="Arial"/>
          <w:b/>
          <w:sz w:val="18"/>
          <w:vertAlign w:val="baseline"/>
        </w:rPr>
        <w:t>Akhmetova</w:t>
      </w:r>
      <w:r>
        <w:rPr>
          <w:rFonts w:ascii="Arial"/>
          <w:b/>
          <w:sz w:val="18"/>
          <w:vertAlign w:val="superscript"/>
        </w:rPr>
        <w:t>1</w:t>
      </w:r>
      <w:r>
        <w:rPr>
          <w:rFonts w:ascii="Arial"/>
          <w:b/>
          <w:sz w:val="18"/>
          <w:vertAlign w:val="baseline"/>
        </w:rPr>
        <w:t>,</w:t>
      </w:r>
      <w:r>
        <w:rPr>
          <w:rFonts w:ascii="Arial"/>
          <w:b/>
          <w:spacing w:val="1"/>
          <w:sz w:val="18"/>
          <w:vertAlign w:val="baseline"/>
        </w:rPr>
        <w:t> </w:t>
      </w:r>
      <w:r>
        <w:rPr>
          <w:rFonts w:ascii="Arial"/>
          <w:b/>
          <w:spacing w:val="-1"/>
          <w:sz w:val="18"/>
          <w:vertAlign w:val="baseline"/>
        </w:rPr>
        <w:t>Natalya</w:t>
      </w:r>
      <w:r>
        <w:rPr>
          <w:rFonts w:ascii="Arial"/>
          <w:b/>
          <w:spacing w:val="-12"/>
          <w:sz w:val="18"/>
          <w:vertAlign w:val="baseline"/>
        </w:rPr>
        <w:t> </w:t>
      </w:r>
      <w:r>
        <w:rPr>
          <w:rFonts w:ascii="Arial"/>
          <w:b/>
          <w:spacing w:val="-1"/>
          <w:sz w:val="18"/>
          <w:vertAlign w:val="baseline"/>
        </w:rPr>
        <w:t>Glushkova</w:t>
      </w:r>
      <w:r>
        <w:rPr>
          <w:rFonts w:ascii="Arial"/>
          <w:b/>
          <w:spacing w:val="-1"/>
          <w:sz w:val="18"/>
          <w:vertAlign w:val="superscript"/>
        </w:rPr>
        <w:t>3</w:t>
      </w:r>
      <w:r>
        <w:rPr>
          <w:rFonts w:ascii="Arial"/>
          <w:b/>
          <w:spacing w:val="-1"/>
          <w:sz w:val="18"/>
          <w:vertAlign w:val="baseline"/>
        </w:rPr>
        <w:t>,</w:t>
      </w:r>
      <w:r>
        <w:rPr>
          <w:rFonts w:ascii="Arial"/>
          <w:b/>
          <w:spacing w:val="-12"/>
          <w:sz w:val="18"/>
          <w:vertAlign w:val="baseline"/>
        </w:rPr>
        <w:t> </w:t>
      </w:r>
      <w:r>
        <w:rPr>
          <w:rFonts w:ascii="Arial"/>
          <w:b/>
          <w:spacing w:val="-1"/>
          <w:sz w:val="18"/>
          <w:vertAlign w:val="baseline"/>
        </w:rPr>
        <w:t>Almas</w:t>
      </w:r>
      <w:r>
        <w:rPr>
          <w:rFonts w:ascii="Arial"/>
          <w:b/>
          <w:spacing w:val="-11"/>
          <w:sz w:val="18"/>
          <w:vertAlign w:val="baseline"/>
        </w:rPr>
        <w:t> </w:t>
      </w:r>
      <w:r>
        <w:rPr>
          <w:rFonts w:ascii="Arial"/>
          <w:b/>
          <w:spacing w:val="-1"/>
          <w:sz w:val="18"/>
          <w:vertAlign w:val="baseline"/>
        </w:rPr>
        <w:t>Kussainov</w:t>
      </w:r>
      <w:r>
        <w:rPr>
          <w:rFonts w:ascii="Arial"/>
          <w:b/>
          <w:spacing w:val="-1"/>
          <w:sz w:val="18"/>
          <w:vertAlign w:val="superscript"/>
        </w:rPr>
        <w:t>4</w:t>
      </w:r>
      <w:r>
        <w:rPr>
          <w:rFonts w:ascii="Arial"/>
          <w:b/>
          <w:spacing w:val="-1"/>
          <w:sz w:val="18"/>
          <w:vertAlign w:val="baseline"/>
        </w:rPr>
        <w:t>,</w:t>
      </w:r>
      <w:r>
        <w:rPr>
          <w:rFonts w:ascii="Arial"/>
          <w:b/>
          <w:spacing w:val="-11"/>
          <w:sz w:val="18"/>
          <w:vertAlign w:val="baseline"/>
        </w:rPr>
        <w:t> </w:t>
      </w:r>
      <w:r>
        <w:rPr>
          <w:rFonts w:ascii="Arial"/>
          <w:b/>
          <w:spacing w:val="-1"/>
          <w:sz w:val="18"/>
          <w:vertAlign w:val="baseline"/>
        </w:rPr>
        <w:t>Zhanar</w:t>
      </w:r>
      <w:r>
        <w:rPr>
          <w:rFonts w:ascii="Arial"/>
          <w:b/>
          <w:spacing w:val="-12"/>
          <w:sz w:val="18"/>
          <w:vertAlign w:val="baseline"/>
        </w:rPr>
        <w:t> </w:t>
      </w:r>
      <w:r>
        <w:rPr>
          <w:rFonts w:ascii="Arial"/>
          <w:b/>
          <w:spacing w:val="-1"/>
          <w:sz w:val="18"/>
          <w:vertAlign w:val="baseline"/>
        </w:rPr>
        <w:t>Urazalina</w:t>
      </w:r>
      <w:r>
        <w:rPr>
          <w:rFonts w:ascii="Arial"/>
          <w:b/>
          <w:spacing w:val="-1"/>
          <w:sz w:val="18"/>
          <w:vertAlign w:val="superscript"/>
        </w:rPr>
        <w:t>5</w:t>
      </w:r>
      <w:r>
        <w:rPr>
          <w:rFonts w:ascii="Arial"/>
          <w:b/>
          <w:spacing w:val="-1"/>
          <w:sz w:val="18"/>
          <w:vertAlign w:val="baseline"/>
        </w:rPr>
        <w:t>,</w:t>
      </w:r>
      <w:r>
        <w:rPr>
          <w:rFonts w:ascii="Arial"/>
          <w:b/>
          <w:spacing w:val="-11"/>
          <w:sz w:val="18"/>
          <w:vertAlign w:val="baseline"/>
        </w:rPr>
        <w:t> </w:t>
      </w:r>
      <w:r>
        <w:rPr>
          <w:rFonts w:ascii="Arial"/>
          <w:b/>
          <w:sz w:val="18"/>
          <w:vertAlign w:val="baseline"/>
        </w:rPr>
        <w:t>Oxana</w:t>
      </w:r>
      <w:r>
        <w:rPr>
          <w:rFonts w:ascii="Arial"/>
          <w:b/>
          <w:spacing w:val="-12"/>
          <w:sz w:val="18"/>
          <w:vertAlign w:val="baseline"/>
        </w:rPr>
        <w:t> </w:t>
      </w:r>
      <w:r>
        <w:rPr>
          <w:rFonts w:ascii="Arial"/>
          <w:b/>
          <w:sz w:val="18"/>
          <w:vertAlign w:val="baseline"/>
        </w:rPr>
        <w:t>Yurkovskaya</w:t>
      </w:r>
      <w:r>
        <w:rPr>
          <w:rFonts w:ascii="Arial"/>
          <w:b/>
          <w:sz w:val="18"/>
          <w:vertAlign w:val="superscript"/>
        </w:rPr>
        <w:t>6</w:t>
      </w:r>
      <w:r>
        <w:rPr>
          <w:rFonts w:ascii="Arial"/>
          <w:b/>
          <w:sz w:val="18"/>
          <w:vertAlign w:val="baseline"/>
        </w:rPr>
        <w:t>,</w:t>
      </w:r>
      <w:r>
        <w:rPr>
          <w:rFonts w:ascii="Arial"/>
          <w:b/>
          <w:spacing w:val="-47"/>
          <w:sz w:val="18"/>
          <w:vertAlign w:val="baseline"/>
        </w:rPr>
        <w:t> </w:t>
      </w:r>
      <w:r>
        <w:rPr>
          <w:rFonts w:ascii="Arial"/>
          <w:b/>
          <w:spacing w:val="-1"/>
          <w:sz w:val="18"/>
          <w:vertAlign w:val="baseline"/>
        </w:rPr>
        <w:t>Yerbol</w:t>
      </w:r>
      <w:r>
        <w:rPr>
          <w:rFonts w:ascii="Arial"/>
          <w:b/>
          <w:spacing w:val="-13"/>
          <w:sz w:val="18"/>
          <w:vertAlign w:val="baseline"/>
        </w:rPr>
        <w:t> </w:t>
      </w:r>
      <w:r>
        <w:rPr>
          <w:rFonts w:ascii="Arial"/>
          <w:b/>
          <w:spacing w:val="-1"/>
          <w:sz w:val="18"/>
          <w:vertAlign w:val="baseline"/>
        </w:rPr>
        <w:t>Smail</w:t>
      </w:r>
      <w:r>
        <w:rPr>
          <w:rFonts w:ascii="Arial"/>
          <w:b/>
          <w:spacing w:val="-1"/>
          <w:sz w:val="18"/>
          <w:vertAlign w:val="superscript"/>
        </w:rPr>
        <w:t>7</w:t>
      </w:r>
      <w:r>
        <w:rPr>
          <w:rFonts w:ascii="Arial"/>
          <w:b/>
          <w:spacing w:val="-1"/>
          <w:sz w:val="18"/>
          <w:vertAlign w:val="baseline"/>
        </w:rPr>
        <w:t>,</w:t>
      </w:r>
      <w:r>
        <w:rPr>
          <w:rFonts w:ascii="Arial"/>
          <w:b/>
          <w:spacing w:val="-12"/>
          <w:sz w:val="18"/>
          <w:vertAlign w:val="baseline"/>
        </w:rPr>
        <w:t> </w:t>
      </w:r>
      <w:r>
        <w:rPr>
          <w:rFonts w:ascii="Arial"/>
          <w:b/>
          <w:spacing w:val="-1"/>
          <w:sz w:val="18"/>
          <w:vertAlign w:val="baseline"/>
        </w:rPr>
        <w:t>Laura</w:t>
      </w:r>
      <w:r>
        <w:rPr>
          <w:rFonts w:ascii="Arial"/>
          <w:b/>
          <w:spacing w:val="-11"/>
          <w:sz w:val="18"/>
          <w:vertAlign w:val="baseline"/>
        </w:rPr>
        <w:t> </w:t>
      </w:r>
      <w:r>
        <w:rPr>
          <w:rFonts w:ascii="Arial"/>
          <w:b/>
          <w:sz w:val="18"/>
          <w:vertAlign w:val="baseline"/>
        </w:rPr>
        <w:t>Pak</w:t>
      </w:r>
      <w:r>
        <w:rPr>
          <w:rFonts w:ascii="Arial"/>
          <w:b/>
          <w:sz w:val="18"/>
          <w:vertAlign w:val="superscript"/>
        </w:rPr>
        <w:t>8</w:t>
      </w:r>
      <w:r>
        <w:rPr>
          <w:rFonts w:ascii="Arial"/>
          <w:b/>
          <w:sz w:val="18"/>
          <w:vertAlign w:val="baseline"/>
        </w:rPr>
        <w:t>,</w:t>
      </w:r>
      <w:r>
        <w:rPr>
          <w:rFonts w:ascii="Arial"/>
          <w:b/>
          <w:spacing w:val="-12"/>
          <w:sz w:val="18"/>
          <w:vertAlign w:val="baseline"/>
        </w:rPr>
        <w:t> </w:t>
      </w:r>
      <w:r>
        <w:rPr>
          <w:rFonts w:ascii="Arial"/>
          <w:b/>
          <w:sz w:val="18"/>
          <w:vertAlign w:val="baseline"/>
        </w:rPr>
        <w:t>Yuliya</w:t>
      </w:r>
      <w:r>
        <w:rPr>
          <w:rFonts w:ascii="Arial"/>
          <w:b/>
          <w:spacing w:val="-11"/>
          <w:sz w:val="18"/>
          <w:vertAlign w:val="baseline"/>
        </w:rPr>
        <w:t> </w:t>
      </w:r>
      <w:r>
        <w:rPr>
          <w:rFonts w:ascii="Arial"/>
          <w:b/>
          <w:sz w:val="18"/>
          <w:vertAlign w:val="baseline"/>
        </w:rPr>
        <w:t>Semenova</w:t>
      </w:r>
      <w:r>
        <w:rPr>
          <w:rFonts w:ascii="Arial"/>
          <w:b/>
          <w:sz w:val="18"/>
          <w:vertAlign w:val="superscript"/>
        </w:rPr>
        <w:t>9</w:t>
      </w:r>
    </w:p>
    <w:p>
      <w:pPr>
        <w:spacing w:line="261" w:lineRule="auto" w:before="162"/>
        <w:ind w:left="3420" w:right="125" w:firstLine="0"/>
        <w:jc w:val="left"/>
        <w:rPr>
          <w:rFonts w:ascii="Arial MT"/>
          <w:sz w:val="16"/>
        </w:rPr>
      </w:pPr>
      <w:r>
        <w:rPr>
          <w:rFonts w:ascii="Arial"/>
          <w:b/>
          <w:spacing w:val="-2"/>
          <w:sz w:val="16"/>
        </w:rPr>
        <w:t>1</w:t>
      </w:r>
      <w:r>
        <w:rPr>
          <w:rFonts w:ascii="Arial"/>
          <w:b/>
          <w:spacing w:val="24"/>
          <w:sz w:val="16"/>
        </w:rPr>
        <w:t> </w:t>
      </w:r>
      <w:r>
        <w:rPr>
          <w:rFonts w:ascii="Arial MT"/>
          <w:spacing w:val="-2"/>
          <w:sz w:val="16"/>
        </w:rPr>
        <w:t>Department</w:t>
      </w:r>
      <w:r>
        <w:rPr>
          <w:rFonts w:ascii="Arial MT"/>
          <w:spacing w:val="-13"/>
          <w:sz w:val="16"/>
        </w:rPr>
        <w:t> </w:t>
      </w:r>
      <w:r>
        <w:rPr>
          <w:rFonts w:ascii="Arial MT"/>
          <w:spacing w:val="-2"/>
          <w:sz w:val="16"/>
        </w:rPr>
        <w:t>of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2"/>
          <w:sz w:val="16"/>
        </w:rPr>
        <w:t>Dermatovenerology</w:t>
      </w:r>
      <w:r>
        <w:rPr>
          <w:rFonts w:ascii="Arial MT"/>
          <w:spacing w:val="-12"/>
          <w:sz w:val="16"/>
        </w:rPr>
        <w:t> </w:t>
      </w:r>
      <w:r>
        <w:rPr>
          <w:rFonts w:ascii="Arial MT"/>
          <w:spacing w:val="-1"/>
          <w:sz w:val="16"/>
        </w:rPr>
        <w:t>and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1"/>
          <w:sz w:val="16"/>
        </w:rPr>
        <w:t>Cosmetology,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pacing w:val="-1"/>
          <w:sz w:val="16"/>
        </w:rPr>
        <w:t>NJSC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1"/>
          <w:sz w:val="16"/>
        </w:rPr>
        <w:t>"Semey</w:t>
      </w:r>
      <w:r>
        <w:rPr>
          <w:rFonts w:ascii="Arial MT"/>
          <w:spacing w:val="-12"/>
          <w:sz w:val="16"/>
        </w:rPr>
        <w:t> </w:t>
      </w:r>
      <w:r>
        <w:rPr>
          <w:rFonts w:ascii="Arial MT"/>
          <w:spacing w:val="-1"/>
          <w:sz w:val="16"/>
        </w:rPr>
        <w:t>Medical</w:t>
      </w:r>
      <w:r>
        <w:rPr>
          <w:rFonts w:ascii="Arial MT"/>
          <w:spacing w:val="-12"/>
          <w:sz w:val="16"/>
        </w:rPr>
        <w:t> </w:t>
      </w:r>
      <w:r>
        <w:rPr>
          <w:rFonts w:ascii="Arial MT"/>
          <w:spacing w:val="-1"/>
          <w:sz w:val="16"/>
        </w:rPr>
        <w:t>University",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pacing w:val="-1"/>
          <w:sz w:val="16"/>
        </w:rPr>
        <w:t>Semey,</w:t>
      </w:r>
      <w:r>
        <w:rPr>
          <w:rFonts w:ascii="Arial MT"/>
          <w:spacing w:val="-12"/>
          <w:sz w:val="16"/>
        </w:rPr>
        <w:t> </w:t>
      </w:r>
      <w:r>
        <w:rPr>
          <w:rFonts w:ascii="Arial MT"/>
          <w:spacing w:val="-1"/>
          <w:sz w:val="16"/>
        </w:rPr>
        <w:t>Republic</w:t>
      </w:r>
      <w:r>
        <w:rPr>
          <w:rFonts w:ascii="Arial MT"/>
          <w:spacing w:val="-41"/>
          <w:sz w:val="16"/>
        </w:rPr>
        <w:t> </w:t>
      </w:r>
      <w:r>
        <w:rPr>
          <w:rFonts w:ascii="Arial MT"/>
          <w:spacing w:val="-2"/>
          <w:sz w:val="16"/>
        </w:rPr>
        <w:t>of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2"/>
          <w:sz w:val="16"/>
        </w:rPr>
        <w:t>Kazakhstan,</w:t>
      </w:r>
      <w:r>
        <w:rPr>
          <w:rFonts w:ascii="Arial MT"/>
          <w:spacing w:val="-11"/>
          <w:sz w:val="16"/>
        </w:rPr>
        <w:t> </w:t>
      </w:r>
      <w:r>
        <w:rPr>
          <w:rFonts w:ascii="Arial"/>
          <w:b/>
          <w:spacing w:val="-2"/>
          <w:sz w:val="16"/>
        </w:rPr>
        <w:t>2</w:t>
      </w:r>
      <w:r>
        <w:rPr>
          <w:rFonts w:ascii="Arial"/>
          <w:b/>
          <w:spacing w:val="24"/>
          <w:sz w:val="16"/>
        </w:rPr>
        <w:t> </w:t>
      </w:r>
      <w:r>
        <w:rPr>
          <w:rFonts w:ascii="Arial MT"/>
          <w:spacing w:val="-2"/>
          <w:sz w:val="16"/>
        </w:rPr>
        <w:t>School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pacing w:val="-2"/>
          <w:sz w:val="16"/>
        </w:rPr>
        <w:t>of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2"/>
          <w:sz w:val="16"/>
        </w:rPr>
        <w:t>Medicine,</w:t>
      </w:r>
      <w:r>
        <w:rPr>
          <w:rFonts w:ascii="Arial MT"/>
          <w:spacing w:val="-12"/>
          <w:sz w:val="16"/>
        </w:rPr>
        <w:t> </w:t>
      </w:r>
      <w:r>
        <w:rPr>
          <w:rFonts w:ascii="Arial MT"/>
          <w:spacing w:val="-1"/>
          <w:sz w:val="16"/>
        </w:rPr>
        <w:t>Nazarbayev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1"/>
          <w:sz w:val="16"/>
        </w:rPr>
        <w:t>University,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1"/>
          <w:sz w:val="16"/>
        </w:rPr>
        <w:t>Nur-Sultan,</w:t>
      </w:r>
      <w:r>
        <w:rPr>
          <w:rFonts w:ascii="Arial MT"/>
          <w:spacing w:val="-12"/>
          <w:sz w:val="16"/>
        </w:rPr>
        <w:t> </w:t>
      </w:r>
      <w:r>
        <w:rPr>
          <w:rFonts w:ascii="Arial MT"/>
          <w:spacing w:val="-1"/>
          <w:sz w:val="16"/>
        </w:rPr>
        <w:t>Republic</w:t>
      </w:r>
      <w:r>
        <w:rPr>
          <w:rFonts w:ascii="Arial MT"/>
          <w:spacing w:val="-12"/>
          <w:sz w:val="16"/>
        </w:rPr>
        <w:t> </w:t>
      </w:r>
      <w:r>
        <w:rPr>
          <w:rFonts w:ascii="Arial MT"/>
          <w:spacing w:val="-1"/>
          <w:sz w:val="16"/>
        </w:rPr>
        <w:t>of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pacing w:val="-1"/>
          <w:sz w:val="16"/>
        </w:rPr>
        <w:t>Kazakhstan,</w:t>
      </w:r>
    </w:p>
    <w:p>
      <w:pPr>
        <w:spacing w:line="261" w:lineRule="auto" w:before="0"/>
        <w:ind w:left="3420" w:right="125" w:firstLine="0"/>
        <w:jc w:val="left"/>
        <w:rPr>
          <w:rFonts w:ascii="Arial MT"/>
          <w:sz w:val="16"/>
        </w:rPr>
      </w:pPr>
      <w:r>
        <w:rPr/>
        <w:pict>
          <v:group style="position:absolute;margin-left:36pt;margin-top:29.760172pt;width:54.45pt;height:54.45pt;mso-position-horizontal-relative:page;mso-position-vertical-relative:paragraph;z-index:15732736" coordorigin="720,595" coordsize="1089,1089">
            <v:shape style="position:absolute;left:724;top:755;width:1081;height:15" coordorigin="724,755" coordsize="1081,15" path="m1805,755l724,755,724,759,724,763,724,767,724,770,1805,770,1805,767,1805,763,1805,759,1805,755xe" filled="true" fillcolor="#fdfdfc" stroked="false">
              <v:path arrowok="t"/>
              <v:fill type="solid"/>
            </v:shape>
            <v:shape style="position:absolute;left:724;top:770;width:1081;height:8" coordorigin="724,770" coordsize="1081,8" path="m1805,770l724,770,724,774,724,778,1805,778,1805,774,1805,770xe" filled="true" fillcolor="#fbfcfb" stroked="false">
              <v:path arrowok="t"/>
              <v:fill type="solid"/>
            </v:shape>
            <v:shape style="position:absolute;left:724;top:777;width:1081;height:8" coordorigin="724,778" coordsize="1081,8" path="m1805,778l724,778,724,782,724,785,1805,785,1805,782,1805,778xe" filled="true" fillcolor="#fafbfb" stroked="false">
              <v:path arrowok="t"/>
              <v:fill type="solid"/>
            </v:shape>
            <v:shape style="position:absolute;left:724;top:785;width:1081;height:15" coordorigin="724,785" coordsize="1081,15" path="m1805,785l724,785,724,789,724,793,724,796,724,800,1805,800,1805,796,1805,793,1805,789,1805,785xe" filled="true" fillcolor="#f8f9f9" stroked="false">
              <v:path arrowok="t"/>
              <v:fill type="solid"/>
            </v:shape>
            <v:shape style="position:absolute;left:724;top:800;width:1081;height:15" coordorigin="724,800" coordsize="1081,15" path="m1805,800l724,800,724,804,724,808,724,811,724,815,1805,815,1805,811,1805,808,1805,804,1805,800xe" filled="true" fillcolor="#f7f7f7" stroked="false">
              <v:path arrowok="t"/>
              <v:fill type="solid"/>
            </v:shape>
            <v:shape style="position:absolute;left:724;top:815;width:1081;height:15" coordorigin="724,815" coordsize="1081,15" path="m1805,815l724,815,724,819,724,823,724,826,724,830,1805,830,1805,826,1805,823,1805,819,1805,815xe" filled="true" fillcolor="#f6f6f5" stroked="false">
              <v:path arrowok="t"/>
              <v:fill type="solid"/>
            </v:shape>
            <v:shape style="position:absolute;left:724;top:829;width:1081;height:15" coordorigin="724,830" coordsize="1081,15" path="m1805,830l724,830,724,834,724,837,724,841,724,845,1805,845,1805,841,1805,837,1805,834,1805,830xe" filled="true" fillcolor="#f5f4f3" stroked="false">
              <v:path arrowok="t"/>
              <v:fill type="solid"/>
            </v:shape>
            <v:shape style="position:absolute;left:724;top:844;width:1081;height:8" coordorigin="724,845" coordsize="1081,8" path="m1805,845l724,845,724,849,724,852,1805,852,1805,849,1805,845xe" filled="true" fillcolor="#f4f3f2" stroked="false">
              <v:path arrowok="t"/>
              <v:fill type="solid"/>
            </v:shape>
            <v:shape style="position:absolute;left:724;top:852;width:1081;height:8" coordorigin="724,852" coordsize="1081,8" path="m1805,852l724,852,724,856,724,860,1805,860,1805,856,1805,852xe" filled="true" fillcolor="#f3f3f1" stroked="false">
              <v:path arrowok="t"/>
              <v:fill type="solid"/>
            </v:shape>
            <v:shape style="position:absolute;left:724;top:859;width:1081;height:15" coordorigin="724,860" coordsize="1081,15" path="m1805,860l724,860,724,864,724,867,724,871,724,875,1805,875,1805,871,1805,867,1805,864,1805,860xe" filled="true" fillcolor="#f2f2f0" stroked="false">
              <v:path arrowok="t"/>
              <v:fill type="solid"/>
            </v:shape>
            <v:shape style="position:absolute;left:724;top:874;width:1081;height:8" coordorigin="724,875" coordsize="1081,8" path="m1805,875l724,875,724,878,724,882,1805,882,1805,878,1805,875xe" filled="true" fillcolor="#f1f0ef" stroked="false">
              <v:path arrowok="t"/>
              <v:fill type="solid"/>
            </v:shape>
            <v:shape style="position:absolute;left:724;top:882;width:1081;height:8" coordorigin="724,882" coordsize="1081,8" path="m1805,882l724,882,724,886,724,890,1805,890,1805,886,1805,882xe" filled="true" fillcolor="#f0f0ef" stroked="false">
              <v:path arrowok="t"/>
              <v:fill type="solid"/>
            </v:shape>
            <v:shape style="position:absolute;left:724;top:889;width:1081;height:15" coordorigin="724,890" coordsize="1081,15" path="m1805,890l724,890,724,893,724,897,724,901,724,905,1805,905,1805,901,1805,897,1805,893,1805,890xe" filled="true" fillcolor="#efefee" stroked="false">
              <v:path arrowok="t"/>
              <v:fill type="solid"/>
            </v:shape>
            <v:shape style="position:absolute;left:724;top:904;width:1081;height:15" coordorigin="724,905" coordsize="1081,15" path="m1805,905l724,905,724,908,724,912,724,916,724,919,1805,919,1805,916,1805,912,1805,908,1805,905xe" filled="true" fillcolor="#eeeeed" stroked="false">
              <v:path arrowok="t"/>
              <v:fill type="solid"/>
            </v:shape>
            <v:shape style="position:absolute;left:724;top:919;width:1081;height:15" coordorigin="724,919" coordsize="1081,15" path="m1805,919l724,919,724,923,724,927,724,931,724,934,1805,934,1805,931,1805,927,1805,923,1805,919xe" filled="true" fillcolor="#ededec" stroked="false">
              <v:path arrowok="t"/>
              <v:fill type="solid"/>
            </v:shape>
            <v:shape style="position:absolute;left:724;top:934;width:1081;height:15" coordorigin="724,934" coordsize="1081,15" path="m1805,934l724,934,724,938,724,942,724,946,724,949,1805,949,1805,946,1805,942,1805,938,1805,934xe" filled="true" fillcolor="#ececeb" stroked="false">
              <v:path arrowok="t"/>
              <v:fill type="solid"/>
            </v:shape>
            <v:shape style="position:absolute;left:724;top:949;width:1081;height:19" coordorigin="724,949" coordsize="1081,19" path="m1805,953l724,953,724,957,724,960,724,964,724,968,1805,968,1805,964,1805,960,1805,957,1805,953xm1805,949l724,949,724,953,1805,953,1805,949xe" filled="true" fillcolor="#ebebea" stroked="false">
              <v:path arrowok="t"/>
              <v:fill type="solid"/>
            </v:shape>
            <v:shape style="position:absolute;left:724;top:967;width:1081;height:15" coordorigin="724,968" coordsize="1081,15" path="m1805,968l724,968,724,972,724,975,724,979,724,983,1805,983,1805,979,1805,975,1805,972,1805,968xe" filled="true" fillcolor="#eaeae9" stroked="false">
              <v:path arrowok="t"/>
              <v:fill type="solid"/>
            </v:shape>
            <v:shape style="position:absolute;left:724;top:982;width:1081;height:15" coordorigin="724,983" coordsize="1081,15" path="m1805,983l724,983,724,987,724,990,724,994,724,998,1805,998,1805,994,1805,990,1805,987,1805,983xe" filled="true" fillcolor="#e9e9e8" stroked="false">
              <v:path arrowok="t"/>
              <v:fill type="solid"/>
            </v:shape>
            <v:shape style="position:absolute;left:724;top:997;width:1081;height:15" coordorigin="724,998" coordsize="1081,15" path="m1805,998l724,998,724,1002,724,1005,724,1009,724,1013,1805,1013,1805,1009,1805,1005,1805,1002,1805,998xe" filled="true" fillcolor="#e8e8e7" stroked="false">
              <v:path arrowok="t"/>
              <v:fill type="solid"/>
            </v:shape>
            <v:shape style="position:absolute;left:724;top:1012;width:1081;height:15" coordorigin="724,1013" coordsize="1081,15" path="m1805,1013l724,1013,724,1016,724,1020,724,1024,724,1028,1805,1028,1805,1024,1805,1020,1805,1016,1805,1013xe" filled="true" fillcolor="#e7e8e6" stroked="false">
              <v:path arrowok="t"/>
              <v:fill type="solid"/>
            </v:shape>
            <v:shape style="position:absolute;left:724;top:1027;width:1081;height:15" coordorigin="724,1028" coordsize="1081,15" path="m1805,1028l724,1028,724,1031,724,1035,724,1039,724,1043,1805,1043,1805,1039,1805,1035,1805,1031,1805,1028xe" filled="true" fillcolor="#e6e6e5" stroked="false">
              <v:path arrowok="t"/>
              <v:fill type="solid"/>
            </v:shape>
            <v:shape style="position:absolute;left:724;top:1042;width:1081;height:15" coordorigin="724,1043" coordsize="1081,15" path="m1805,1043l724,1043,724,1046,724,1050,724,1054,724,1057,1805,1057,1805,1054,1805,1050,1805,1046,1805,1043xe" filled="true" fillcolor="#e5e5e4" stroked="false">
              <v:path arrowok="t"/>
              <v:fill type="solid"/>
            </v:shape>
            <v:shape style="position:absolute;left:724;top:1057;width:1081;height:8" coordorigin="724,1057" coordsize="1081,8" path="m1805,1057l724,1057,724,1061,724,1065,1805,1065,1805,1061,1805,1057xe" filled="true" fillcolor="#e4e4e3" stroked="false">
              <v:path arrowok="t"/>
              <v:fill type="solid"/>
            </v:shape>
            <v:shape style="position:absolute;left:724;top:1064;width:1081;height:8" coordorigin="724,1065" coordsize="1081,8" path="m1805,1065l724,1065,724,1069,724,1072,1805,1072,1805,1069,1805,1065xe" filled="true" fillcolor="#e3e4e3" stroked="false">
              <v:path arrowok="t"/>
              <v:fill type="solid"/>
            </v:shape>
            <v:shape style="position:absolute;left:724;top:1072;width:1081;height:15" coordorigin="724,1072" coordsize="1081,15" path="m1805,1072l724,1072,724,1076,724,1080,724,1084,724,1087,1805,1087,1805,1084,1805,1080,1805,1076,1805,1072xe" filled="true" fillcolor="#e2e3e2" stroked="false">
              <v:path arrowok="t"/>
              <v:fill type="solid"/>
            </v:shape>
            <v:shape style="position:absolute;left:724;top:1087;width:1081;height:15" coordorigin="724,1087" coordsize="1081,15" path="m1805,1087l724,1087,724,1091,724,1095,724,1098,724,1102,1805,1102,1805,1098,1805,1095,1805,1091,1805,1087xe" filled="true" fillcolor="#e1e2e1" stroked="false">
              <v:path arrowok="t"/>
              <v:fill type="solid"/>
            </v:shape>
            <v:shape style="position:absolute;left:724;top:1102;width:1081;height:15" coordorigin="724,1102" coordsize="1081,15" path="m1805,1102l724,1102,724,1106,724,1110,724,1113,724,1117,1805,1117,1805,1113,1805,1110,1805,1106,1805,1102xe" filled="true" fillcolor="#e0e1e0" stroked="false">
              <v:path arrowok="t"/>
              <v:fill type="solid"/>
            </v:shape>
            <v:shape style="position:absolute;left:724;top:1117;width:1081;height:15" coordorigin="724,1117" coordsize="1081,15" path="m1805,1117l724,1117,724,1121,724,1125,724,1128,724,1132,1805,1132,1805,1128,1805,1125,1805,1121,1805,1117xe" filled="true" fillcolor="#dfe0df" stroked="false">
              <v:path arrowok="t"/>
              <v:fill type="solid"/>
            </v:shape>
            <v:shape style="position:absolute;left:724;top:1132;width:1081;height:8" coordorigin="724,1132" coordsize="1081,8" path="m1805,1132l724,1132,724,1136,724,1139,1805,1139,1805,1136,1805,1132xe" filled="true" fillcolor="#dedfde" stroked="false">
              <v:path arrowok="t"/>
              <v:fill type="solid"/>
            </v:shape>
            <v:shape style="position:absolute;left:724;top:1139;width:1081;height:8" coordorigin="724,1139" coordsize="1081,8" path="m1805,1139l724,1139,724,1143,724,1147,1805,1147,1805,1143,1805,1139xe" filled="true" fillcolor="#dddfde" stroked="false">
              <v:path arrowok="t"/>
              <v:fill type="solid"/>
            </v:shape>
            <v:shape style="position:absolute;left:724;top:1146;width:1081;height:15" coordorigin="724,1147" coordsize="1081,15" path="m1805,1154l724,1154,724,1158,724,1162,1805,1162,1805,1158,1805,1154xm1805,1147l724,1147,724,1151,724,1154,1805,1154,1805,1151,1805,1147xe" filled="true" fillcolor="#dcdedd" stroked="false">
              <v:path arrowok="t"/>
              <v:fill type="solid"/>
            </v:shape>
            <v:shape style="position:absolute;left:724;top:1161;width:1081;height:15" coordorigin="724,1162" coordsize="1081,15" path="m1805,1162l724,1162,724,1166,724,1169,724,1173,724,1177,1805,1177,1805,1173,1805,1169,1805,1166,1805,1162xe" filled="true" fillcolor="#dbdddb" stroked="false">
              <v:path arrowok="t"/>
              <v:fill type="solid"/>
            </v:shape>
            <v:shape style="position:absolute;left:724;top:1176;width:1081;height:15" coordorigin="724,1177" coordsize="1081,15" path="m1805,1177l724,1177,724,1180,724,1184,724,1188,724,1192,1805,1192,1805,1188,1805,1184,1805,1180,1805,1177xe" filled="true" fillcolor="#dadbda" stroked="false">
              <v:path arrowok="t"/>
              <v:fill type="solid"/>
            </v:shape>
            <v:shape style="position:absolute;left:724;top:1191;width:1081;height:19" coordorigin="724,1192" coordsize="1081,19" path="m1805,1192l724,1192,724,1195,724,1199,724,1203,724,1207,724,1210,1805,1210,1805,1207,1805,1203,1805,1199,1805,1195,1805,1192xe" filled="true" fillcolor="#d9dbda" stroked="false">
              <v:path arrowok="t"/>
              <v:fill type="solid"/>
            </v:shape>
            <v:shape style="position:absolute;left:724;top:1210;width:1081;height:15" coordorigin="724,1210" coordsize="1081,15" path="m1805,1210l724,1210,724,1214,724,1218,724,1221,724,1225,1805,1225,1805,1221,1805,1218,1805,1214,1805,1210xe" filled="true" fillcolor="#d8dad9" stroked="false">
              <v:path arrowok="t"/>
              <v:fill type="solid"/>
            </v:shape>
            <v:shape style="position:absolute;left:724;top:1225;width:1081;height:15" coordorigin="724,1225" coordsize="1081,15" path="m1805,1225l724,1225,724,1229,724,1233,724,1236,724,1240,1805,1240,1805,1236,1805,1233,1805,1229,1805,1225xe" filled="true" fillcolor="#d7d9d8" stroked="false">
              <v:path arrowok="t"/>
              <v:fill type="solid"/>
            </v:shape>
            <v:shape style="position:absolute;left:724;top:1240;width:1081;height:15" coordorigin="724,1240" coordsize="1081,15" path="m1805,1240l724,1240,724,1244,724,1248,724,1251,724,1255,1805,1255,1805,1251,1805,1248,1805,1244,1805,1240xe" filled="true" fillcolor="#d6d8d7" stroked="false">
              <v:path arrowok="t"/>
              <v:fill type="solid"/>
            </v:shape>
            <v:shape style="position:absolute;left:724;top:1255;width:1081;height:15" coordorigin="724,1255" coordsize="1081,15" path="m1805,1255l724,1255,724,1259,724,1263,724,1266,724,1270,1805,1270,1805,1266,1805,1263,1805,1259,1805,1255xe" filled="true" fillcolor="#d5d7d6" stroked="false">
              <v:path arrowok="t"/>
              <v:fill type="solid"/>
            </v:shape>
            <v:shape style="position:absolute;left:724;top:1269;width:1081;height:30" coordorigin="724,1270" coordsize="1081,30" path="m1805,1270l724,1270,724,1274,724,1277,724,1300,1805,1300,1805,1274,1805,1270xe" filled="true" fillcolor="#d4d6d5" stroked="false">
              <v:path arrowok="t"/>
              <v:fill type="solid"/>
            </v:shape>
            <v:shape style="position:absolute;left:724;top:1299;width:1081;height:15" coordorigin="724,1300" coordsize="1081,15" path="m1805,1300l724,1300,724,1304,724,1307,724,1311,724,1315,1805,1315,1805,1311,1805,1307,1805,1304,1805,1300xe" filled="true" fillcolor="#d3d5d4" stroked="false">
              <v:path arrowok="t"/>
              <v:fill type="solid"/>
            </v:shape>
            <v:shape style="position:absolute;left:724;top:1314;width:1081;height:15" coordorigin="724,1315" coordsize="1081,15" path="m1805,1315l724,1315,724,1318,724,1322,724,1326,724,1330,1805,1330,1805,1326,1805,1322,1805,1318,1805,1315xe" filled="true" fillcolor="#d2d4d3" stroked="false">
              <v:path arrowok="t"/>
              <v:fill type="solid"/>
            </v:shape>
            <v:shape style="position:absolute;left:724;top:1329;width:1081;height:15" coordorigin="724,1330" coordsize="1081,15" path="m1805,1330l724,1330,724,1333,724,1337,724,1341,724,1345,1805,1345,1805,1341,1805,1337,1805,1333,1805,1330xe" filled="true" fillcolor="#d1d3d2" stroked="false">
              <v:path arrowok="t"/>
              <v:fill type="solid"/>
            </v:shape>
            <v:shape style="position:absolute;left:724;top:1344;width:1081;height:15" coordorigin="724,1345" coordsize="1081,15" path="m1805,1345l724,1345,724,1348,724,1352,724,1356,724,1359,1805,1359,1805,1356,1805,1352,1805,1348,1805,1345xe" filled="true" fillcolor="#d0d2d1" stroked="false">
              <v:path arrowok="t"/>
              <v:fill type="solid"/>
            </v:shape>
            <v:shape style="position:absolute;left:724;top:1359;width:1081;height:15" coordorigin="724,1359" coordsize="1081,15" path="m1805,1359l724,1359,724,1363,724,1367,724,1371,724,1374,1805,1374,1805,1371,1805,1367,1805,1363,1805,1359xe" filled="true" fillcolor="#cfd2d1" stroked="false">
              <v:path arrowok="t"/>
              <v:fill type="solid"/>
            </v:shape>
            <v:shape style="position:absolute;left:724;top:1374;width:1081;height:15" coordorigin="724,1374" coordsize="1081,15" path="m1805,1374l724,1374,724,1378,724,1382,724,1386,724,1389,1805,1389,1805,1386,1805,1382,1805,1378,1805,1374xe" filled="true" fillcolor="#ced1d0" stroked="false">
              <v:path arrowok="t"/>
              <v:fill type="solid"/>
            </v:shape>
            <v:shape style="position:absolute;left:724;top:1389;width:1081;height:15" coordorigin="724,1389" coordsize="1081,15" path="m1805,1389l724,1389,724,1393,724,1397,724,1400,724,1404,1805,1404,1805,1400,1805,1397,1805,1393,1805,1389xe" filled="true" fillcolor="#cdd0cf" stroked="false">
              <v:path arrowok="t"/>
              <v:fill type="solid"/>
            </v:shape>
            <v:shape style="position:absolute;left:724;top:1404;width:1081;height:15" coordorigin="724,1404" coordsize="1081,15" path="m1805,1404l724,1404,724,1408,724,1412,724,1415,724,1419,1805,1419,1805,1415,1805,1412,1805,1408,1805,1404xe" filled="true" fillcolor="#cdcece" stroked="false">
              <v:path arrowok="t"/>
              <v:fill type="solid"/>
            </v:shape>
            <v:shape style="position:absolute;left:724;top:1419;width:1081;height:8" coordorigin="724,1419" coordsize="1081,8" path="m1805,1419l724,1419,724,1423,724,1427,1805,1427,1805,1423,1805,1419xe" filled="true" fillcolor="#cccdcd" stroked="false">
              <v:path arrowok="t"/>
              <v:fill type="solid"/>
            </v:shape>
            <v:shape style="position:absolute;left:724;top:1426;width:1081;height:8" coordorigin="724,1427" coordsize="1081,8" path="m1805,1427l724,1427,724,1430,724,1434,1805,1434,1805,1430,1805,1427xe" filled="true" fillcolor="#cbcdcd" stroked="false">
              <v:path arrowok="t"/>
              <v:fill type="solid"/>
            </v:shape>
            <v:shape style="position:absolute;left:724;top:1434;width:1081;height:19" coordorigin="724,1434" coordsize="1081,19" path="m1805,1434l724,1434,724,1438,724,1441,724,1445,724,1449,724,1453,1805,1453,1805,1449,1805,1445,1805,1441,1805,1438,1805,1434xe" filled="true" fillcolor="#cacccc" stroked="false">
              <v:path arrowok="t"/>
              <v:fill type="solid"/>
            </v:shape>
            <v:shape style="position:absolute;left:724;top:1452;width:1081;height:15" coordorigin="724,1453" coordsize="1081,15" path="m1805,1453l724,1453,724,1456,724,1460,724,1464,724,1468,1805,1468,1805,1464,1805,1460,1805,1456,1805,1453xe" filled="true" fillcolor="#c9cbcb" stroked="false">
              <v:path arrowok="t"/>
              <v:fill type="solid"/>
            </v:shape>
            <v:shape style="position:absolute;left:724;top:1467;width:1081;height:15" coordorigin="724,1468" coordsize="1081,15" path="m1805,1468l724,1468,724,1471,724,1475,724,1479,724,1482,1805,1482,1805,1479,1805,1475,1805,1471,1805,1468xe" filled="true" fillcolor="#c7c9c8" stroked="false">
              <v:path arrowok="t"/>
              <v:fill type="solid"/>
            </v:shape>
            <v:shape style="position:absolute;left:724;top:1482;width:1081;height:15" coordorigin="724,1482" coordsize="1081,15" path="m1805,1482l724,1482,724,1486,724,1490,724,1494,724,1497,1805,1497,1805,1494,1805,1490,1805,1486,1805,1482xe" filled="true" fillcolor="#c6c8c8" stroked="false">
              <v:path arrowok="t"/>
              <v:fill type="solid"/>
            </v:shape>
            <v:shape style="position:absolute;left:724;top:1497;width:1081;height:15" coordorigin="724,1497" coordsize="1081,15" path="m1805,1497l724,1497,724,1501,724,1505,724,1509,724,1512,1805,1512,1805,1509,1805,1505,1805,1501,1805,1497xe" filled="true" fillcolor="#c5c7c7" stroked="false">
              <v:path arrowok="t"/>
              <v:fill type="solid"/>
            </v:shape>
            <v:shape style="position:absolute;left:724;top:1512;width:1081;height:15" coordorigin="724,1512" coordsize="1081,15" path="m1805,1512l724,1512,724,1516,724,1520,724,1523,724,1527,1805,1527,1805,1523,1805,1520,1805,1516,1805,1512xe" filled="true" fillcolor="#c4c6c6" stroked="false">
              <v:path arrowok="t"/>
              <v:fill type="solid"/>
            </v:shape>
            <v:shape style="position:absolute;left:724;top:1527;width:1081;height:15" coordorigin="724,1527" coordsize="1081,15" path="m1805,1527l724,1527,724,1531,724,1535,724,1538,724,1542,1805,1542,1805,1538,1805,1535,1805,1531,1805,1527xe" filled="true" fillcolor="#c4c5c5" stroked="false">
              <v:path arrowok="t"/>
              <v:fill type="solid"/>
            </v:shape>
            <v:shape style="position:absolute;left:724;top:1542;width:1081;height:15" coordorigin="724,1542" coordsize="1081,15" path="m1805,1542l724,1542,724,1546,724,1550,724,1553,724,1557,1805,1557,1805,1553,1805,1550,1805,1546,1805,1542xe" filled="true" fillcolor="#c3c4c5" stroked="false">
              <v:path arrowok="t"/>
              <v:fill type="solid"/>
            </v:shape>
            <v:shape style="position:absolute;left:724;top:1557;width:1081;height:15" coordorigin="724,1557" coordsize="1081,15" path="m1805,1557l724,1557,724,1561,724,1565,724,1568,724,1572,1805,1572,1805,1568,1805,1565,1805,1561,1805,1557xe" filled="true" fillcolor="#c2c3c3" stroked="false">
              <v:path arrowok="t"/>
              <v:fill type="solid"/>
            </v:shape>
            <v:shape style="position:absolute;left:724;top:1571;width:1081;height:15" coordorigin="724,1572" coordsize="1081,15" path="m1805,1572l724,1572,724,1576,724,1579,724,1583,724,1587,1805,1587,1805,1583,1805,1579,1805,1576,1805,1572xe" filled="true" fillcolor="#c1c2c2" stroked="false">
              <v:path arrowok="t"/>
              <v:fill type="solid"/>
            </v:shape>
            <v:shape style="position:absolute;left:724;top:1586;width:1081;height:15" coordorigin="724,1587" coordsize="1081,15" path="m1805,1587l724,1587,724,1591,724,1594,724,1598,724,1602,1805,1602,1805,1598,1805,1594,1805,1591,1805,1587xe" filled="true" fillcolor="#c0c2c2" stroked="false">
              <v:path arrowok="t"/>
              <v:fill type="solid"/>
            </v:shape>
            <v:shape style="position:absolute;left:724;top:1601;width:1081;height:15" coordorigin="724,1602" coordsize="1081,15" path="m1805,1602l724,1602,724,1606,724,1609,724,1613,724,1617,1805,1617,1805,1613,1805,1609,1805,1606,1805,1602xe" filled="true" fillcolor="#bec0c0" stroked="false">
              <v:path arrowok="t"/>
              <v:fill type="solid"/>
            </v:shape>
            <v:shape style="position:absolute;left:724;top:1616;width:1081;height:15" coordorigin="724,1617" coordsize="1081,15" path="m1805,1617l724,1617,724,1620,724,1624,724,1628,724,1632,1805,1632,1805,1628,1805,1624,1805,1620,1805,1617xe" filled="true" fillcolor="#bdbfbf" stroked="false">
              <v:path arrowok="t"/>
              <v:fill type="solid"/>
            </v:shape>
            <v:shape style="position:absolute;left:724;top:1631;width:1081;height:15" coordorigin="724,1632" coordsize="1081,15" path="m1805,1632l724,1632,724,1635,724,1639,724,1643,724,1647,1805,1647,1805,1643,1805,1639,1805,1635,1805,1632xe" filled="true" fillcolor="#bcbebe" stroked="false">
              <v:path arrowok="t"/>
              <v:fill type="solid"/>
            </v:shape>
            <v:shape style="position:absolute;left:724;top:1646;width:1081;height:15" coordorigin="724,1647" coordsize="1081,15" path="m1805,1654l724,1654,724,1656,725,1656,725,1658,725,1658,726,1661,1803,1661,1804,1658,1804,1658,1804,1656,1805,1656,1805,1654xm1805,1647l724,1647,724,1650,724,1654,1805,1654,1805,1650,1805,1647xe" filled="true" fillcolor="#babdbd" stroked="false">
              <v:path arrowok="t"/>
              <v:fill type="solid"/>
            </v:shape>
            <v:shape style="position:absolute;left:725;top:1661;width:1078;height:19" coordorigin="726,1661" coordsize="1078,19" path="m1803,1661l726,1661,726,1665,729,1669,731,1673,737,1676,738,1676,738,1678,746,1678,746,1680,1783,1680,1783,1678,1791,1678,1791,1676,1792,1676,1797,1673,1800,1669,1803,1665,1803,1661xe" filled="true" fillcolor="#babcbc" stroked="false">
              <v:path arrowok="t"/>
              <v:fill type="solid"/>
            </v:shape>
            <v:shape style="position:absolute;left:724;top:599;width:1080;height:1080" coordorigin="725,600" coordsize="1080,1080" path="m749,600l1781,600,1794,600,1805,610,1805,624,1805,1656,1805,1669,1794,1680,1781,1680,749,1680,735,1680,725,1669,725,1656,725,624,725,610,735,600,749,600xe" filled="false" stroked="true" strokeweight=".45pt" strokecolor="#888788">
              <v:path arrowok="t"/>
              <v:stroke dashstyle="solid"/>
            </v:shape>
            <v:shape style="position:absolute;left:890;top:1284;width:489;height:126" type="#_x0000_t75" stroked="false">
              <v:imagedata r:id="rId7" o:title=""/>
            </v:shape>
            <v:shape style="position:absolute;left:1426;top:1286;width:213;height:123" type="#_x0000_t75" stroked="false">
              <v:imagedata r:id="rId8" o:title=""/>
            </v:shape>
            <v:shape style="position:absolute;left:954;top:1443;width:617;height:153" type="#_x0000_t75" stroked="false">
              <v:imagedata r:id="rId9" o:title=""/>
            </v:shape>
            <v:shape style="position:absolute;left:1136;top:698;width:256;height:375" type="#_x0000_t75" stroked="false">
              <v:imagedata r:id="rId10" o:title=""/>
            </v:shape>
            <v:shape style="position:absolute;left:982;top:653;width:564;height:564" coordorigin="983,654" coordsize="564,564" path="m1265,654l1190,664,1122,692,1065,736,1021,793,993,861,983,936,993,1011,1021,1078,1065,1135,1122,1179,1190,1208,1265,1218,1339,1208,1407,1179,1446,1149,1265,1149,1197,1138,1139,1108,1093,1061,1062,1003,1052,936,1062,868,1093,810,1139,764,1197,734,1265,723,1446,723,1407,692,1339,664,1265,654xm1446,723l1265,723,1332,734,1390,764,1436,810,1467,868,1478,936,1467,1003,1436,1061,1390,1108,1332,1138,1265,1149,1446,1149,1464,1135,1508,1078,1536,1011,1547,936,1536,861,1508,793,1464,736,1446,723xe" filled="true" fillcolor="#38b3c7" stroked="false">
              <v:path arrowok="t"/>
              <v:fill type="solid"/>
            </v:shape>
            <v:shape style="position:absolute;left:983;top:819;width:498;height:399" coordorigin="983,819" coordsize="498,399" path="m1008,819l986,891,983,964,999,1035,1032,1099,1082,1153,1145,1193,1217,1215,1290,1218,1361,1202,1425,1168,1481,1117,1421,1080,1367,1121,1305,1144,1240,1146,1176,1128,1120,1090,1080,1040,1057,982,1053,919,1067,857,1008,819xe" filled="true" fillcolor="#ffc43d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w w:val="95"/>
          <w:sz w:val="16"/>
        </w:rPr>
        <w:t>3</w:t>
      </w:r>
      <w:r>
        <w:rPr>
          <w:rFonts w:ascii="Arial"/>
          <w:b/>
          <w:spacing w:val="44"/>
          <w:sz w:val="16"/>
        </w:rPr>
        <w:t> </w:t>
      </w:r>
      <w:r>
        <w:rPr>
          <w:rFonts w:ascii="Arial MT"/>
          <w:w w:val="95"/>
          <w:sz w:val="16"/>
        </w:rPr>
        <w:t>Department of</w:t>
      </w:r>
      <w:r>
        <w:rPr>
          <w:rFonts w:ascii="Arial MT"/>
          <w:spacing w:val="4"/>
          <w:w w:val="95"/>
          <w:sz w:val="16"/>
        </w:rPr>
        <w:t> </w:t>
      </w:r>
      <w:r>
        <w:rPr>
          <w:rFonts w:ascii="Arial MT"/>
          <w:w w:val="95"/>
          <w:sz w:val="16"/>
        </w:rPr>
        <w:t>Epidemiology,</w:t>
      </w:r>
      <w:r>
        <w:rPr>
          <w:rFonts w:ascii="Arial MT"/>
          <w:spacing w:val="4"/>
          <w:w w:val="95"/>
          <w:sz w:val="16"/>
        </w:rPr>
        <w:t> </w:t>
      </w:r>
      <w:r>
        <w:rPr>
          <w:rFonts w:ascii="Arial MT"/>
          <w:w w:val="95"/>
          <w:sz w:val="16"/>
        </w:rPr>
        <w:t>Biostatistics</w:t>
      </w:r>
      <w:r>
        <w:rPr>
          <w:rFonts w:ascii="Arial MT"/>
          <w:spacing w:val="2"/>
          <w:w w:val="95"/>
          <w:sz w:val="16"/>
        </w:rPr>
        <w:t> </w:t>
      </w:r>
      <w:r>
        <w:rPr>
          <w:rFonts w:ascii="Arial MT"/>
          <w:w w:val="95"/>
          <w:sz w:val="16"/>
        </w:rPr>
        <w:t>&amp;</w:t>
      </w:r>
      <w:r>
        <w:rPr>
          <w:rFonts w:ascii="Arial MT"/>
          <w:spacing w:val="4"/>
          <w:w w:val="95"/>
          <w:sz w:val="16"/>
        </w:rPr>
        <w:t> </w:t>
      </w:r>
      <w:r>
        <w:rPr>
          <w:rFonts w:ascii="Arial MT"/>
          <w:w w:val="95"/>
          <w:sz w:val="16"/>
        </w:rPr>
        <w:t>Evidence</w:t>
      </w:r>
      <w:r>
        <w:rPr>
          <w:rFonts w:ascii="Arial MT"/>
          <w:spacing w:val="1"/>
          <w:w w:val="95"/>
          <w:sz w:val="16"/>
        </w:rPr>
        <w:t> </w:t>
      </w:r>
      <w:r>
        <w:rPr>
          <w:rFonts w:ascii="Arial MT"/>
          <w:w w:val="95"/>
          <w:sz w:val="16"/>
        </w:rPr>
        <w:t>Based</w:t>
      </w:r>
      <w:r>
        <w:rPr>
          <w:rFonts w:ascii="Arial MT"/>
          <w:spacing w:val="4"/>
          <w:w w:val="95"/>
          <w:sz w:val="16"/>
        </w:rPr>
        <w:t> </w:t>
      </w:r>
      <w:r>
        <w:rPr>
          <w:rFonts w:ascii="Arial MT"/>
          <w:w w:val="95"/>
          <w:sz w:val="16"/>
        </w:rPr>
        <w:t>Medicine,</w:t>
      </w:r>
      <w:r>
        <w:rPr>
          <w:rFonts w:ascii="Arial MT"/>
          <w:spacing w:val="3"/>
          <w:w w:val="95"/>
          <w:sz w:val="16"/>
        </w:rPr>
        <w:t> </w:t>
      </w:r>
      <w:r>
        <w:rPr>
          <w:rFonts w:ascii="Arial MT"/>
          <w:w w:val="95"/>
          <w:sz w:val="16"/>
        </w:rPr>
        <w:t>Al-Farabi</w:t>
      </w:r>
      <w:r>
        <w:rPr>
          <w:rFonts w:ascii="Arial MT"/>
          <w:spacing w:val="2"/>
          <w:w w:val="95"/>
          <w:sz w:val="16"/>
        </w:rPr>
        <w:t> </w:t>
      </w:r>
      <w:r>
        <w:rPr>
          <w:rFonts w:ascii="Arial MT"/>
          <w:w w:val="95"/>
          <w:sz w:val="16"/>
        </w:rPr>
        <w:t>Kazakh</w:t>
      </w:r>
      <w:r>
        <w:rPr>
          <w:rFonts w:ascii="Arial MT"/>
          <w:spacing w:val="3"/>
          <w:w w:val="95"/>
          <w:sz w:val="16"/>
        </w:rPr>
        <w:t> </w:t>
      </w:r>
      <w:r>
        <w:rPr>
          <w:rFonts w:ascii="Arial MT"/>
          <w:w w:val="95"/>
          <w:sz w:val="16"/>
        </w:rPr>
        <w:t>National</w:t>
      </w:r>
      <w:r>
        <w:rPr>
          <w:rFonts w:ascii="Arial MT"/>
          <w:spacing w:val="1"/>
          <w:w w:val="95"/>
          <w:sz w:val="16"/>
        </w:rPr>
        <w:t> </w:t>
      </w:r>
      <w:r>
        <w:rPr>
          <w:rFonts w:ascii="Arial MT"/>
          <w:spacing w:val="-2"/>
          <w:sz w:val="16"/>
        </w:rPr>
        <w:t>University, Almaty, </w:t>
      </w:r>
      <w:r>
        <w:rPr>
          <w:rFonts w:ascii="Arial MT"/>
          <w:spacing w:val="-1"/>
          <w:sz w:val="16"/>
        </w:rPr>
        <w:t>Republic of Kazakhstan, </w:t>
      </w:r>
      <w:r>
        <w:rPr>
          <w:rFonts w:ascii="Arial"/>
          <w:b/>
          <w:spacing w:val="-1"/>
          <w:sz w:val="16"/>
        </w:rPr>
        <w:t>4 </w:t>
      </w:r>
      <w:r>
        <w:rPr>
          <w:rFonts w:ascii="Arial MT"/>
          <w:spacing w:val="-1"/>
          <w:sz w:val="16"/>
        </w:rPr>
        <w:t>Department of Psychiatry and Narcology, NJSC "Astana</w:t>
      </w:r>
      <w:r>
        <w:rPr>
          <w:rFonts w:ascii="Arial MT"/>
          <w:sz w:val="16"/>
        </w:rPr>
        <w:t> </w:t>
      </w:r>
      <w:r>
        <w:rPr>
          <w:rFonts w:ascii="Arial MT"/>
          <w:spacing w:val="-2"/>
          <w:sz w:val="16"/>
        </w:rPr>
        <w:t>Medical University", Nur-Sultan, </w:t>
      </w:r>
      <w:r>
        <w:rPr>
          <w:rFonts w:ascii="Arial MT"/>
          <w:spacing w:val="-1"/>
          <w:sz w:val="16"/>
        </w:rPr>
        <w:t>Republic of Kazakhstan, </w:t>
      </w:r>
      <w:r>
        <w:rPr>
          <w:rFonts w:ascii="Arial"/>
          <w:b/>
          <w:spacing w:val="-1"/>
          <w:sz w:val="16"/>
        </w:rPr>
        <w:t>5 </w:t>
      </w:r>
      <w:r>
        <w:rPr>
          <w:rFonts w:ascii="Arial MT"/>
          <w:spacing w:val="-1"/>
          <w:sz w:val="16"/>
        </w:rPr>
        <w:t>Department of Emergency Medicine, NJSC</w:t>
      </w:r>
      <w:r>
        <w:rPr>
          <w:rFonts w:ascii="Arial MT"/>
          <w:sz w:val="16"/>
        </w:rPr>
        <w:t> </w:t>
      </w:r>
      <w:r>
        <w:rPr>
          <w:rFonts w:ascii="Arial MT"/>
          <w:w w:val="95"/>
          <w:sz w:val="16"/>
        </w:rPr>
        <w:t>"Semey</w:t>
      </w:r>
      <w:r>
        <w:rPr>
          <w:rFonts w:ascii="Arial MT"/>
          <w:spacing w:val="7"/>
          <w:w w:val="95"/>
          <w:sz w:val="16"/>
        </w:rPr>
        <w:t> </w:t>
      </w:r>
      <w:r>
        <w:rPr>
          <w:rFonts w:ascii="Arial MT"/>
          <w:w w:val="95"/>
          <w:sz w:val="16"/>
        </w:rPr>
        <w:t>Medical</w:t>
      </w:r>
      <w:r>
        <w:rPr>
          <w:rFonts w:ascii="Arial MT"/>
          <w:spacing w:val="8"/>
          <w:w w:val="95"/>
          <w:sz w:val="16"/>
        </w:rPr>
        <w:t> </w:t>
      </w:r>
      <w:r>
        <w:rPr>
          <w:rFonts w:ascii="Arial MT"/>
          <w:w w:val="95"/>
          <w:sz w:val="16"/>
        </w:rPr>
        <w:t>University",</w:t>
      </w:r>
      <w:r>
        <w:rPr>
          <w:rFonts w:ascii="Arial MT"/>
          <w:spacing w:val="8"/>
          <w:w w:val="95"/>
          <w:sz w:val="16"/>
        </w:rPr>
        <w:t> </w:t>
      </w:r>
      <w:r>
        <w:rPr>
          <w:rFonts w:ascii="Arial MT"/>
          <w:w w:val="95"/>
          <w:sz w:val="16"/>
        </w:rPr>
        <w:t>Semey,</w:t>
      </w:r>
      <w:r>
        <w:rPr>
          <w:rFonts w:ascii="Arial MT"/>
          <w:spacing w:val="7"/>
          <w:w w:val="95"/>
          <w:sz w:val="16"/>
        </w:rPr>
        <w:t> </w:t>
      </w:r>
      <w:r>
        <w:rPr>
          <w:rFonts w:ascii="Arial MT"/>
          <w:w w:val="95"/>
          <w:sz w:val="16"/>
        </w:rPr>
        <w:t>Republic</w:t>
      </w:r>
      <w:r>
        <w:rPr>
          <w:rFonts w:ascii="Arial MT"/>
          <w:spacing w:val="8"/>
          <w:w w:val="95"/>
          <w:sz w:val="16"/>
        </w:rPr>
        <w:t> </w:t>
      </w:r>
      <w:r>
        <w:rPr>
          <w:rFonts w:ascii="Arial MT"/>
          <w:w w:val="95"/>
          <w:sz w:val="16"/>
        </w:rPr>
        <w:t>of</w:t>
      </w:r>
      <w:r>
        <w:rPr>
          <w:rFonts w:ascii="Arial MT"/>
          <w:spacing w:val="9"/>
          <w:w w:val="95"/>
          <w:sz w:val="16"/>
        </w:rPr>
        <w:t> </w:t>
      </w:r>
      <w:r>
        <w:rPr>
          <w:rFonts w:ascii="Arial MT"/>
          <w:w w:val="95"/>
          <w:sz w:val="16"/>
        </w:rPr>
        <w:t>Kazakhstan,</w:t>
      </w:r>
      <w:r>
        <w:rPr>
          <w:rFonts w:ascii="Arial MT"/>
          <w:spacing w:val="10"/>
          <w:w w:val="95"/>
          <w:sz w:val="16"/>
        </w:rPr>
        <w:t> </w:t>
      </w:r>
      <w:r>
        <w:rPr>
          <w:rFonts w:ascii="Arial"/>
          <w:b/>
          <w:w w:val="95"/>
          <w:sz w:val="16"/>
        </w:rPr>
        <w:t>6</w:t>
      </w:r>
      <w:r>
        <w:rPr>
          <w:rFonts w:ascii="Arial"/>
          <w:b/>
          <w:spacing w:val="23"/>
          <w:w w:val="95"/>
          <w:sz w:val="16"/>
        </w:rPr>
        <w:t> </w:t>
      </w:r>
      <w:r>
        <w:rPr>
          <w:rFonts w:ascii="Arial MT"/>
          <w:w w:val="95"/>
          <w:sz w:val="16"/>
        </w:rPr>
        <w:t>Department</w:t>
      </w:r>
      <w:r>
        <w:rPr>
          <w:rFonts w:ascii="Arial MT"/>
          <w:spacing w:val="7"/>
          <w:w w:val="95"/>
          <w:sz w:val="16"/>
        </w:rPr>
        <w:t> </w:t>
      </w:r>
      <w:r>
        <w:rPr>
          <w:rFonts w:ascii="Arial MT"/>
          <w:w w:val="95"/>
          <w:sz w:val="16"/>
        </w:rPr>
        <w:t>of</w:t>
      </w:r>
      <w:r>
        <w:rPr>
          <w:rFonts w:ascii="Arial MT"/>
          <w:spacing w:val="9"/>
          <w:w w:val="95"/>
          <w:sz w:val="16"/>
        </w:rPr>
        <w:t> </w:t>
      </w:r>
      <w:r>
        <w:rPr>
          <w:rFonts w:ascii="Arial MT"/>
          <w:w w:val="95"/>
          <w:sz w:val="16"/>
        </w:rPr>
        <w:t>Personalized</w:t>
      </w:r>
      <w:r>
        <w:rPr>
          <w:rFonts w:ascii="Arial MT"/>
          <w:spacing w:val="10"/>
          <w:w w:val="95"/>
          <w:sz w:val="16"/>
        </w:rPr>
        <w:t> </w:t>
      </w:r>
      <w:r>
        <w:rPr>
          <w:rFonts w:ascii="Arial MT"/>
          <w:w w:val="95"/>
          <w:sz w:val="16"/>
        </w:rPr>
        <w:t>Medicine,</w:t>
      </w:r>
      <w:r>
        <w:rPr>
          <w:rFonts w:ascii="Arial MT"/>
          <w:spacing w:val="7"/>
          <w:w w:val="95"/>
          <w:sz w:val="16"/>
        </w:rPr>
        <w:t> </w:t>
      </w:r>
      <w:r>
        <w:rPr>
          <w:rFonts w:ascii="Arial MT"/>
          <w:w w:val="95"/>
          <w:sz w:val="16"/>
        </w:rPr>
        <w:t>NJSC</w:t>
      </w:r>
      <w:r>
        <w:rPr>
          <w:rFonts w:ascii="Arial MT"/>
          <w:spacing w:val="-40"/>
          <w:w w:val="95"/>
          <w:sz w:val="16"/>
        </w:rPr>
        <w:t> </w:t>
      </w:r>
      <w:r>
        <w:rPr>
          <w:rFonts w:ascii="Arial MT"/>
          <w:w w:val="95"/>
          <w:sz w:val="16"/>
        </w:rPr>
        <w:t>"Semey Medical University", Semey, Republic of Kazakhstan, </w:t>
      </w:r>
      <w:r>
        <w:rPr>
          <w:rFonts w:ascii="Arial"/>
          <w:b/>
          <w:w w:val="95"/>
          <w:sz w:val="16"/>
        </w:rPr>
        <w:t>7</w:t>
      </w:r>
      <w:r>
        <w:rPr>
          <w:rFonts w:ascii="Arial"/>
          <w:b/>
          <w:spacing w:val="1"/>
          <w:w w:val="95"/>
          <w:sz w:val="16"/>
        </w:rPr>
        <w:t> </w:t>
      </w:r>
      <w:r>
        <w:rPr>
          <w:rFonts w:ascii="Arial MT"/>
          <w:w w:val="95"/>
          <w:sz w:val="16"/>
        </w:rPr>
        <w:t>Department of Infectious Diseases and</w:t>
      </w:r>
      <w:r>
        <w:rPr>
          <w:rFonts w:ascii="Arial MT"/>
          <w:spacing w:val="1"/>
          <w:w w:val="95"/>
          <w:sz w:val="16"/>
        </w:rPr>
        <w:t> </w:t>
      </w:r>
      <w:r>
        <w:rPr>
          <w:rFonts w:ascii="Arial MT"/>
          <w:spacing w:val="-2"/>
          <w:sz w:val="16"/>
        </w:rPr>
        <w:t>Immunology, NJSC "Semey Medical </w:t>
      </w:r>
      <w:r>
        <w:rPr>
          <w:rFonts w:ascii="Arial MT"/>
          <w:spacing w:val="-1"/>
          <w:sz w:val="16"/>
        </w:rPr>
        <w:t>University", Semey, Republic of Kazakhstan, </w:t>
      </w:r>
      <w:r>
        <w:rPr>
          <w:rFonts w:ascii="Arial"/>
          <w:b/>
          <w:spacing w:val="-1"/>
          <w:sz w:val="16"/>
        </w:rPr>
        <w:t>8 </w:t>
      </w:r>
      <w:r>
        <w:rPr>
          <w:rFonts w:ascii="Arial MT"/>
          <w:spacing w:val="-1"/>
          <w:sz w:val="16"/>
        </w:rPr>
        <w:t>Department of Clinical</w:t>
      </w:r>
      <w:r>
        <w:rPr>
          <w:rFonts w:ascii="Arial MT"/>
          <w:sz w:val="16"/>
        </w:rPr>
        <w:t> </w:t>
      </w:r>
      <w:r>
        <w:rPr>
          <w:rFonts w:ascii="Arial MT"/>
          <w:w w:val="95"/>
          <w:sz w:val="16"/>
        </w:rPr>
        <w:t>Oncology and</w:t>
      </w:r>
      <w:r>
        <w:rPr>
          <w:rFonts w:ascii="Arial MT"/>
          <w:spacing w:val="-1"/>
          <w:w w:val="95"/>
          <w:sz w:val="16"/>
        </w:rPr>
        <w:t> </w:t>
      </w:r>
      <w:r>
        <w:rPr>
          <w:rFonts w:ascii="Arial MT"/>
          <w:w w:val="95"/>
          <w:sz w:val="16"/>
        </w:rPr>
        <w:t>Nuclear</w:t>
      </w:r>
      <w:r>
        <w:rPr>
          <w:rFonts w:ascii="Arial MT"/>
          <w:spacing w:val="-1"/>
          <w:w w:val="95"/>
          <w:sz w:val="16"/>
        </w:rPr>
        <w:t> </w:t>
      </w:r>
      <w:r>
        <w:rPr>
          <w:rFonts w:ascii="Arial MT"/>
          <w:w w:val="95"/>
          <w:sz w:val="16"/>
        </w:rPr>
        <w:t>Medicine,</w:t>
      </w:r>
      <w:r>
        <w:rPr>
          <w:rFonts w:ascii="Arial MT"/>
          <w:spacing w:val="-2"/>
          <w:w w:val="95"/>
          <w:sz w:val="16"/>
        </w:rPr>
        <w:t> </w:t>
      </w:r>
      <w:r>
        <w:rPr>
          <w:rFonts w:ascii="Arial MT"/>
          <w:w w:val="95"/>
          <w:sz w:val="16"/>
        </w:rPr>
        <w:t>NJSC</w:t>
      </w:r>
      <w:r>
        <w:rPr>
          <w:rFonts w:ascii="Arial MT"/>
          <w:spacing w:val="-1"/>
          <w:w w:val="95"/>
          <w:sz w:val="16"/>
        </w:rPr>
        <w:t> </w:t>
      </w:r>
      <w:r>
        <w:rPr>
          <w:rFonts w:ascii="Arial MT"/>
          <w:w w:val="95"/>
          <w:sz w:val="16"/>
        </w:rPr>
        <w:t>"Semey</w:t>
      </w:r>
      <w:r>
        <w:rPr>
          <w:rFonts w:ascii="Arial MT"/>
          <w:spacing w:val="-2"/>
          <w:w w:val="95"/>
          <w:sz w:val="16"/>
        </w:rPr>
        <w:t> </w:t>
      </w:r>
      <w:r>
        <w:rPr>
          <w:rFonts w:ascii="Arial MT"/>
          <w:w w:val="95"/>
          <w:sz w:val="16"/>
        </w:rPr>
        <w:t>Medical</w:t>
      </w:r>
      <w:r>
        <w:rPr>
          <w:rFonts w:ascii="Arial MT"/>
          <w:spacing w:val="-2"/>
          <w:w w:val="95"/>
          <w:sz w:val="16"/>
        </w:rPr>
        <w:t> </w:t>
      </w:r>
      <w:r>
        <w:rPr>
          <w:rFonts w:ascii="Arial MT"/>
          <w:w w:val="95"/>
          <w:sz w:val="16"/>
        </w:rPr>
        <w:t>University",</w:t>
      </w:r>
      <w:r>
        <w:rPr>
          <w:rFonts w:ascii="Arial MT"/>
          <w:spacing w:val="-2"/>
          <w:w w:val="95"/>
          <w:sz w:val="16"/>
        </w:rPr>
        <w:t> </w:t>
      </w:r>
      <w:r>
        <w:rPr>
          <w:rFonts w:ascii="Arial MT"/>
          <w:w w:val="95"/>
          <w:sz w:val="16"/>
        </w:rPr>
        <w:t>Semey,</w:t>
      </w:r>
      <w:r>
        <w:rPr>
          <w:rFonts w:ascii="Arial MT"/>
          <w:spacing w:val="-2"/>
          <w:w w:val="95"/>
          <w:sz w:val="16"/>
        </w:rPr>
        <w:t> </w:t>
      </w:r>
      <w:r>
        <w:rPr>
          <w:rFonts w:ascii="Arial MT"/>
          <w:w w:val="95"/>
          <w:sz w:val="16"/>
        </w:rPr>
        <w:t>Republic</w:t>
      </w:r>
      <w:r>
        <w:rPr>
          <w:rFonts w:ascii="Arial MT"/>
          <w:spacing w:val="-1"/>
          <w:w w:val="95"/>
          <w:sz w:val="16"/>
        </w:rPr>
        <w:t> </w:t>
      </w:r>
      <w:r>
        <w:rPr>
          <w:rFonts w:ascii="Arial MT"/>
          <w:w w:val="95"/>
          <w:sz w:val="16"/>
        </w:rPr>
        <w:t>of</w:t>
      </w:r>
      <w:r>
        <w:rPr>
          <w:rFonts w:ascii="Arial MT"/>
          <w:spacing w:val="-1"/>
          <w:w w:val="95"/>
          <w:sz w:val="16"/>
        </w:rPr>
        <w:t> </w:t>
      </w:r>
      <w:r>
        <w:rPr>
          <w:rFonts w:ascii="Arial MT"/>
          <w:w w:val="95"/>
          <w:sz w:val="16"/>
        </w:rPr>
        <w:t>Kazakhstan,</w:t>
      </w:r>
    </w:p>
    <w:p>
      <w:pPr>
        <w:spacing w:line="259" w:lineRule="auto" w:before="0"/>
        <w:ind w:left="3420" w:right="348" w:firstLine="0"/>
        <w:jc w:val="left"/>
        <w:rPr>
          <w:rFonts w:ascii="Arial MT"/>
          <w:sz w:val="16"/>
        </w:rPr>
      </w:pPr>
      <w:r>
        <w:rPr>
          <w:rFonts w:ascii="Arial"/>
          <w:b/>
          <w:spacing w:val="-2"/>
          <w:sz w:val="16"/>
        </w:rPr>
        <w:t>9</w:t>
      </w:r>
      <w:r>
        <w:rPr>
          <w:rFonts w:ascii="Arial"/>
          <w:b/>
          <w:spacing w:val="26"/>
          <w:sz w:val="16"/>
        </w:rPr>
        <w:t> </w:t>
      </w:r>
      <w:r>
        <w:rPr>
          <w:rFonts w:ascii="Arial MT"/>
          <w:spacing w:val="-2"/>
          <w:sz w:val="16"/>
        </w:rPr>
        <w:t>Department</w:t>
      </w:r>
      <w:r>
        <w:rPr>
          <w:rFonts w:ascii="Arial MT"/>
          <w:spacing w:val="-13"/>
          <w:sz w:val="16"/>
        </w:rPr>
        <w:t> </w:t>
      </w:r>
      <w:r>
        <w:rPr>
          <w:rFonts w:ascii="Arial MT"/>
          <w:spacing w:val="-2"/>
          <w:sz w:val="16"/>
        </w:rPr>
        <w:t>of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pacing w:val="-2"/>
          <w:sz w:val="16"/>
        </w:rPr>
        <w:t>Neurology,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pacing w:val="-2"/>
          <w:sz w:val="16"/>
        </w:rPr>
        <w:t>Ophthalmology,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1"/>
          <w:sz w:val="16"/>
        </w:rPr>
        <w:t>Otorhinolaryngology,</w:t>
      </w:r>
      <w:r>
        <w:rPr>
          <w:rFonts w:ascii="Arial MT"/>
          <w:spacing w:val="-12"/>
          <w:sz w:val="16"/>
        </w:rPr>
        <w:t> </w:t>
      </w:r>
      <w:r>
        <w:rPr>
          <w:rFonts w:ascii="Arial MT"/>
          <w:spacing w:val="-1"/>
          <w:sz w:val="16"/>
        </w:rPr>
        <w:t>NJSC</w:t>
      </w:r>
      <w:r>
        <w:rPr>
          <w:rFonts w:ascii="Arial MT"/>
          <w:spacing w:val="-9"/>
          <w:sz w:val="16"/>
        </w:rPr>
        <w:t> </w:t>
      </w:r>
      <w:r>
        <w:rPr>
          <w:rFonts w:ascii="Arial MT"/>
          <w:spacing w:val="-1"/>
          <w:sz w:val="16"/>
        </w:rPr>
        <w:t>"Semey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1"/>
          <w:sz w:val="16"/>
        </w:rPr>
        <w:t>Medical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pacing w:val="-1"/>
          <w:sz w:val="16"/>
        </w:rPr>
        <w:t>University",</w:t>
      </w:r>
      <w:r>
        <w:rPr>
          <w:rFonts w:ascii="Arial MT"/>
          <w:spacing w:val="-42"/>
          <w:sz w:val="16"/>
        </w:rPr>
        <w:t> </w:t>
      </w:r>
      <w:r>
        <w:rPr>
          <w:rFonts w:ascii="Arial MT"/>
          <w:sz w:val="16"/>
        </w:rPr>
        <w:t>Semey,</w:t>
      </w:r>
      <w:r>
        <w:rPr>
          <w:rFonts w:ascii="Arial MT"/>
          <w:spacing w:val="-13"/>
          <w:sz w:val="16"/>
        </w:rPr>
        <w:t> </w:t>
      </w:r>
      <w:r>
        <w:rPr>
          <w:rFonts w:ascii="Arial MT"/>
          <w:sz w:val="16"/>
        </w:rPr>
        <w:t>Republic</w:t>
      </w:r>
      <w:r>
        <w:rPr>
          <w:rFonts w:ascii="Arial MT"/>
          <w:spacing w:val="-12"/>
          <w:sz w:val="16"/>
        </w:rPr>
        <w:t> </w:t>
      </w:r>
      <w:r>
        <w:rPr>
          <w:rFonts w:ascii="Arial MT"/>
          <w:sz w:val="16"/>
        </w:rPr>
        <w:t>of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z w:val="16"/>
        </w:rPr>
        <w:t>Kazakhstan</w:t>
      </w:r>
    </w:p>
    <w:p>
      <w:pPr>
        <w:pStyle w:val="BodyText"/>
        <w:spacing w:before="2"/>
        <w:rPr>
          <w:rFonts w:ascii="Arial MT"/>
          <w:sz w:val="17"/>
        </w:rPr>
      </w:pPr>
    </w:p>
    <w:p>
      <w:pPr>
        <w:spacing w:before="0"/>
        <w:ind w:left="3420" w:right="0" w:firstLine="0"/>
        <w:jc w:val="left"/>
        <w:rPr>
          <w:rFonts w:ascii="Arial MT"/>
          <w:sz w:val="16"/>
        </w:rPr>
      </w:pPr>
      <w:r>
        <w:rPr>
          <w:rFonts w:ascii="Consolas"/>
          <w:spacing w:val="-2"/>
          <w:sz w:val="16"/>
        </w:rPr>
        <w:t>*</w:t>
      </w:r>
      <w:r>
        <w:rPr>
          <w:rFonts w:ascii="Consolas"/>
          <w:spacing w:val="-49"/>
          <w:sz w:val="16"/>
        </w:rPr>
        <w:t> </w:t>
      </w:r>
      <w:hyperlink r:id="rId11">
        <w:r>
          <w:rPr>
            <w:rFonts w:ascii="Arial MT"/>
            <w:color w:val="3E65AC"/>
            <w:spacing w:val="-2"/>
            <w:sz w:val="16"/>
          </w:rPr>
          <w:t>laura.kassym@gmail.com</w:t>
        </w:r>
      </w:hyperlink>
    </w:p>
    <w:p>
      <w:pPr>
        <w:pStyle w:val="BodyText"/>
        <w:spacing w:line="20" w:lineRule="exact"/>
        <w:ind w:left="3543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90.3pt;height:.1pt;mso-position-horizontal-relative:char;mso-position-vertical-relative:line" coordorigin="0,0" coordsize="1806,2">
            <v:shape style="position:absolute;left:0;top:0;width:1806;height:2" coordorigin="0,0" coordsize="1806,0" path="m1805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BodyText"/>
        <w:spacing w:before="5"/>
        <w:rPr>
          <w:rFonts w:ascii="Arial MT"/>
          <w:sz w:val="5"/>
        </w:rPr>
      </w:pPr>
    </w:p>
    <w:p>
      <w:pPr>
        <w:pStyle w:val="BodyText"/>
        <w:spacing w:line="20" w:lineRule="exact"/>
        <w:ind w:left="14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52pt;height:.5pt;mso-position-horizontal-relative:char;mso-position-vertical-relative:line" coordorigin="0,0" coordsize="3040,10">
            <v:rect style="position:absolute;left:0;top:0;width:3040;height:10" filled="true" fillcolor="#949598" stroked="false">
              <v:fill type="solid"/>
            </v:rect>
          </v:group>
        </w:pict>
      </w:r>
      <w:r>
        <w:rPr>
          <w:rFonts w:ascii="Arial MT"/>
          <w:sz w:val="2"/>
        </w:rPr>
      </w:r>
    </w:p>
    <w:p>
      <w:pPr>
        <w:pStyle w:val="BodyText"/>
        <w:spacing w:before="2"/>
        <w:rPr>
          <w:rFonts w:ascii="Arial MT"/>
          <w:sz w:val="24"/>
        </w:rPr>
      </w:pPr>
    </w:p>
    <w:p>
      <w:pPr>
        <w:spacing w:after="0"/>
        <w:rPr>
          <w:rFonts w:ascii="Arial MT"/>
          <w:sz w:val="24"/>
        </w:rPr>
        <w:sectPr>
          <w:footerReference w:type="default" r:id="rId5"/>
          <w:type w:val="continuous"/>
          <w:pgSz w:w="12240" w:h="15840"/>
          <w:pgMar w:footer="680" w:top="480" w:bottom="880" w:left="580" w:right="600"/>
          <w:pgNumType w:start="1"/>
        </w:sectPr>
      </w:pPr>
    </w:p>
    <w:p>
      <w:pPr>
        <w:spacing w:before="17"/>
        <w:ind w:left="140" w:right="0" w:firstLine="0"/>
        <w:jc w:val="left"/>
        <w:rPr>
          <w:rFonts w:ascii="Arial MT"/>
          <w:sz w:val="16"/>
        </w:rPr>
      </w:pPr>
      <w:r>
        <w:rPr/>
        <w:drawing>
          <wp:inline distT="0" distB="0" distL="0" distR="0">
            <wp:extent cx="115200" cy="149039"/>
            <wp:effectExtent l="0" t="0" r="0" b="0"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4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1"/>
          <w:position w:val="1"/>
          <w:sz w:val="20"/>
        </w:rPr>
        <w:t> </w:t>
      </w:r>
      <w:r>
        <w:rPr>
          <w:rFonts w:ascii="Arial MT"/>
          <w:spacing w:val="-1"/>
          <w:position w:val="1"/>
          <w:sz w:val="16"/>
        </w:rPr>
        <w:t>OPEN</w:t>
      </w:r>
      <w:r>
        <w:rPr>
          <w:rFonts w:ascii="Arial MT"/>
          <w:spacing w:val="-11"/>
          <w:position w:val="1"/>
          <w:sz w:val="16"/>
        </w:rPr>
        <w:t> </w:t>
      </w:r>
      <w:r>
        <w:rPr>
          <w:rFonts w:ascii="Arial MT"/>
          <w:spacing w:val="-1"/>
          <w:position w:val="1"/>
          <w:sz w:val="16"/>
        </w:rPr>
        <w:t>ACCESS</w:t>
      </w:r>
    </w:p>
    <w:p>
      <w:pPr>
        <w:spacing w:line="288" w:lineRule="auto" w:before="146"/>
        <w:ind w:left="140" w:right="88" w:firstLine="0"/>
        <w:jc w:val="left"/>
        <w:rPr>
          <w:rFonts w:ascii="Arial MT"/>
          <w:sz w:val="16"/>
        </w:rPr>
      </w:pPr>
      <w:r>
        <w:rPr/>
        <w:pict>
          <v:shape style="position:absolute;margin-left:89.291298pt;margin-top:59.874924pt;width:92.7pt;height:.1pt;mso-position-horizontal-relative:page;mso-position-vertical-relative:paragraph;z-index:-16738304" coordorigin="1786,1197" coordsize="1854,0" path="m3640,1197l1786,1197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pt;margin-top:70.929924pt;width:43.3pt;height:.1pt;mso-position-horizontal-relative:page;mso-position-vertical-relative:paragraph;z-index:-16737792" coordorigin="720,1419" coordsize="866,0" path="m1585,1419l720,1419e" filled="true" fillcolor="#3e65ac" stroked="false">
            <v:path arrowok="t"/>
            <v:fill type="solid"/>
            <w10:wrap type="none"/>
          </v:shape>
        </w:pict>
      </w:r>
      <w:r>
        <w:rPr>
          <w:rFonts w:ascii="Arial"/>
          <w:b/>
          <w:spacing w:val="-3"/>
          <w:w w:val="85"/>
          <w:sz w:val="16"/>
        </w:rPr>
        <w:t>Citation: </w:t>
      </w:r>
      <w:r>
        <w:rPr>
          <w:rFonts w:ascii="Arial MT"/>
          <w:spacing w:val="-3"/>
          <w:w w:val="85"/>
          <w:sz w:val="16"/>
        </w:rPr>
        <w:t>Kussainova </w:t>
      </w:r>
      <w:r>
        <w:rPr>
          <w:rFonts w:ascii="Arial MT"/>
          <w:spacing w:val="-2"/>
          <w:w w:val="85"/>
          <w:sz w:val="16"/>
        </w:rPr>
        <w:t>A, Kassym L, Bekenova N,</w:t>
      </w:r>
      <w:r>
        <w:rPr>
          <w:rFonts w:ascii="Arial MT"/>
          <w:spacing w:val="-1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Akhmetova A, Glushkova </w:t>
      </w:r>
      <w:r>
        <w:rPr>
          <w:rFonts w:ascii="Arial MT"/>
          <w:spacing w:val="-1"/>
          <w:w w:val="85"/>
          <w:sz w:val="16"/>
        </w:rPr>
        <w:t>N, Kussainov A, et al.</w:t>
      </w:r>
      <w:r>
        <w:rPr>
          <w:rFonts w:ascii="Arial MT"/>
          <w:w w:val="85"/>
          <w:sz w:val="16"/>
        </w:rPr>
        <w:t> (2022)</w:t>
      </w:r>
      <w:r>
        <w:rPr>
          <w:rFonts w:ascii="Arial MT"/>
          <w:spacing w:val="-8"/>
          <w:w w:val="85"/>
          <w:sz w:val="16"/>
        </w:rPr>
        <w:t> </w:t>
      </w:r>
      <w:r>
        <w:rPr>
          <w:rFonts w:ascii="Arial MT"/>
          <w:w w:val="85"/>
          <w:sz w:val="16"/>
        </w:rPr>
        <w:t>Gene</w:t>
      </w:r>
      <w:r>
        <w:rPr>
          <w:rFonts w:ascii="Arial MT"/>
          <w:spacing w:val="-6"/>
          <w:w w:val="85"/>
          <w:sz w:val="16"/>
        </w:rPr>
        <w:t> </w:t>
      </w:r>
      <w:r>
        <w:rPr>
          <w:rFonts w:ascii="Arial MT"/>
          <w:w w:val="85"/>
          <w:sz w:val="16"/>
        </w:rPr>
        <w:t>polymorphisms</w:t>
      </w:r>
      <w:r>
        <w:rPr>
          <w:rFonts w:ascii="Arial MT"/>
          <w:spacing w:val="-6"/>
          <w:w w:val="85"/>
          <w:sz w:val="16"/>
        </w:rPr>
        <w:t> </w:t>
      </w:r>
      <w:r>
        <w:rPr>
          <w:rFonts w:ascii="Arial MT"/>
          <w:w w:val="85"/>
          <w:sz w:val="16"/>
        </w:rPr>
        <w:t>and</w:t>
      </w:r>
      <w:r>
        <w:rPr>
          <w:rFonts w:ascii="Arial MT"/>
          <w:spacing w:val="-6"/>
          <w:w w:val="85"/>
          <w:sz w:val="16"/>
        </w:rPr>
        <w:t> </w:t>
      </w:r>
      <w:r>
        <w:rPr>
          <w:rFonts w:ascii="Arial MT"/>
          <w:w w:val="85"/>
          <w:sz w:val="16"/>
        </w:rPr>
        <w:t>serum</w:t>
      </w:r>
      <w:r>
        <w:rPr>
          <w:rFonts w:ascii="Arial MT"/>
          <w:spacing w:val="-7"/>
          <w:w w:val="85"/>
          <w:sz w:val="16"/>
        </w:rPr>
        <w:t> </w:t>
      </w:r>
      <w:r>
        <w:rPr>
          <w:rFonts w:ascii="Arial MT"/>
          <w:w w:val="85"/>
          <w:sz w:val="16"/>
        </w:rPr>
        <w:t>levels</w:t>
      </w:r>
      <w:r>
        <w:rPr>
          <w:rFonts w:ascii="Arial MT"/>
          <w:spacing w:val="-6"/>
          <w:w w:val="85"/>
          <w:sz w:val="16"/>
        </w:rPr>
        <w:t> </w:t>
      </w:r>
      <w:r>
        <w:rPr>
          <w:rFonts w:ascii="Arial MT"/>
          <w:w w:val="85"/>
          <w:sz w:val="16"/>
        </w:rPr>
        <w:t>of</w:t>
      </w:r>
      <w:r>
        <w:rPr>
          <w:rFonts w:ascii="Arial MT"/>
          <w:spacing w:val="-34"/>
          <w:w w:val="85"/>
          <w:sz w:val="16"/>
        </w:rPr>
        <w:t> </w:t>
      </w:r>
      <w:r>
        <w:rPr>
          <w:rFonts w:ascii="Arial MT"/>
          <w:spacing w:val="-3"/>
          <w:w w:val="85"/>
          <w:sz w:val="16"/>
        </w:rPr>
        <w:t>BDNF and </w:t>
      </w:r>
      <w:r>
        <w:rPr>
          <w:rFonts w:ascii="Arial MT"/>
          <w:spacing w:val="-2"/>
          <w:w w:val="85"/>
          <w:sz w:val="16"/>
        </w:rPr>
        <w:t>CRH in vitiligo patients. PLoS ONE</w:t>
      </w:r>
      <w:r>
        <w:rPr>
          <w:rFonts w:ascii="Arial MT"/>
          <w:spacing w:val="-1"/>
          <w:w w:val="85"/>
          <w:sz w:val="16"/>
        </w:rPr>
        <w:t> </w:t>
      </w:r>
      <w:r>
        <w:rPr>
          <w:rFonts w:ascii="Arial MT"/>
          <w:spacing w:val="-4"/>
          <w:w w:val="90"/>
          <w:sz w:val="16"/>
        </w:rPr>
        <w:t>17(7):</w:t>
      </w:r>
      <w:r>
        <w:rPr>
          <w:rFonts w:ascii="Arial MT"/>
          <w:spacing w:val="-2"/>
          <w:w w:val="90"/>
          <w:sz w:val="16"/>
        </w:rPr>
        <w:t> </w:t>
      </w:r>
      <w:r>
        <w:rPr>
          <w:rFonts w:ascii="Arial MT"/>
          <w:spacing w:val="-4"/>
          <w:w w:val="90"/>
          <w:sz w:val="16"/>
        </w:rPr>
        <w:t>e0271719.</w:t>
      </w:r>
      <w:r>
        <w:rPr>
          <w:rFonts w:ascii="Arial MT"/>
          <w:spacing w:val="-1"/>
          <w:w w:val="90"/>
          <w:sz w:val="16"/>
        </w:rPr>
        <w:t> </w:t>
      </w:r>
      <w:hyperlink r:id="rId13">
        <w:r>
          <w:rPr>
            <w:rFonts w:ascii="Arial MT"/>
            <w:color w:val="3E65AC"/>
            <w:spacing w:val="-4"/>
            <w:w w:val="90"/>
            <w:sz w:val="16"/>
          </w:rPr>
          <w:t>https://doi.org/10.1371/journal.</w:t>
        </w:r>
      </w:hyperlink>
      <w:r>
        <w:rPr>
          <w:rFonts w:ascii="Arial MT"/>
          <w:color w:val="3E65AC"/>
          <w:spacing w:val="-37"/>
          <w:w w:val="90"/>
          <w:sz w:val="16"/>
        </w:rPr>
        <w:t> </w:t>
      </w:r>
      <w:hyperlink r:id="rId13">
        <w:r>
          <w:rPr>
            <w:rFonts w:ascii="Arial MT"/>
            <w:color w:val="3E65AC"/>
            <w:sz w:val="16"/>
          </w:rPr>
          <w:t>pone.0271719</w:t>
        </w:r>
      </w:hyperlink>
    </w:p>
    <w:p>
      <w:pPr>
        <w:spacing w:line="288" w:lineRule="auto" w:before="116"/>
        <w:ind w:left="140" w:right="88" w:firstLine="0"/>
        <w:jc w:val="left"/>
        <w:rPr>
          <w:rFonts w:ascii="Arial MT" w:hAnsi="Arial MT"/>
          <w:sz w:val="16"/>
        </w:rPr>
      </w:pPr>
      <w:r>
        <w:rPr>
          <w:rFonts w:ascii="Arial" w:hAnsi="Arial"/>
          <w:b/>
          <w:spacing w:val="-3"/>
          <w:w w:val="85"/>
          <w:sz w:val="16"/>
        </w:rPr>
        <w:t>Editor:</w:t>
      </w:r>
      <w:r>
        <w:rPr>
          <w:rFonts w:ascii="Arial" w:hAnsi="Arial"/>
          <w:b/>
          <w:spacing w:val="-8"/>
          <w:w w:val="85"/>
          <w:sz w:val="16"/>
        </w:rPr>
        <w:t> </w:t>
      </w:r>
      <w:r>
        <w:rPr>
          <w:rFonts w:ascii="Arial MT" w:hAnsi="Arial MT"/>
          <w:spacing w:val="-2"/>
          <w:w w:val="85"/>
          <w:sz w:val="16"/>
        </w:rPr>
        <w:t>Livia</w:t>
      </w:r>
      <w:r>
        <w:rPr>
          <w:rFonts w:ascii="Arial MT" w:hAnsi="Arial MT"/>
          <w:spacing w:val="-6"/>
          <w:w w:val="85"/>
          <w:sz w:val="16"/>
        </w:rPr>
        <w:t> </w:t>
      </w:r>
      <w:r>
        <w:rPr>
          <w:rFonts w:ascii="Arial MT" w:hAnsi="Arial MT"/>
          <w:spacing w:val="-2"/>
          <w:w w:val="85"/>
          <w:sz w:val="16"/>
        </w:rPr>
        <w:t>D’Angelo,</w:t>
      </w:r>
      <w:r>
        <w:rPr>
          <w:rFonts w:ascii="Arial MT" w:hAnsi="Arial MT"/>
          <w:spacing w:val="-8"/>
          <w:w w:val="85"/>
          <w:sz w:val="16"/>
        </w:rPr>
        <w:t> </w:t>
      </w:r>
      <w:r>
        <w:rPr>
          <w:rFonts w:ascii="Arial MT" w:hAnsi="Arial MT"/>
          <w:spacing w:val="-2"/>
          <w:w w:val="85"/>
          <w:sz w:val="16"/>
        </w:rPr>
        <w:t>University</w:t>
      </w:r>
      <w:r>
        <w:rPr>
          <w:rFonts w:ascii="Arial MT" w:hAnsi="Arial MT"/>
          <w:spacing w:val="-6"/>
          <w:w w:val="85"/>
          <w:sz w:val="16"/>
        </w:rPr>
        <w:t> </w:t>
      </w:r>
      <w:r>
        <w:rPr>
          <w:rFonts w:ascii="Arial MT" w:hAnsi="Arial MT"/>
          <w:spacing w:val="-2"/>
          <w:w w:val="85"/>
          <w:sz w:val="16"/>
        </w:rPr>
        <w:t>of</w:t>
      </w:r>
      <w:r>
        <w:rPr>
          <w:rFonts w:ascii="Arial MT" w:hAnsi="Arial MT"/>
          <w:spacing w:val="-6"/>
          <w:w w:val="85"/>
          <w:sz w:val="16"/>
        </w:rPr>
        <w:t> </w:t>
      </w:r>
      <w:r>
        <w:rPr>
          <w:rFonts w:ascii="Arial MT" w:hAnsi="Arial MT"/>
          <w:spacing w:val="-2"/>
          <w:w w:val="85"/>
          <w:sz w:val="16"/>
        </w:rPr>
        <w:t>Naples</w:t>
      </w:r>
      <w:r>
        <w:rPr>
          <w:rFonts w:ascii="Arial MT" w:hAnsi="Arial MT"/>
          <w:spacing w:val="-35"/>
          <w:w w:val="85"/>
          <w:sz w:val="16"/>
        </w:rPr>
        <w:t> </w:t>
      </w:r>
      <w:r>
        <w:rPr>
          <w:rFonts w:ascii="Arial MT" w:hAnsi="Arial MT"/>
          <w:spacing w:val="-2"/>
          <w:w w:val="85"/>
          <w:sz w:val="16"/>
        </w:rPr>
        <w:t>Federico</w:t>
      </w:r>
      <w:r>
        <w:rPr>
          <w:rFonts w:ascii="Arial MT" w:hAnsi="Arial MT"/>
          <w:spacing w:val="-9"/>
          <w:w w:val="85"/>
          <w:sz w:val="16"/>
        </w:rPr>
        <w:t> </w:t>
      </w:r>
      <w:r>
        <w:rPr>
          <w:rFonts w:ascii="Arial MT" w:hAnsi="Arial MT"/>
          <w:spacing w:val="-2"/>
          <w:w w:val="85"/>
          <w:sz w:val="16"/>
        </w:rPr>
        <w:t>II,</w:t>
      </w:r>
      <w:r>
        <w:rPr>
          <w:rFonts w:ascii="Arial MT" w:hAnsi="Arial MT"/>
          <w:spacing w:val="-7"/>
          <w:w w:val="85"/>
          <w:sz w:val="16"/>
        </w:rPr>
        <w:t> </w:t>
      </w:r>
      <w:r>
        <w:rPr>
          <w:rFonts w:ascii="Arial MT" w:hAnsi="Arial MT"/>
          <w:spacing w:val="-2"/>
          <w:w w:val="85"/>
          <w:sz w:val="16"/>
        </w:rPr>
        <w:t>ITALY</w:t>
      </w:r>
    </w:p>
    <w:p>
      <w:pPr>
        <w:spacing w:before="118"/>
        <w:ind w:left="140" w:right="0" w:firstLine="0"/>
        <w:jc w:val="left"/>
        <w:rPr>
          <w:rFonts w:ascii="Arial MT"/>
          <w:sz w:val="16"/>
        </w:rPr>
      </w:pPr>
      <w:r>
        <w:rPr>
          <w:rFonts w:ascii="Arial"/>
          <w:b/>
          <w:spacing w:val="-1"/>
          <w:w w:val="85"/>
          <w:sz w:val="16"/>
        </w:rPr>
        <w:t>Received:</w:t>
      </w:r>
      <w:r>
        <w:rPr>
          <w:rFonts w:ascii="Arial"/>
          <w:b/>
          <w:spacing w:val="-9"/>
          <w:w w:val="85"/>
          <w:sz w:val="16"/>
        </w:rPr>
        <w:t> </w:t>
      </w:r>
      <w:r>
        <w:rPr>
          <w:rFonts w:ascii="Arial MT"/>
          <w:spacing w:val="-1"/>
          <w:w w:val="85"/>
          <w:sz w:val="16"/>
        </w:rPr>
        <w:t>March</w:t>
      </w:r>
      <w:r>
        <w:rPr>
          <w:rFonts w:ascii="Arial MT"/>
          <w:spacing w:val="-7"/>
          <w:w w:val="85"/>
          <w:sz w:val="16"/>
        </w:rPr>
        <w:t> </w:t>
      </w:r>
      <w:r>
        <w:rPr>
          <w:rFonts w:ascii="Arial MT"/>
          <w:w w:val="85"/>
          <w:sz w:val="16"/>
        </w:rPr>
        <w:t>13,</w:t>
      </w:r>
      <w:r>
        <w:rPr>
          <w:rFonts w:ascii="Arial MT"/>
          <w:spacing w:val="-8"/>
          <w:w w:val="85"/>
          <w:sz w:val="16"/>
        </w:rPr>
        <w:t> </w:t>
      </w:r>
      <w:r>
        <w:rPr>
          <w:rFonts w:ascii="Arial MT"/>
          <w:w w:val="85"/>
          <w:sz w:val="16"/>
        </w:rPr>
        <w:t>2022</w:t>
      </w: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0"/>
        <w:ind w:left="140" w:right="0" w:firstLine="0"/>
        <w:jc w:val="left"/>
        <w:rPr>
          <w:rFonts w:ascii="Arial MT"/>
          <w:sz w:val="16"/>
        </w:rPr>
      </w:pPr>
      <w:r>
        <w:rPr>
          <w:rFonts w:ascii="Arial"/>
          <w:b/>
          <w:spacing w:val="-3"/>
          <w:w w:val="85"/>
          <w:sz w:val="16"/>
        </w:rPr>
        <w:t>Accepted:</w:t>
      </w:r>
      <w:r>
        <w:rPr>
          <w:rFonts w:ascii="Arial"/>
          <w:b/>
          <w:spacing w:val="-9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June</w:t>
      </w:r>
      <w:r>
        <w:rPr>
          <w:rFonts w:ascii="Arial MT"/>
          <w:spacing w:val="-7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28,</w:t>
      </w:r>
      <w:r>
        <w:rPr>
          <w:rFonts w:ascii="Arial MT"/>
          <w:spacing w:val="-8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2022</w:t>
      </w:r>
    </w:p>
    <w:p>
      <w:pPr>
        <w:pStyle w:val="BodyText"/>
        <w:spacing w:before="6"/>
        <w:rPr>
          <w:rFonts w:ascii="Arial MT"/>
          <w:sz w:val="13"/>
        </w:rPr>
      </w:pPr>
    </w:p>
    <w:p>
      <w:pPr>
        <w:spacing w:before="0"/>
        <w:ind w:left="140" w:right="0" w:firstLine="0"/>
        <w:jc w:val="left"/>
        <w:rPr>
          <w:rFonts w:ascii="Arial MT"/>
          <w:sz w:val="16"/>
        </w:rPr>
      </w:pPr>
      <w:r>
        <w:rPr>
          <w:rFonts w:ascii="Arial"/>
          <w:b/>
          <w:spacing w:val="-2"/>
          <w:w w:val="85"/>
          <w:sz w:val="16"/>
        </w:rPr>
        <w:t>Published:</w:t>
      </w:r>
      <w:r>
        <w:rPr>
          <w:rFonts w:ascii="Arial"/>
          <w:b/>
          <w:spacing w:val="-8"/>
          <w:w w:val="85"/>
          <w:sz w:val="16"/>
        </w:rPr>
        <w:t> </w:t>
      </w:r>
      <w:r>
        <w:rPr>
          <w:rFonts w:ascii="Arial MT"/>
          <w:spacing w:val="-1"/>
          <w:w w:val="85"/>
          <w:sz w:val="16"/>
        </w:rPr>
        <w:t>July</w:t>
      </w:r>
      <w:r>
        <w:rPr>
          <w:rFonts w:ascii="Arial MT"/>
          <w:spacing w:val="-6"/>
          <w:w w:val="85"/>
          <w:sz w:val="16"/>
        </w:rPr>
        <w:t> </w:t>
      </w:r>
      <w:r>
        <w:rPr>
          <w:rFonts w:ascii="Arial MT"/>
          <w:spacing w:val="-1"/>
          <w:w w:val="85"/>
          <w:sz w:val="16"/>
        </w:rPr>
        <w:t>29,</w:t>
      </w:r>
      <w:r>
        <w:rPr>
          <w:rFonts w:ascii="Arial MT"/>
          <w:spacing w:val="-7"/>
          <w:w w:val="85"/>
          <w:sz w:val="16"/>
        </w:rPr>
        <w:t> </w:t>
      </w:r>
      <w:r>
        <w:rPr>
          <w:rFonts w:ascii="Arial MT"/>
          <w:spacing w:val="-1"/>
          <w:w w:val="85"/>
          <w:sz w:val="16"/>
        </w:rPr>
        <w:t>2022</w:t>
      </w: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line="288" w:lineRule="auto" w:before="0"/>
        <w:ind w:left="140" w:right="38" w:firstLine="0"/>
        <w:jc w:val="left"/>
        <w:rPr>
          <w:rFonts w:ascii="Arial MT"/>
          <w:sz w:val="16"/>
        </w:rPr>
      </w:pPr>
      <w:r>
        <w:rPr/>
        <w:pict>
          <v:shape style="position:absolute;margin-left:36pt;margin-top:74.572594pt;width:141.8pt;height:.1pt;mso-position-horizontal-relative:page;mso-position-vertical-relative:paragraph;z-index:-16737280" coordorigin="720,1491" coordsize="2836,0" path="m3556,1491l720,1491e" filled="true" fillcolor="#3e65ac" stroked="false">
            <v:path arrowok="t"/>
            <v:fill type="solid"/>
            <w10:wrap type="none"/>
          </v:shape>
        </w:pict>
      </w:r>
      <w:r>
        <w:rPr>
          <w:rFonts w:ascii="Arial"/>
          <w:b/>
          <w:spacing w:val="-2"/>
          <w:w w:val="85"/>
          <w:sz w:val="16"/>
        </w:rPr>
        <w:t>Peer Review History: </w:t>
      </w:r>
      <w:r>
        <w:rPr>
          <w:rFonts w:ascii="Arial MT"/>
          <w:spacing w:val="-2"/>
          <w:w w:val="85"/>
          <w:sz w:val="16"/>
        </w:rPr>
        <w:t>PLOS recognizes </w:t>
      </w:r>
      <w:r>
        <w:rPr>
          <w:rFonts w:ascii="Arial MT"/>
          <w:spacing w:val="-1"/>
          <w:w w:val="85"/>
          <w:sz w:val="16"/>
        </w:rPr>
        <w:t>the</w:t>
      </w:r>
      <w:r>
        <w:rPr>
          <w:rFonts w:ascii="Arial MT"/>
          <w:w w:val="85"/>
          <w:sz w:val="16"/>
        </w:rPr>
        <w:t> benefits of transparency in the peer review</w:t>
      </w:r>
      <w:r>
        <w:rPr>
          <w:rFonts w:ascii="Arial MT"/>
          <w:spacing w:val="1"/>
          <w:w w:val="85"/>
          <w:sz w:val="16"/>
        </w:rPr>
        <w:t> </w:t>
      </w:r>
      <w:r>
        <w:rPr>
          <w:rFonts w:ascii="Arial MT"/>
          <w:w w:val="85"/>
          <w:sz w:val="16"/>
        </w:rPr>
        <w:t>process;</w:t>
      </w:r>
      <w:r>
        <w:rPr>
          <w:rFonts w:ascii="Arial MT"/>
          <w:spacing w:val="3"/>
          <w:w w:val="85"/>
          <w:sz w:val="16"/>
        </w:rPr>
        <w:t> </w:t>
      </w:r>
      <w:r>
        <w:rPr>
          <w:rFonts w:ascii="Arial MT"/>
          <w:w w:val="85"/>
          <w:sz w:val="16"/>
        </w:rPr>
        <w:t>therefore,</w:t>
      </w:r>
      <w:r>
        <w:rPr>
          <w:rFonts w:ascii="Arial MT"/>
          <w:spacing w:val="4"/>
          <w:w w:val="85"/>
          <w:sz w:val="16"/>
        </w:rPr>
        <w:t> </w:t>
      </w:r>
      <w:r>
        <w:rPr>
          <w:rFonts w:ascii="Arial MT"/>
          <w:w w:val="85"/>
          <w:sz w:val="16"/>
        </w:rPr>
        <w:t>we</w:t>
      </w:r>
      <w:r>
        <w:rPr>
          <w:rFonts w:ascii="Arial MT"/>
          <w:spacing w:val="6"/>
          <w:w w:val="85"/>
          <w:sz w:val="16"/>
        </w:rPr>
        <w:t> </w:t>
      </w:r>
      <w:r>
        <w:rPr>
          <w:rFonts w:ascii="Arial MT"/>
          <w:w w:val="85"/>
          <w:sz w:val="16"/>
        </w:rPr>
        <w:t>enable</w:t>
      </w:r>
      <w:r>
        <w:rPr>
          <w:rFonts w:ascii="Arial MT"/>
          <w:spacing w:val="4"/>
          <w:w w:val="85"/>
          <w:sz w:val="16"/>
        </w:rPr>
        <w:t> </w:t>
      </w:r>
      <w:r>
        <w:rPr>
          <w:rFonts w:ascii="Arial MT"/>
          <w:w w:val="85"/>
          <w:sz w:val="16"/>
        </w:rPr>
        <w:t>the</w:t>
      </w:r>
      <w:r>
        <w:rPr>
          <w:rFonts w:ascii="Arial MT"/>
          <w:spacing w:val="5"/>
          <w:w w:val="85"/>
          <w:sz w:val="16"/>
        </w:rPr>
        <w:t> </w:t>
      </w:r>
      <w:r>
        <w:rPr>
          <w:rFonts w:ascii="Arial MT"/>
          <w:w w:val="85"/>
          <w:sz w:val="16"/>
        </w:rPr>
        <w:t>publication</w:t>
      </w:r>
      <w:r>
        <w:rPr>
          <w:rFonts w:ascii="Arial MT"/>
          <w:spacing w:val="4"/>
          <w:w w:val="85"/>
          <w:sz w:val="16"/>
        </w:rPr>
        <w:t> </w:t>
      </w:r>
      <w:r>
        <w:rPr>
          <w:rFonts w:ascii="Arial MT"/>
          <w:w w:val="85"/>
          <w:sz w:val="16"/>
        </w:rPr>
        <w:t>of</w:t>
      </w:r>
      <w:r>
        <w:rPr>
          <w:rFonts w:ascii="Arial MT"/>
          <w:spacing w:val="1"/>
          <w:w w:val="85"/>
          <w:sz w:val="16"/>
        </w:rPr>
        <w:t> </w:t>
      </w:r>
      <w:r>
        <w:rPr>
          <w:rFonts w:ascii="Arial MT"/>
          <w:w w:val="85"/>
          <w:sz w:val="16"/>
        </w:rPr>
        <w:t>all of the content of peer review and author</w:t>
      </w:r>
      <w:r>
        <w:rPr>
          <w:rFonts w:ascii="Arial MT"/>
          <w:spacing w:val="1"/>
          <w:w w:val="85"/>
          <w:sz w:val="16"/>
        </w:rPr>
        <w:t> </w:t>
      </w:r>
      <w:r>
        <w:rPr>
          <w:rFonts w:ascii="Arial MT"/>
          <w:w w:val="85"/>
          <w:sz w:val="16"/>
        </w:rPr>
        <w:t>responses</w:t>
      </w:r>
      <w:r>
        <w:rPr>
          <w:rFonts w:ascii="Arial MT"/>
          <w:spacing w:val="1"/>
          <w:w w:val="85"/>
          <w:sz w:val="16"/>
        </w:rPr>
        <w:t> </w:t>
      </w:r>
      <w:r>
        <w:rPr>
          <w:rFonts w:ascii="Arial MT"/>
          <w:w w:val="85"/>
          <w:sz w:val="16"/>
        </w:rPr>
        <w:t>alongside</w:t>
      </w:r>
      <w:r>
        <w:rPr>
          <w:rFonts w:ascii="Arial MT"/>
          <w:spacing w:val="1"/>
          <w:w w:val="85"/>
          <w:sz w:val="16"/>
        </w:rPr>
        <w:t> </w:t>
      </w:r>
      <w:r>
        <w:rPr>
          <w:rFonts w:ascii="Arial MT"/>
          <w:w w:val="85"/>
          <w:sz w:val="16"/>
        </w:rPr>
        <w:t>final, published</w:t>
      </w:r>
      <w:r>
        <w:rPr>
          <w:rFonts w:ascii="Arial MT"/>
          <w:spacing w:val="1"/>
          <w:w w:val="85"/>
          <w:sz w:val="16"/>
        </w:rPr>
        <w:t> </w:t>
      </w:r>
      <w:r>
        <w:rPr>
          <w:rFonts w:ascii="Arial MT"/>
          <w:w w:val="85"/>
          <w:sz w:val="16"/>
        </w:rPr>
        <w:t>articles.</w:t>
      </w:r>
      <w:r>
        <w:rPr>
          <w:rFonts w:ascii="Arial MT"/>
          <w:spacing w:val="2"/>
          <w:w w:val="85"/>
          <w:sz w:val="16"/>
        </w:rPr>
        <w:t> </w:t>
      </w:r>
      <w:r>
        <w:rPr>
          <w:rFonts w:ascii="Arial MT"/>
          <w:w w:val="85"/>
          <w:sz w:val="16"/>
        </w:rPr>
        <w:t>The</w:t>
      </w:r>
      <w:r>
        <w:rPr>
          <w:rFonts w:ascii="Arial MT"/>
          <w:spacing w:val="1"/>
          <w:w w:val="85"/>
          <w:sz w:val="16"/>
        </w:rPr>
        <w:t> </w:t>
      </w:r>
      <w:r>
        <w:rPr>
          <w:rFonts w:ascii="Arial MT"/>
          <w:w w:val="85"/>
          <w:sz w:val="16"/>
        </w:rPr>
        <w:t>editorial history of this article is available here:</w:t>
      </w:r>
      <w:r>
        <w:rPr>
          <w:rFonts w:ascii="Arial MT"/>
          <w:spacing w:val="1"/>
          <w:w w:val="85"/>
          <w:sz w:val="16"/>
        </w:rPr>
        <w:t> </w:t>
      </w:r>
      <w:hyperlink r:id="rId13">
        <w:r>
          <w:rPr>
            <w:rFonts w:ascii="Arial MT"/>
            <w:color w:val="3E65AC"/>
            <w:spacing w:val="-2"/>
            <w:w w:val="95"/>
            <w:sz w:val="16"/>
          </w:rPr>
          <w:t>https://doi.org/10.1371/journal.pone.0271719</w:t>
        </w:r>
      </w:hyperlink>
    </w:p>
    <w:p>
      <w:pPr>
        <w:spacing w:line="283" w:lineRule="auto" w:before="115"/>
        <w:ind w:left="140" w:right="88" w:firstLine="0"/>
        <w:jc w:val="left"/>
        <w:rPr>
          <w:rFonts w:ascii="Arial MT" w:hAnsi="Arial MT"/>
          <w:sz w:val="16"/>
        </w:rPr>
      </w:pPr>
      <w:r>
        <w:rPr/>
        <w:pict>
          <v:shape style="position:absolute;margin-left:46.9417pt;margin-top:36.329441pt;width:113.7pt;height:.1pt;mso-position-horizontal-relative:page;mso-position-vertical-relative:paragraph;z-index:-16736768" coordorigin="939,727" coordsize="2274,0" path="m3212,727l939,727e" filled="true" fillcolor="#3e65ac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spacing w:val="-2"/>
          <w:w w:val="85"/>
          <w:sz w:val="16"/>
        </w:rPr>
        <w:t>Copyright: </w:t>
      </w:r>
      <w:r>
        <w:rPr>
          <w:rFonts w:ascii="Courier New" w:hAnsi="Courier New"/>
          <w:spacing w:val="-2"/>
          <w:w w:val="85"/>
          <w:sz w:val="16"/>
        </w:rPr>
        <w:t>© </w:t>
      </w:r>
      <w:r>
        <w:rPr>
          <w:rFonts w:ascii="Arial MT" w:hAnsi="Arial MT"/>
          <w:spacing w:val="-2"/>
          <w:w w:val="85"/>
          <w:sz w:val="16"/>
        </w:rPr>
        <w:t>2022 Kussainova et al. </w:t>
      </w:r>
      <w:r>
        <w:rPr>
          <w:rFonts w:ascii="Arial MT" w:hAnsi="Arial MT"/>
          <w:spacing w:val="-1"/>
          <w:w w:val="85"/>
          <w:sz w:val="16"/>
        </w:rPr>
        <w:t>This is an</w:t>
      </w:r>
      <w:r>
        <w:rPr>
          <w:rFonts w:ascii="Arial MT" w:hAnsi="Arial MT"/>
          <w:w w:val="85"/>
          <w:sz w:val="16"/>
        </w:rPr>
        <w:t> </w:t>
      </w:r>
      <w:r>
        <w:rPr>
          <w:rFonts w:ascii="Arial MT" w:hAnsi="Arial MT"/>
          <w:spacing w:val="-4"/>
          <w:w w:val="90"/>
          <w:sz w:val="16"/>
        </w:rPr>
        <w:t>open</w:t>
      </w:r>
      <w:r>
        <w:rPr>
          <w:rFonts w:ascii="Arial MT" w:hAnsi="Arial MT"/>
          <w:spacing w:val="-11"/>
          <w:w w:val="90"/>
          <w:sz w:val="16"/>
        </w:rPr>
        <w:t> </w:t>
      </w:r>
      <w:r>
        <w:rPr>
          <w:rFonts w:ascii="Arial MT" w:hAnsi="Arial MT"/>
          <w:spacing w:val="-4"/>
          <w:w w:val="90"/>
          <w:sz w:val="16"/>
        </w:rPr>
        <w:t>access</w:t>
      </w:r>
      <w:r>
        <w:rPr>
          <w:rFonts w:ascii="Arial MT" w:hAnsi="Arial MT"/>
          <w:spacing w:val="-9"/>
          <w:w w:val="90"/>
          <w:sz w:val="16"/>
        </w:rPr>
        <w:t> </w:t>
      </w:r>
      <w:r>
        <w:rPr>
          <w:rFonts w:ascii="Arial MT" w:hAnsi="Arial MT"/>
          <w:spacing w:val="-4"/>
          <w:w w:val="90"/>
          <w:sz w:val="16"/>
        </w:rPr>
        <w:t>article</w:t>
      </w:r>
      <w:r>
        <w:rPr>
          <w:rFonts w:ascii="Arial MT" w:hAnsi="Arial MT"/>
          <w:spacing w:val="-10"/>
          <w:w w:val="90"/>
          <w:sz w:val="16"/>
        </w:rPr>
        <w:t> </w:t>
      </w:r>
      <w:r>
        <w:rPr>
          <w:rFonts w:ascii="Arial MT" w:hAnsi="Arial MT"/>
          <w:spacing w:val="-4"/>
          <w:w w:val="90"/>
          <w:sz w:val="16"/>
        </w:rPr>
        <w:t>distributed</w:t>
      </w:r>
      <w:r>
        <w:rPr>
          <w:rFonts w:ascii="Arial MT" w:hAnsi="Arial MT"/>
          <w:spacing w:val="-10"/>
          <w:w w:val="90"/>
          <w:sz w:val="16"/>
        </w:rPr>
        <w:t> </w:t>
      </w:r>
      <w:r>
        <w:rPr>
          <w:rFonts w:ascii="Arial MT" w:hAnsi="Arial MT"/>
          <w:spacing w:val="-4"/>
          <w:w w:val="90"/>
          <w:sz w:val="16"/>
        </w:rPr>
        <w:t>under</w:t>
      </w:r>
      <w:r>
        <w:rPr>
          <w:rFonts w:ascii="Arial MT" w:hAnsi="Arial MT"/>
          <w:spacing w:val="-9"/>
          <w:w w:val="90"/>
          <w:sz w:val="16"/>
        </w:rPr>
        <w:t> </w:t>
      </w:r>
      <w:r>
        <w:rPr>
          <w:rFonts w:ascii="Arial MT" w:hAnsi="Arial MT"/>
          <w:spacing w:val="-3"/>
          <w:w w:val="90"/>
          <w:sz w:val="16"/>
        </w:rPr>
        <w:t>the</w:t>
      </w:r>
      <w:r>
        <w:rPr>
          <w:rFonts w:ascii="Arial MT" w:hAnsi="Arial MT"/>
          <w:spacing w:val="-10"/>
          <w:w w:val="90"/>
          <w:sz w:val="16"/>
        </w:rPr>
        <w:t> </w:t>
      </w:r>
      <w:r>
        <w:rPr>
          <w:rFonts w:ascii="Arial MT" w:hAnsi="Arial MT"/>
          <w:spacing w:val="-3"/>
          <w:w w:val="90"/>
          <w:sz w:val="16"/>
        </w:rPr>
        <w:t>terms</w:t>
      </w:r>
      <w:r>
        <w:rPr>
          <w:rFonts w:ascii="Arial MT" w:hAnsi="Arial MT"/>
          <w:spacing w:val="-9"/>
          <w:w w:val="90"/>
          <w:sz w:val="16"/>
        </w:rPr>
        <w:t> </w:t>
      </w:r>
      <w:r>
        <w:rPr>
          <w:rFonts w:ascii="Arial MT" w:hAnsi="Arial MT"/>
          <w:spacing w:val="-3"/>
          <w:w w:val="90"/>
          <w:sz w:val="16"/>
        </w:rPr>
        <w:t>of</w:t>
      </w:r>
      <w:r>
        <w:rPr>
          <w:rFonts w:ascii="Arial MT" w:hAnsi="Arial MT"/>
          <w:spacing w:val="-2"/>
          <w:w w:val="90"/>
          <w:sz w:val="16"/>
        </w:rPr>
        <w:t> </w:t>
      </w:r>
      <w:r>
        <w:rPr>
          <w:rFonts w:ascii="Arial MT" w:hAnsi="Arial MT"/>
          <w:spacing w:val="-1"/>
          <w:w w:val="85"/>
          <w:sz w:val="16"/>
        </w:rPr>
        <w:t>the </w:t>
      </w:r>
      <w:hyperlink r:id="rId14">
        <w:r>
          <w:rPr>
            <w:rFonts w:ascii="Arial MT" w:hAnsi="Arial MT"/>
            <w:color w:val="3E65AC"/>
            <w:spacing w:val="-1"/>
            <w:w w:val="85"/>
            <w:sz w:val="16"/>
          </w:rPr>
          <w:t>Creative Commons </w:t>
        </w:r>
        <w:r>
          <w:rPr>
            <w:rFonts w:ascii="Arial MT" w:hAnsi="Arial MT"/>
            <w:color w:val="3E65AC"/>
            <w:w w:val="85"/>
            <w:sz w:val="16"/>
          </w:rPr>
          <w:t>Attribution License</w:t>
        </w:r>
      </w:hyperlink>
      <w:r>
        <w:rPr>
          <w:rFonts w:ascii="Arial MT" w:hAnsi="Arial MT"/>
          <w:w w:val="85"/>
          <w:sz w:val="16"/>
        </w:rPr>
        <w:t>, which</w:t>
      </w:r>
      <w:r>
        <w:rPr>
          <w:rFonts w:ascii="Arial MT" w:hAnsi="Arial MT"/>
          <w:spacing w:val="-35"/>
          <w:w w:val="85"/>
          <w:sz w:val="16"/>
        </w:rPr>
        <w:t> </w:t>
      </w:r>
      <w:r>
        <w:rPr>
          <w:rFonts w:ascii="Arial MT" w:hAnsi="Arial MT"/>
          <w:spacing w:val="-4"/>
          <w:w w:val="90"/>
          <w:sz w:val="16"/>
        </w:rPr>
        <w:t>permits unrestricted </w:t>
      </w:r>
      <w:r>
        <w:rPr>
          <w:rFonts w:ascii="Arial MT" w:hAnsi="Arial MT"/>
          <w:spacing w:val="-3"/>
          <w:w w:val="90"/>
          <w:sz w:val="16"/>
        </w:rPr>
        <w:t>use, distribution, and</w:t>
      </w:r>
      <w:r>
        <w:rPr>
          <w:rFonts w:ascii="Arial MT" w:hAnsi="Arial MT"/>
          <w:spacing w:val="-2"/>
          <w:w w:val="90"/>
          <w:sz w:val="16"/>
        </w:rPr>
        <w:t> </w:t>
      </w:r>
      <w:r>
        <w:rPr>
          <w:rFonts w:ascii="Arial MT" w:hAnsi="Arial MT"/>
          <w:spacing w:val="-4"/>
          <w:w w:val="90"/>
          <w:sz w:val="16"/>
        </w:rPr>
        <w:t>reproduction</w:t>
      </w:r>
      <w:r>
        <w:rPr>
          <w:rFonts w:ascii="Arial MT" w:hAnsi="Arial MT"/>
          <w:spacing w:val="-11"/>
          <w:w w:val="90"/>
          <w:sz w:val="16"/>
        </w:rPr>
        <w:t> </w:t>
      </w:r>
      <w:r>
        <w:rPr>
          <w:rFonts w:ascii="Arial MT" w:hAnsi="Arial MT"/>
          <w:spacing w:val="-4"/>
          <w:w w:val="90"/>
          <w:sz w:val="16"/>
        </w:rPr>
        <w:t>in</w:t>
      </w:r>
      <w:r>
        <w:rPr>
          <w:rFonts w:ascii="Arial MT" w:hAnsi="Arial MT"/>
          <w:spacing w:val="-9"/>
          <w:w w:val="90"/>
          <w:sz w:val="16"/>
        </w:rPr>
        <w:t> </w:t>
      </w:r>
      <w:r>
        <w:rPr>
          <w:rFonts w:ascii="Arial MT" w:hAnsi="Arial MT"/>
          <w:spacing w:val="-4"/>
          <w:w w:val="90"/>
          <w:sz w:val="16"/>
        </w:rPr>
        <w:t>any</w:t>
      </w:r>
      <w:r>
        <w:rPr>
          <w:rFonts w:ascii="Arial MT" w:hAnsi="Arial MT"/>
          <w:spacing w:val="-9"/>
          <w:w w:val="90"/>
          <w:sz w:val="16"/>
        </w:rPr>
        <w:t> </w:t>
      </w:r>
      <w:r>
        <w:rPr>
          <w:rFonts w:ascii="Arial MT" w:hAnsi="Arial MT"/>
          <w:spacing w:val="-4"/>
          <w:w w:val="90"/>
          <w:sz w:val="16"/>
        </w:rPr>
        <w:t>medium,</w:t>
      </w:r>
      <w:r>
        <w:rPr>
          <w:rFonts w:ascii="Arial MT" w:hAnsi="Arial MT"/>
          <w:spacing w:val="-10"/>
          <w:w w:val="90"/>
          <w:sz w:val="16"/>
        </w:rPr>
        <w:t> </w:t>
      </w:r>
      <w:r>
        <w:rPr>
          <w:rFonts w:ascii="Arial MT" w:hAnsi="Arial MT"/>
          <w:spacing w:val="-4"/>
          <w:w w:val="90"/>
          <w:sz w:val="16"/>
        </w:rPr>
        <w:t>provided</w:t>
      </w:r>
      <w:r>
        <w:rPr>
          <w:rFonts w:ascii="Arial MT" w:hAnsi="Arial MT"/>
          <w:spacing w:val="-10"/>
          <w:w w:val="90"/>
          <w:sz w:val="16"/>
        </w:rPr>
        <w:t> </w:t>
      </w:r>
      <w:r>
        <w:rPr>
          <w:rFonts w:ascii="Arial MT" w:hAnsi="Arial MT"/>
          <w:spacing w:val="-3"/>
          <w:w w:val="90"/>
          <w:sz w:val="16"/>
        </w:rPr>
        <w:t>the</w:t>
      </w:r>
      <w:r>
        <w:rPr>
          <w:rFonts w:ascii="Arial MT" w:hAnsi="Arial MT"/>
          <w:spacing w:val="-8"/>
          <w:w w:val="90"/>
          <w:sz w:val="16"/>
        </w:rPr>
        <w:t> </w:t>
      </w:r>
      <w:r>
        <w:rPr>
          <w:rFonts w:ascii="Arial MT" w:hAnsi="Arial MT"/>
          <w:spacing w:val="-3"/>
          <w:w w:val="90"/>
          <w:sz w:val="16"/>
        </w:rPr>
        <w:t>original</w:t>
      </w:r>
      <w:r>
        <w:rPr>
          <w:rFonts w:ascii="Arial MT" w:hAnsi="Arial MT"/>
          <w:spacing w:val="-37"/>
          <w:w w:val="90"/>
          <w:sz w:val="16"/>
        </w:rPr>
        <w:t> </w:t>
      </w:r>
      <w:r>
        <w:rPr>
          <w:rFonts w:ascii="Arial MT" w:hAnsi="Arial MT"/>
          <w:spacing w:val="-1"/>
          <w:w w:val="85"/>
          <w:sz w:val="16"/>
        </w:rPr>
        <w:t>author</w:t>
      </w:r>
      <w:r>
        <w:rPr>
          <w:rFonts w:ascii="Arial MT" w:hAnsi="Arial MT"/>
          <w:spacing w:val="-9"/>
          <w:w w:val="85"/>
          <w:sz w:val="16"/>
        </w:rPr>
        <w:t> </w:t>
      </w:r>
      <w:r>
        <w:rPr>
          <w:rFonts w:ascii="Arial MT" w:hAnsi="Arial MT"/>
          <w:spacing w:val="-1"/>
          <w:w w:val="85"/>
          <w:sz w:val="16"/>
        </w:rPr>
        <w:t>and</w:t>
      </w:r>
      <w:r>
        <w:rPr>
          <w:rFonts w:ascii="Arial MT" w:hAnsi="Arial MT"/>
          <w:spacing w:val="-7"/>
          <w:w w:val="85"/>
          <w:sz w:val="16"/>
        </w:rPr>
        <w:t> </w:t>
      </w:r>
      <w:r>
        <w:rPr>
          <w:rFonts w:ascii="Arial MT" w:hAnsi="Arial MT"/>
          <w:spacing w:val="-1"/>
          <w:w w:val="85"/>
          <w:sz w:val="16"/>
        </w:rPr>
        <w:t>source</w:t>
      </w:r>
      <w:r>
        <w:rPr>
          <w:rFonts w:ascii="Arial MT" w:hAnsi="Arial MT"/>
          <w:spacing w:val="-7"/>
          <w:w w:val="85"/>
          <w:sz w:val="16"/>
        </w:rPr>
        <w:t> </w:t>
      </w:r>
      <w:r>
        <w:rPr>
          <w:rFonts w:ascii="Arial MT" w:hAnsi="Arial MT"/>
          <w:spacing w:val="-1"/>
          <w:w w:val="85"/>
          <w:sz w:val="16"/>
        </w:rPr>
        <w:t>are</w:t>
      </w:r>
      <w:r>
        <w:rPr>
          <w:rFonts w:ascii="Arial MT" w:hAnsi="Arial MT"/>
          <w:spacing w:val="-8"/>
          <w:w w:val="85"/>
          <w:sz w:val="16"/>
        </w:rPr>
        <w:t> </w:t>
      </w:r>
      <w:r>
        <w:rPr>
          <w:rFonts w:ascii="Arial MT" w:hAnsi="Arial MT"/>
          <w:w w:val="85"/>
          <w:sz w:val="16"/>
        </w:rPr>
        <w:t>credited.</w:t>
      </w:r>
    </w:p>
    <w:p>
      <w:pPr>
        <w:spacing w:line="288" w:lineRule="auto" w:before="123"/>
        <w:ind w:left="140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07.432999pt;margin-top:25.730835pt;width:69.650pt;height:.1pt;mso-position-horizontal-relative:page;mso-position-vertical-relative:paragraph;z-index:-16736256" coordorigin="2149,515" coordsize="1393,0" path="m3541,515l2149,515e" filled="true" fillcolor="#3e65ac" stroked="false">
            <v:path arrowok="t"/>
            <v:fill type="solid"/>
            <w10:wrap type="none"/>
          </v:shape>
        </w:pict>
      </w:r>
      <w:r>
        <w:rPr>
          <w:rFonts w:ascii="Arial"/>
          <w:b/>
          <w:spacing w:val="-3"/>
          <w:w w:val="85"/>
          <w:sz w:val="16"/>
        </w:rPr>
        <w:t>Data</w:t>
      </w:r>
      <w:r>
        <w:rPr>
          <w:rFonts w:ascii="Arial"/>
          <w:b/>
          <w:spacing w:val="-7"/>
          <w:w w:val="85"/>
          <w:sz w:val="16"/>
        </w:rPr>
        <w:t> </w:t>
      </w:r>
      <w:r>
        <w:rPr>
          <w:rFonts w:ascii="Arial"/>
          <w:b/>
          <w:spacing w:val="-3"/>
          <w:w w:val="85"/>
          <w:sz w:val="16"/>
        </w:rPr>
        <w:t>Availability</w:t>
      </w:r>
      <w:r>
        <w:rPr>
          <w:rFonts w:ascii="Arial"/>
          <w:b/>
          <w:spacing w:val="-7"/>
          <w:w w:val="85"/>
          <w:sz w:val="16"/>
        </w:rPr>
        <w:t> </w:t>
      </w:r>
      <w:r>
        <w:rPr>
          <w:rFonts w:ascii="Arial"/>
          <w:b/>
          <w:spacing w:val="-2"/>
          <w:w w:val="85"/>
          <w:sz w:val="16"/>
        </w:rPr>
        <w:t>Statement:</w:t>
      </w:r>
      <w:r>
        <w:rPr>
          <w:rFonts w:ascii="Arial"/>
          <w:b/>
          <w:spacing w:val="-9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All</w:t>
      </w:r>
      <w:r>
        <w:rPr>
          <w:rFonts w:ascii="Arial MT"/>
          <w:spacing w:val="-7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relevant</w:t>
      </w:r>
      <w:r>
        <w:rPr>
          <w:rFonts w:ascii="Arial MT"/>
          <w:spacing w:val="-8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data</w:t>
      </w:r>
      <w:r>
        <w:rPr>
          <w:rFonts w:ascii="Arial MT"/>
          <w:spacing w:val="-7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are</w:t>
      </w:r>
      <w:r>
        <w:rPr>
          <w:rFonts w:ascii="Arial MT"/>
          <w:spacing w:val="-35"/>
          <w:w w:val="85"/>
          <w:sz w:val="16"/>
        </w:rPr>
        <w:t> </w:t>
      </w:r>
      <w:r>
        <w:rPr>
          <w:rFonts w:ascii="Arial MT"/>
          <w:spacing w:val="-3"/>
          <w:w w:val="90"/>
          <w:sz w:val="16"/>
        </w:rPr>
        <w:t>within the article and its </w:t>
      </w:r>
      <w:hyperlink w:history="true" w:anchor="_bookmark48">
        <w:r>
          <w:rPr>
            <w:rFonts w:ascii="Arial MT"/>
            <w:color w:val="3E65AC"/>
            <w:spacing w:val="-3"/>
            <w:w w:val="90"/>
            <w:sz w:val="16"/>
          </w:rPr>
          <w:t>Supporting </w:t>
        </w:r>
        <w:r>
          <w:rPr>
            <w:rFonts w:ascii="Arial MT"/>
            <w:color w:val="3E65AC"/>
            <w:spacing w:val="-2"/>
            <w:w w:val="90"/>
            <w:sz w:val="16"/>
          </w:rPr>
          <w:t>Information</w:t>
        </w:r>
      </w:hyperlink>
      <w:r>
        <w:rPr>
          <w:rFonts w:ascii="Arial MT"/>
          <w:color w:val="3E65AC"/>
          <w:spacing w:val="-1"/>
          <w:w w:val="90"/>
          <w:sz w:val="16"/>
        </w:rPr>
        <w:t> </w:t>
      </w:r>
      <w:r>
        <w:rPr>
          <w:rFonts w:ascii="Arial MT"/>
          <w:sz w:val="16"/>
        </w:rPr>
        <w:t>files.</w:t>
      </w:r>
    </w:p>
    <w:p>
      <w:pPr>
        <w:spacing w:before="112"/>
        <w:ind w:left="140" w:right="0" w:firstLine="0"/>
        <w:jc w:val="left"/>
        <w:rPr>
          <w:rFonts w:ascii="Arial MT"/>
          <w:sz w:val="29"/>
        </w:rPr>
      </w:pPr>
      <w:r>
        <w:rPr/>
        <w:br w:type="column"/>
      </w:r>
      <w:r>
        <w:rPr>
          <w:rFonts w:ascii="Arial MT"/>
          <w:w w:val="105"/>
          <w:sz w:val="29"/>
        </w:rPr>
        <w:t>Abstract</w:t>
      </w:r>
    </w:p>
    <w:p>
      <w:pPr>
        <w:pStyle w:val="BodyText"/>
        <w:spacing w:before="7"/>
        <w:rPr>
          <w:rFonts w:ascii="Arial MT"/>
          <w:sz w:val="37"/>
        </w:rPr>
      </w:pPr>
    </w:p>
    <w:p>
      <w:pPr>
        <w:pStyle w:val="Heading2"/>
      </w:pPr>
      <w:r>
        <w:rPr/>
        <w:t>Background</w:t>
      </w:r>
    </w:p>
    <w:p>
      <w:pPr>
        <w:spacing w:line="307" w:lineRule="auto" w:before="113"/>
        <w:ind w:left="140" w:right="175" w:firstLine="0"/>
        <w:jc w:val="left"/>
        <w:rPr>
          <w:rFonts w:ascii="Arial MT"/>
          <w:sz w:val="19"/>
        </w:rPr>
      </w:pPr>
      <w:r>
        <w:rPr>
          <w:rFonts w:ascii="Arial MT"/>
          <w:w w:val="95"/>
          <w:sz w:val="19"/>
        </w:rPr>
        <w:t>Vitiligo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is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one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of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the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most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common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hypomelanoses,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in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which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the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destruction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of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functioning</w:t>
      </w:r>
      <w:r>
        <w:rPr>
          <w:rFonts w:ascii="Arial MT"/>
          <w:spacing w:val="1"/>
          <w:w w:val="95"/>
          <w:sz w:val="19"/>
        </w:rPr>
        <w:t> </w:t>
      </w:r>
      <w:r>
        <w:rPr>
          <w:rFonts w:ascii="Arial MT"/>
          <w:w w:val="95"/>
          <w:sz w:val="19"/>
        </w:rPr>
        <w:t>melanocytes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causes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depigmentation</w:t>
      </w:r>
      <w:r>
        <w:rPr>
          <w:rFonts w:ascii="Arial MT"/>
          <w:spacing w:val="13"/>
          <w:w w:val="95"/>
          <w:sz w:val="19"/>
        </w:rPr>
        <w:t> </w:t>
      </w:r>
      <w:r>
        <w:rPr>
          <w:rFonts w:ascii="Arial MT"/>
          <w:w w:val="95"/>
          <w:sz w:val="19"/>
        </w:rPr>
        <w:t>of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the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skin,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hair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and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mucous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membranes.</w:t>
      </w:r>
      <w:r>
        <w:rPr>
          <w:rFonts w:ascii="Arial MT"/>
          <w:spacing w:val="12"/>
          <w:w w:val="95"/>
          <w:sz w:val="19"/>
        </w:rPr>
        <w:t> </w:t>
      </w:r>
      <w:r>
        <w:rPr>
          <w:rFonts w:ascii="Arial MT"/>
          <w:w w:val="95"/>
          <w:sz w:val="19"/>
        </w:rPr>
        <w:t>The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genes</w:t>
      </w:r>
      <w:r>
        <w:rPr>
          <w:rFonts w:ascii="Arial MT"/>
          <w:spacing w:val="1"/>
          <w:w w:val="95"/>
          <w:sz w:val="19"/>
        </w:rPr>
        <w:t> </w:t>
      </w:r>
      <w:r>
        <w:rPr>
          <w:rFonts w:ascii="Arial MT"/>
          <w:w w:val="95"/>
          <w:sz w:val="19"/>
        </w:rPr>
        <w:t>encrypting</w:t>
      </w:r>
      <w:r>
        <w:rPr>
          <w:rFonts w:ascii="Arial MT"/>
          <w:spacing w:val="12"/>
          <w:w w:val="95"/>
          <w:sz w:val="19"/>
        </w:rPr>
        <w:t> </w:t>
      </w:r>
      <w:r>
        <w:rPr>
          <w:rFonts w:ascii="Arial MT"/>
          <w:w w:val="95"/>
          <w:sz w:val="19"/>
        </w:rPr>
        <w:t>brain-derived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neurotrophic</w:t>
      </w:r>
      <w:r>
        <w:rPr>
          <w:rFonts w:ascii="Arial MT"/>
          <w:spacing w:val="12"/>
          <w:w w:val="95"/>
          <w:sz w:val="19"/>
        </w:rPr>
        <w:t> </w:t>
      </w:r>
      <w:r>
        <w:rPr>
          <w:rFonts w:ascii="Arial MT"/>
          <w:w w:val="95"/>
          <w:sz w:val="19"/>
        </w:rPr>
        <w:t>factor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(BDNF)</w:t>
      </w:r>
      <w:r>
        <w:rPr>
          <w:rFonts w:ascii="Arial MT"/>
          <w:spacing w:val="12"/>
          <w:w w:val="95"/>
          <w:sz w:val="19"/>
        </w:rPr>
        <w:t> </w:t>
      </w:r>
      <w:r>
        <w:rPr>
          <w:rFonts w:ascii="Arial MT"/>
          <w:w w:val="95"/>
          <w:sz w:val="19"/>
        </w:rPr>
        <w:t>and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corticotropin</w:t>
      </w:r>
      <w:r>
        <w:rPr>
          <w:rFonts w:ascii="Arial MT"/>
          <w:spacing w:val="13"/>
          <w:w w:val="95"/>
          <w:sz w:val="19"/>
        </w:rPr>
        <w:t> </w:t>
      </w:r>
      <w:r>
        <w:rPr>
          <w:rFonts w:ascii="Arial MT"/>
          <w:w w:val="95"/>
          <w:sz w:val="19"/>
        </w:rPr>
        <w:t>releasing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hormone</w:t>
      </w:r>
      <w:r>
        <w:rPr>
          <w:rFonts w:ascii="Arial MT"/>
          <w:spacing w:val="1"/>
          <w:w w:val="95"/>
          <w:sz w:val="19"/>
        </w:rPr>
        <w:t> </w:t>
      </w:r>
      <w:r>
        <w:rPr>
          <w:rFonts w:ascii="Arial MT"/>
          <w:w w:val="95"/>
          <w:sz w:val="19"/>
        </w:rPr>
        <w:t>(CRH)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might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be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the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conceivable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contributors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to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the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development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of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vitiligo.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This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study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was</w:t>
      </w:r>
      <w:r>
        <w:rPr>
          <w:rFonts w:ascii="Arial MT"/>
          <w:spacing w:val="1"/>
          <w:w w:val="95"/>
          <w:sz w:val="19"/>
        </w:rPr>
        <w:t> </w:t>
      </w:r>
      <w:r>
        <w:rPr>
          <w:rFonts w:ascii="Arial MT"/>
          <w:w w:val="95"/>
          <w:sz w:val="19"/>
        </w:rPr>
        <w:t>aimed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at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investigation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of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the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serum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levels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of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BDNF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and</w:t>
      </w:r>
      <w:r>
        <w:rPr>
          <w:rFonts w:ascii="Arial MT"/>
          <w:spacing w:val="4"/>
          <w:w w:val="95"/>
          <w:sz w:val="19"/>
        </w:rPr>
        <w:t> </w:t>
      </w:r>
      <w:r>
        <w:rPr>
          <w:rFonts w:ascii="Arial MT"/>
          <w:w w:val="95"/>
          <w:sz w:val="19"/>
        </w:rPr>
        <w:t>CRH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as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well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as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their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selected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single</w:t>
      </w:r>
      <w:r>
        <w:rPr>
          <w:rFonts w:ascii="Arial MT"/>
          <w:spacing w:val="-47"/>
          <w:w w:val="95"/>
          <w:sz w:val="19"/>
        </w:rPr>
        <w:t> </w:t>
      </w:r>
      <w:r>
        <w:rPr>
          <w:rFonts w:ascii="Arial MT"/>
          <w:w w:val="95"/>
          <w:sz w:val="19"/>
        </w:rPr>
        <w:t>nucleotide</w:t>
      </w:r>
      <w:r>
        <w:rPr>
          <w:rFonts w:ascii="Arial MT"/>
          <w:spacing w:val="12"/>
          <w:w w:val="95"/>
          <w:sz w:val="19"/>
        </w:rPr>
        <w:t> </w:t>
      </w:r>
      <w:r>
        <w:rPr>
          <w:rFonts w:ascii="Arial MT"/>
          <w:w w:val="95"/>
          <w:sz w:val="19"/>
        </w:rPr>
        <w:t>polymorphisms</w:t>
      </w:r>
      <w:r>
        <w:rPr>
          <w:rFonts w:ascii="Arial MT"/>
          <w:spacing w:val="14"/>
          <w:w w:val="95"/>
          <w:sz w:val="19"/>
        </w:rPr>
        <w:t> </w:t>
      </w:r>
      <w:r>
        <w:rPr>
          <w:rFonts w:ascii="Arial MT"/>
          <w:w w:val="95"/>
          <w:sz w:val="19"/>
        </w:rPr>
        <w:t>(SNPs)</w:t>
      </w:r>
      <w:r>
        <w:rPr>
          <w:rFonts w:ascii="Arial MT"/>
          <w:spacing w:val="13"/>
          <w:w w:val="95"/>
          <w:sz w:val="19"/>
        </w:rPr>
        <w:t> </w:t>
      </w:r>
      <w:r>
        <w:rPr>
          <w:rFonts w:ascii="Arial MT"/>
          <w:w w:val="95"/>
          <w:sz w:val="19"/>
        </w:rPr>
        <w:t>in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vitiligo</w:t>
      </w:r>
      <w:r>
        <w:rPr>
          <w:rFonts w:ascii="Arial MT"/>
          <w:spacing w:val="14"/>
          <w:w w:val="95"/>
          <w:sz w:val="19"/>
        </w:rPr>
        <w:t> </w:t>
      </w:r>
      <w:r>
        <w:rPr>
          <w:rFonts w:ascii="Arial MT"/>
          <w:w w:val="95"/>
          <w:sz w:val="19"/>
        </w:rPr>
        <w:t>patients</w:t>
      </w:r>
      <w:r>
        <w:rPr>
          <w:rFonts w:ascii="Arial MT"/>
          <w:spacing w:val="13"/>
          <w:w w:val="95"/>
          <w:sz w:val="19"/>
        </w:rPr>
        <w:t> </w:t>
      </w:r>
      <w:r>
        <w:rPr>
          <w:rFonts w:ascii="Arial MT"/>
          <w:w w:val="95"/>
          <w:sz w:val="19"/>
        </w:rPr>
        <w:t>in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comparison</w:t>
      </w:r>
      <w:r>
        <w:rPr>
          <w:rFonts w:ascii="Arial MT"/>
          <w:spacing w:val="13"/>
          <w:w w:val="95"/>
          <w:sz w:val="19"/>
        </w:rPr>
        <w:t> </w:t>
      </w:r>
      <w:r>
        <w:rPr>
          <w:rFonts w:ascii="Arial MT"/>
          <w:w w:val="95"/>
          <w:sz w:val="19"/>
        </w:rPr>
        <w:t>with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the</w:t>
      </w:r>
      <w:r>
        <w:rPr>
          <w:rFonts w:ascii="Arial MT"/>
          <w:spacing w:val="13"/>
          <w:w w:val="95"/>
          <w:sz w:val="19"/>
        </w:rPr>
        <w:t> </w:t>
      </w:r>
      <w:r>
        <w:rPr>
          <w:rFonts w:ascii="Arial MT"/>
          <w:w w:val="95"/>
          <w:sz w:val="19"/>
        </w:rPr>
        <w:t>healthy</w:t>
      </w:r>
      <w:r>
        <w:rPr>
          <w:rFonts w:ascii="Arial MT"/>
          <w:spacing w:val="1"/>
          <w:w w:val="95"/>
          <w:sz w:val="19"/>
        </w:rPr>
        <w:t> </w:t>
      </w:r>
      <w:r>
        <w:rPr>
          <w:rFonts w:ascii="Arial MT"/>
          <w:sz w:val="19"/>
        </w:rPr>
        <w:t>controls.</w:t>
      </w:r>
    </w:p>
    <w:p>
      <w:pPr>
        <w:pStyle w:val="BodyText"/>
        <w:spacing w:before="4"/>
        <w:rPr>
          <w:rFonts w:ascii="Arial MT"/>
        </w:rPr>
      </w:pPr>
    </w:p>
    <w:p>
      <w:pPr>
        <w:pStyle w:val="Heading2"/>
      </w:pPr>
      <w:r>
        <w:rPr/>
        <w:t>Methods</w:t>
      </w:r>
    </w:p>
    <w:p>
      <w:pPr>
        <w:spacing w:line="307" w:lineRule="auto" w:before="113"/>
        <w:ind w:left="140" w:right="165" w:firstLine="0"/>
        <w:jc w:val="left"/>
        <w:rPr>
          <w:rFonts w:ascii="Arial MT"/>
          <w:sz w:val="19"/>
        </w:rPr>
      </w:pPr>
      <w:r>
        <w:rPr>
          <w:rFonts w:ascii="Arial MT"/>
          <w:w w:val="95"/>
          <w:sz w:val="19"/>
        </w:rPr>
        <w:t>The</w:t>
      </w:r>
      <w:r>
        <w:rPr>
          <w:rFonts w:ascii="Arial MT"/>
          <w:spacing w:val="4"/>
          <w:w w:val="95"/>
          <w:sz w:val="19"/>
        </w:rPr>
        <w:t> </w:t>
      </w:r>
      <w:r>
        <w:rPr>
          <w:rFonts w:ascii="Arial MT"/>
          <w:w w:val="95"/>
          <w:sz w:val="19"/>
        </w:rPr>
        <w:t>cross-sectional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study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was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carried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out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between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October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2020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and</w:t>
      </w:r>
      <w:r>
        <w:rPr>
          <w:rFonts w:ascii="Arial MT"/>
          <w:spacing w:val="3"/>
          <w:w w:val="95"/>
          <w:sz w:val="19"/>
        </w:rPr>
        <w:t> </w:t>
      </w:r>
      <w:r>
        <w:rPr>
          <w:rFonts w:ascii="Arial MT"/>
          <w:w w:val="95"/>
          <w:sz w:val="19"/>
        </w:rPr>
        <w:t>June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2021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in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93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viti-</w:t>
      </w:r>
      <w:r>
        <w:rPr>
          <w:rFonts w:ascii="Arial MT"/>
          <w:spacing w:val="1"/>
          <w:w w:val="95"/>
          <w:sz w:val="19"/>
        </w:rPr>
        <w:t> </w:t>
      </w:r>
      <w:r>
        <w:rPr>
          <w:rFonts w:ascii="Arial MT"/>
          <w:w w:val="95"/>
          <w:sz w:val="19"/>
        </w:rPr>
        <w:t>ligo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patients</w:t>
      </w:r>
      <w:r>
        <w:rPr>
          <w:rFonts w:ascii="Arial MT"/>
          <w:spacing w:val="4"/>
          <w:w w:val="95"/>
          <w:sz w:val="19"/>
        </w:rPr>
        <w:t> </w:t>
      </w:r>
      <w:r>
        <w:rPr>
          <w:rFonts w:ascii="Arial MT"/>
          <w:w w:val="95"/>
          <w:sz w:val="19"/>
        </w:rPr>
        <w:t>(age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range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from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23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to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48</w:t>
      </w:r>
      <w:r>
        <w:rPr>
          <w:rFonts w:ascii="Arial MT"/>
          <w:spacing w:val="4"/>
          <w:w w:val="95"/>
          <w:sz w:val="19"/>
        </w:rPr>
        <w:t> </w:t>
      </w:r>
      <w:r>
        <w:rPr>
          <w:rFonts w:ascii="Arial MT"/>
          <w:w w:val="95"/>
          <w:sz w:val="19"/>
        </w:rPr>
        <w:t>years)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and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132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healthy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controls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(age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range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from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24</w:t>
      </w:r>
      <w:r>
        <w:rPr>
          <w:rFonts w:ascii="Arial MT"/>
          <w:spacing w:val="3"/>
          <w:w w:val="95"/>
          <w:sz w:val="19"/>
        </w:rPr>
        <w:t> </w:t>
      </w:r>
      <w:r>
        <w:rPr>
          <w:rFonts w:ascii="Arial MT"/>
          <w:w w:val="95"/>
          <w:sz w:val="19"/>
        </w:rPr>
        <w:t>to</w:t>
      </w:r>
      <w:r>
        <w:rPr>
          <w:rFonts w:ascii="Arial MT"/>
          <w:spacing w:val="-47"/>
          <w:w w:val="95"/>
          <w:sz w:val="19"/>
        </w:rPr>
        <w:t> </w:t>
      </w:r>
      <w:r>
        <w:rPr>
          <w:rFonts w:ascii="Arial MT"/>
          <w:w w:val="95"/>
          <w:sz w:val="19"/>
        </w:rPr>
        <w:t>52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years).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The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psychological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status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of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study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participants</w:t>
      </w:r>
      <w:r>
        <w:rPr>
          <w:rFonts w:ascii="Arial MT"/>
          <w:spacing w:val="12"/>
          <w:w w:val="95"/>
          <w:sz w:val="19"/>
        </w:rPr>
        <w:t> </w:t>
      </w:r>
      <w:r>
        <w:rPr>
          <w:rFonts w:ascii="Arial MT"/>
          <w:w w:val="95"/>
          <w:sz w:val="19"/>
        </w:rPr>
        <w:t>was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evaluated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using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the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General-</w:t>
      </w:r>
      <w:r>
        <w:rPr>
          <w:rFonts w:ascii="Arial MT"/>
          <w:spacing w:val="1"/>
          <w:w w:val="95"/>
          <w:sz w:val="19"/>
        </w:rPr>
        <w:t> </w:t>
      </w:r>
      <w:r>
        <w:rPr>
          <w:rFonts w:ascii="Arial MT"/>
          <w:w w:val="95"/>
          <w:sz w:val="19"/>
        </w:rPr>
        <w:t>ized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Anxiety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Disorder-7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(GAD-7)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scale.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Serum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levels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of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BDNF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and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CRH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were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measured</w:t>
      </w:r>
      <w:r>
        <w:rPr>
          <w:rFonts w:ascii="Arial MT"/>
          <w:spacing w:val="1"/>
          <w:w w:val="95"/>
          <w:sz w:val="19"/>
        </w:rPr>
        <w:t> </w:t>
      </w:r>
      <w:r>
        <w:rPr>
          <w:rFonts w:ascii="Arial MT"/>
          <w:w w:val="95"/>
          <w:sz w:val="19"/>
        </w:rPr>
        <w:t>with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the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help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of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a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commercially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available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sandwich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enzyme-linked</w:t>
      </w:r>
      <w:r>
        <w:rPr>
          <w:rFonts w:ascii="Arial MT"/>
          <w:spacing w:val="7"/>
          <w:w w:val="95"/>
          <w:sz w:val="19"/>
        </w:rPr>
        <w:t> </w:t>
      </w:r>
      <w:r>
        <w:rPr>
          <w:rFonts w:ascii="Arial MT"/>
          <w:w w:val="95"/>
          <w:sz w:val="19"/>
        </w:rPr>
        <w:t>immunosorbent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assay</w:t>
      </w:r>
      <w:r>
        <w:rPr>
          <w:rFonts w:ascii="Arial MT"/>
          <w:spacing w:val="1"/>
          <w:w w:val="95"/>
          <w:sz w:val="19"/>
        </w:rPr>
        <w:t> </w:t>
      </w:r>
      <w:r>
        <w:rPr>
          <w:rFonts w:ascii="Arial MT"/>
          <w:w w:val="95"/>
          <w:sz w:val="19"/>
        </w:rPr>
        <w:t>(ELISA)</w:t>
      </w:r>
      <w:r>
        <w:rPr>
          <w:rFonts w:ascii="Arial MT"/>
          <w:spacing w:val="4"/>
          <w:w w:val="95"/>
          <w:sz w:val="19"/>
        </w:rPr>
        <w:t> </w:t>
      </w:r>
      <w:r>
        <w:rPr>
          <w:rFonts w:ascii="Arial MT"/>
          <w:w w:val="95"/>
          <w:sz w:val="19"/>
        </w:rPr>
        <w:t>kit.</w:t>
      </w:r>
      <w:r>
        <w:rPr>
          <w:rFonts w:ascii="Arial MT"/>
          <w:spacing w:val="2"/>
          <w:w w:val="95"/>
          <w:sz w:val="19"/>
        </w:rPr>
        <w:t> </w:t>
      </w:r>
      <w:r>
        <w:rPr>
          <w:rFonts w:ascii="Arial MT"/>
          <w:w w:val="95"/>
          <w:sz w:val="19"/>
        </w:rPr>
        <w:t>Genotyping</w:t>
      </w:r>
      <w:r>
        <w:rPr>
          <w:rFonts w:ascii="Arial MT"/>
          <w:spacing w:val="6"/>
          <w:w w:val="95"/>
          <w:sz w:val="19"/>
        </w:rPr>
        <w:t> </w:t>
      </w:r>
      <w:r>
        <w:rPr>
          <w:rFonts w:ascii="Arial MT"/>
          <w:w w:val="95"/>
          <w:sz w:val="19"/>
        </w:rPr>
        <w:t>for</w:t>
      </w:r>
      <w:r>
        <w:rPr>
          <w:rFonts w:ascii="Arial MT"/>
          <w:spacing w:val="3"/>
          <w:w w:val="95"/>
          <w:sz w:val="19"/>
        </w:rPr>
        <w:t> </w:t>
      </w:r>
      <w:r>
        <w:rPr>
          <w:rFonts w:ascii="Arial MT"/>
          <w:w w:val="95"/>
          <w:sz w:val="19"/>
        </w:rPr>
        <w:t>the</w:t>
      </w:r>
      <w:r>
        <w:rPr>
          <w:rFonts w:ascii="Arial MT"/>
          <w:spacing w:val="4"/>
          <w:w w:val="95"/>
          <w:sz w:val="19"/>
        </w:rPr>
        <w:t> </w:t>
      </w:r>
      <w:r>
        <w:rPr>
          <w:rFonts w:ascii="Arial MT"/>
          <w:w w:val="95"/>
          <w:sz w:val="19"/>
        </w:rPr>
        <w:t>rs11030094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polymorphism</w:t>
      </w:r>
      <w:r>
        <w:rPr>
          <w:rFonts w:ascii="Arial MT"/>
          <w:spacing w:val="4"/>
          <w:w w:val="95"/>
          <w:sz w:val="19"/>
        </w:rPr>
        <w:t> </w:t>
      </w:r>
      <w:r>
        <w:rPr>
          <w:rFonts w:ascii="Arial MT"/>
          <w:w w:val="95"/>
          <w:sz w:val="19"/>
        </w:rPr>
        <w:t>of</w:t>
      </w:r>
      <w:r>
        <w:rPr>
          <w:rFonts w:ascii="Arial MT"/>
          <w:spacing w:val="3"/>
          <w:w w:val="95"/>
          <w:sz w:val="19"/>
        </w:rPr>
        <w:t> </w:t>
      </w:r>
      <w:r>
        <w:rPr>
          <w:rFonts w:ascii="Arial MT"/>
          <w:w w:val="95"/>
          <w:sz w:val="19"/>
        </w:rPr>
        <w:t>the</w:t>
      </w:r>
      <w:r>
        <w:rPr>
          <w:rFonts w:ascii="Arial MT"/>
          <w:spacing w:val="4"/>
          <w:w w:val="95"/>
          <w:sz w:val="19"/>
        </w:rPr>
        <w:t> </w:t>
      </w:r>
      <w:r>
        <w:rPr>
          <w:rFonts w:ascii="Arial"/>
          <w:i/>
          <w:w w:val="95"/>
          <w:sz w:val="19"/>
        </w:rPr>
        <w:t>BDNF</w:t>
      </w:r>
      <w:r>
        <w:rPr>
          <w:rFonts w:ascii="Arial"/>
          <w:i/>
          <w:spacing w:val="4"/>
          <w:w w:val="95"/>
          <w:sz w:val="19"/>
        </w:rPr>
        <w:t> </w:t>
      </w:r>
      <w:r>
        <w:rPr>
          <w:rFonts w:ascii="Arial MT"/>
          <w:w w:val="95"/>
          <w:sz w:val="19"/>
        </w:rPr>
        <w:t>gene</w:t>
      </w:r>
      <w:r>
        <w:rPr>
          <w:rFonts w:ascii="Arial MT"/>
          <w:spacing w:val="4"/>
          <w:w w:val="95"/>
          <w:sz w:val="19"/>
        </w:rPr>
        <w:t> </w:t>
      </w:r>
      <w:r>
        <w:rPr>
          <w:rFonts w:ascii="Arial MT"/>
          <w:w w:val="95"/>
          <w:sz w:val="19"/>
        </w:rPr>
        <w:t>and</w:t>
      </w:r>
      <w:r>
        <w:rPr>
          <w:rFonts w:ascii="Arial MT"/>
          <w:spacing w:val="2"/>
          <w:w w:val="95"/>
          <w:sz w:val="19"/>
        </w:rPr>
        <w:t> </w:t>
      </w:r>
      <w:r>
        <w:rPr>
          <w:rFonts w:ascii="Arial MT"/>
          <w:w w:val="95"/>
          <w:sz w:val="19"/>
        </w:rPr>
        <w:t>for</w:t>
      </w:r>
      <w:r>
        <w:rPr>
          <w:rFonts w:ascii="Arial MT"/>
          <w:spacing w:val="4"/>
          <w:w w:val="95"/>
          <w:sz w:val="19"/>
        </w:rPr>
        <w:t> </w:t>
      </w:r>
      <w:r>
        <w:rPr>
          <w:rFonts w:ascii="Arial MT"/>
          <w:w w:val="95"/>
          <w:sz w:val="19"/>
        </w:rPr>
        <w:t>the</w:t>
      </w:r>
      <w:r>
        <w:rPr>
          <w:rFonts w:ascii="Arial MT"/>
          <w:spacing w:val="1"/>
          <w:w w:val="95"/>
          <w:sz w:val="19"/>
        </w:rPr>
        <w:t> </w:t>
      </w:r>
      <w:r>
        <w:rPr>
          <w:rFonts w:ascii="Arial MT"/>
          <w:w w:val="95"/>
          <w:sz w:val="19"/>
        </w:rPr>
        <w:t>rs242924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polymorphism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of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the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corticotropin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releasing</w:t>
      </w:r>
      <w:r>
        <w:rPr>
          <w:rFonts w:ascii="Arial MT"/>
          <w:spacing w:val="12"/>
          <w:w w:val="95"/>
          <w:sz w:val="19"/>
        </w:rPr>
        <w:t> </w:t>
      </w:r>
      <w:r>
        <w:rPr>
          <w:rFonts w:ascii="Arial MT"/>
          <w:w w:val="95"/>
          <w:sz w:val="19"/>
        </w:rPr>
        <w:t>hormone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receptor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1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"/>
          <w:i/>
          <w:w w:val="95"/>
          <w:sz w:val="19"/>
        </w:rPr>
        <w:t>(CRH-R1)</w:t>
      </w:r>
      <w:r>
        <w:rPr>
          <w:rFonts w:ascii="Arial"/>
          <w:i/>
          <w:spacing w:val="12"/>
          <w:w w:val="95"/>
          <w:sz w:val="19"/>
        </w:rPr>
        <w:t> </w:t>
      </w:r>
      <w:r>
        <w:rPr>
          <w:rFonts w:ascii="Arial MT"/>
          <w:w w:val="95"/>
          <w:sz w:val="19"/>
        </w:rPr>
        <w:t>gene</w:t>
      </w:r>
      <w:r>
        <w:rPr>
          <w:rFonts w:ascii="Arial MT"/>
          <w:spacing w:val="1"/>
          <w:w w:val="95"/>
          <w:sz w:val="19"/>
        </w:rPr>
        <w:t> </w:t>
      </w:r>
      <w:r>
        <w:rPr>
          <w:rFonts w:ascii="Arial MT"/>
          <w:w w:val="95"/>
          <w:sz w:val="19"/>
        </w:rPr>
        <w:t>was</w:t>
      </w:r>
      <w:r>
        <w:rPr>
          <w:rFonts w:ascii="Arial MT"/>
          <w:spacing w:val="-7"/>
          <w:w w:val="95"/>
          <w:sz w:val="19"/>
        </w:rPr>
        <w:t> </w:t>
      </w:r>
      <w:r>
        <w:rPr>
          <w:rFonts w:ascii="Arial MT"/>
          <w:w w:val="95"/>
          <w:sz w:val="19"/>
        </w:rPr>
        <w:t>performed</w:t>
      </w:r>
      <w:r>
        <w:rPr>
          <w:rFonts w:ascii="Arial MT"/>
          <w:spacing w:val="-5"/>
          <w:w w:val="95"/>
          <w:sz w:val="19"/>
        </w:rPr>
        <w:t> </w:t>
      </w:r>
      <w:r>
        <w:rPr>
          <w:rFonts w:ascii="Arial MT"/>
          <w:w w:val="95"/>
          <w:sz w:val="19"/>
        </w:rPr>
        <w:t>by</w:t>
      </w:r>
      <w:r>
        <w:rPr>
          <w:rFonts w:ascii="Arial MT"/>
          <w:spacing w:val="-7"/>
          <w:w w:val="95"/>
          <w:sz w:val="19"/>
        </w:rPr>
        <w:t> </w:t>
      </w:r>
      <w:r>
        <w:rPr>
          <w:rFonts w:ascii="Arial MT"/>
          <w:w w:val="95"/>
          <w:sz w:val="19"/>
        </w:rPr>
        <w:t>a</w:t>
      </w:r>
      <w:r>
        <w:rPr>
          <w:rFonts w:ascii="Arial MT"/>
          <w:spacing w:val="-7"/>
          <w:w w:val="95"/>
          <w:sz w:val="19"/>
        </w:rPr>
        <w:t> </w:t>
      </w:r>
      <w:r>
        <w:rPr>
          <w:rFonts w:ascii="Arial MT"/>
          <w:w w:val="95"/>
          <w:sz w:val="19"/>
        </w:rPr>
        <w:t>real-time</w:t>
      </w:r>
      <w:r>
        <w:rPr>
          <w:rFonts w:ascii="Arial MT"/>
          <w:spacing w:val="-4"/>
          <w:w w:val="95"/>
          <w:sz w:val="19"/>
        </w:rPr>
        <w:t> </w:t>
      </w:r>
      <w:r>
        <w:rPr>
          <w:rFonts w:ascii="Arial MT"/>
          <w:w w:val="95"/>
          <w:sz w:val="19"/>
        </w:rPr>
        <w:t>polymerase</w:t>
      </w:r>
      <w:r>
        <w:rPr>
          <w:rFonts w:ascii="Arial MT"/>
          <w:spacing w:val="-4"/>
          <w:w w:val="95"/>
          <w:sz w:val="19"/>
        </w:rPr>
        <w:t> </w:t>
      </w:r>
      <w:r>
        <w:rPr>
          <w:rFonts w:ascii="Arial MT"/>
          <w:w w:val="95"/>
          <w:sz w:val="19"/>
        </w:rPr>
        <w:t>chain</w:t>
      </w:r>
      <w:r>
        <w:rPr>
          <w:rFonts w:ascii="Arial MT"/>
          <w:spacing w:val="-7"/>
          <w:w w:val="95"/>
          <w:sz w:val="19"/>
        </w:rPr>
        <w:t> </w:t>
      </w:r>
      <w:r>
        <w:rPr>
          <w:rFonts w:ascii="Arial MT"/>
          <w:w w:val="95"/>
          <w:sz w:val="19"/>
        </w:rPr>
        <w:t>reaction</w:t>
      </w:r>
      <w:r>
        <w:rPr>
          <w:rFonts w:ascii="Arial MT"/>
          <w:spacing w:val="-5"/>
          <w:w w:val="95"/>
          <w:sz w:val="19"/>
        </w:rPr>
        <w:t> </w:t>
      </w:r>
      <w:r>
        <w:rPr>
          <w:rFonts w:ascii="Arial MT"/>
          <w:w w:val="95"/>
          <w:sz w:val="19"/>
        </w:rPr>
        <w:t>(PCR).</w:t>
      </w:r>
    </w:p>
    <w:p>
      <w:pPr>
        <w:pStyle w:val="BodyText"/>
        <w:spacing w:before="5"/>
        <w:rPr>
          <w:rFonts w:ascii="Arial MT"/>
        </w:rPr>
      </w:pPr>
    </w:p>
    <w:p>
      <w:pPr>
        <w:pStyle w:val="Heading2"/>
      </w:pPr>
      <w:r>
        <w:rPr/>
        <w:t>Results</w:t>
      </w:r>
    </w:p>
    <w:p>
      <w:pPr>
        <w:spacing w:line="307" w:lineRule="auto" w:before="113"/>
        <w:ind w:left="140" w:right="0" w:firstLine="0"/>
        <w:jc w:val="left"/>
        <w:rPr>
          <w:rFonts w:ascii="Arial MT"/>
          <w:sz w:val="19"/>
        </w:rPr>
      </w:pPr>
      <w:r>
        <w:rPr>
          <w:rFonts w:ascii="Arial MT"/>
          <w:w w:val="95"/>
          <w:sz w:val="19"/>
        </w:rPr>
        <w:t>There was a significant relationship</w:t>
      </w:r>
      <w:r>
        <w:rPr>
          <w:rFonts w:ascii="Arial MT"/>
          <w:spacing w:val="1"/>
          <w:w w:val="95"/>
          <w:sz w:val="19"/>
        </w:rPr>
        <w:t> </w:t>
      </w:r>
      <w:r>
        <w:rPr>
          <w:rFonts w:ascii="Arial MT"/>
          <w:w w:val="95"/>
          <w:sz w:val="19"/>
        </w:rPr>
        <w:t>between the </w:t>
      </w:r>
      <w:r>
        <w:rPr>
          <w:rFonts w:ascii="Arial"/>
          <w:i/>
          <w:w w:val="95"/>
          <w:sz w:val="19"/>
        </w:rPr>
        <w:t>CRH-R1</w:t>
      </w:r>
      <w:r>
        <w:rPr>
          <w:rFonts w:ascii="Arial"/>
          <w:i/>
          <w:spacing w:val="1"/>
          <w:w w:val="95"/>
          <w:sz w:val="19"/>
        </w:rPr>
        <w:t> </w:t>
      </w:r>
      <w:r>
        <w:rPr>
          <w:rFonts w:ascii="Arial MT"/>
          <w:w w:val="95"/>
          <w:sz w:val="19"/>
        </w:rPr>
        <w:t>rs242924 and </w:t>
      </w:r>
      <w:r>
        <w:rPr>
          <w:rFonts w:ascii="Arial"/>
          <w:i/>
          <w:w w:val="95"/>
          <w:sz w:val="19"/>
        </w:rPr>
        <w:t>BDNF</w:t>
      </w:r>
      <w:r>
        <w:rPr>
          <w:rFonts w:ascii="Arial"/>
          <w:i/>
          <w:spacing w:val="1"/>
          <w:w w:val="95"/>
          <w:sz w:val="19"/>
        </w:rPr>
        <w:t> </w:t>
      </w:r>
      <w:r>
        <w:rPr>
          <w:rFonts w:ascii="Arial MT"/>
          <w:w w:val="95"/>
          <w:sz w:val="19"/>
        </w:rPr>
        <w:t>rs11030094</w:t>
      </w:r>
      <w:r>
        <w:rPr>
          <w:rFonts w:ascii="Arial MT"/>
          <w:spacing w:val="-48"/>
          <w:w w:val="95"/>
          <w:sz w:val="19"/>
        </w:rPr>
        <w:t> </w:t>
      </w:r>
      <w:r>
        <w:rPr>
          <w:rFonts w:ascii="Arial MT"/>
          <w:w w:val="95"/>
          <w:sz w:val="19"/>
        </w:rPr>
        <w:t>polymorphisms and</w:t>
      </w:r>
      <w:r>
        <w:rPr>
          <w:rFonts w:ascii="Arial MT"/>
          <w:spacing w:val="-3"/>
          <w:w w:val="95"/>
          <w:sz w:val="19"/>
        </w:rPr>
        <w:t> </w:t>
      </w:r>
      <w:r>
        <w:rPr>
          <w:rFonts w:ascii="Arial MT"/>
          <w:w w:val="95"/>
          <w:sz w:val="19"/>
        </w:rPr>
        <w:t>vitiligo.</w:t>
      </w:r>
      <w:r>
        <w:rPr>
          <w:rFonts w:ascii="Arial MT"/>
          <w:spacing w:val="-1"/>
          <w:w w:val="95"/>
          <w:sz w:val="19"/>
        </w:rPr>
        <w:t> </w:t>
      </w:r>
      <w:r>
        <w:rPr>
          <w:rFonts w:ascii="Arial MT"/>
          <w:w w:val="95"/>
          <w:sz w:val="19"/>
        </w:rPr>
        <w:t>Moreover, serum</w:t>
      </w:r>
      <w:r>
        <w:rPr>
          <w:rFonts w:ascii="Arial MT"/>
          <w:spacing w:val="-1"/>
          <w:w w:val="95"/>
          <w:sz w:val="19"/>
        </w:rPr>
        <w:t> </w:t>
      </w:r>
      <w:r>
        <w:rPr>
          <w:rFonts w:ascii="Arial MT"/>
          <w:w w:val="95"/>
          <w:sz w:val="19"/>
        </w:rPr>
        <w:t>levels of</w:t>
      </w:r>
      <w:r>
        <w:rPr>
          <w:rFonts w:ascii="Arial MT"/>
          <w:spacing w:val="-2"/>
          <w:w w:val="95"/>
          <w:sz w:val="19"/>
        </w:rPr>
        <w:t> </w:t>
      </w:r>
      <w:r>
        <w:rPr>
          <w:rFonts w:ascii="Arial MT"/>
          <w:w w:val="95"/>
          <w:sz w:val="19"/>
        </w:rPr>
        <w:t>neurotransmitters</w:t>
      </w:r>
      <w:r>
        <w:rPr>
          <w:rFonts w:ascii="Arial MT"/>
          <w:spacing w:val="-3"/>
          <w:w w:val="95"/>
          <w:sz w:val="19"/>
        </w:rPr>
        <w:t> </w:t>
      </w:r>
      <w:r>
        <w:rPr>
          <w:rFonts w:ascii="Arial MT"/>
          <w:w w:val="95"/>
          <w:sz w:val="19"/>
        </w:rPr>
        <w:t>differed</w:t>
      </w:r>
    </w:p>
    <w:p>
      <w:pPr>
        <w:spacing w:after="0" w:line="307" w:lineRule="auto"/>
        <w:jc w:val="left"/>
        <w:rPr>
          <w:rFonts w:ascii="Arial MT"/>
          <w:sz w:val="19"/>
        </w:rPr>
        <w:sectPr>
          <w:type w:val="continuous"/>
          <w:pgSz w:w="12240" w:h="15840"/>
          <w:pgMar w:top="480" w:bottom="880" w:left="580" w:right="600"/>
          <w:cols w:num="2" w:equalWidth="0">
            <w:col w:w="3198" w:space="83"/>
            <w:col w:w="7779"/>
          </w:cols>
        </w:sectPr>
      </w:pPr>
    </w:p>
    <w:p>
      <w:pPr>
        <w:pStyle w:val="BodyText"/>
        <w:spacing w:before="10"/>
        <w:rPr>
          <w:rFonts w:ascii="Arial MT"/>
          <w:sz w:val="28"/>
        </w:rPr>
      </w:pPr>
    </w:p>
    <w:p>
      <w:pPr>
        <w:spacing w:after="0"/>
        <w:rPr>
          <w:rFonts w:ascii="Arial MT"/>
          <w:sz w:val="28"/>
        </w:rPr>
        <w:sectPr>
          <w:headerReference w:type="default" r:id="rId15"/>
          <w:footerReference w:type="default" r:id="rId16"/>
          <w:pgSz w:w="12240" w:h="15840"/>
          <w:pgMar w:header="705" w:footer="680" w:top="1080" w:bottom="880" w:left="580" w:right="600"/>
        </w:sectPr>
      </w:pPr>
    </w:p>
    <w:p>
      <w:pPr>
        <w:spacing w:line="288" w:lineRule="auto" w:before="85"/>
        <w:ind w:left="139" w:right="0" w:firstLine="0"/>
        <w:jc w:val="left"/>
        <w:rPr>
          <w:rFonts w:ascii="Arial MT"/>
          <w:sz w:val="16"/>
        </w:rPr>
      </w:pPr>
      <w:bookmarkStart w:name="_bookmark0" w:id="1"/>
      <w:bookmarkEnd w:id="1"/>
      <w:r>
        <w:rPr/>
      </w:r>
      <w:r>
        <w:rPr>
          <w:rFonts w:ascii="Arial"/>
          <w:b/>
          <w:spacing w:val="-2"/>
          <w:w w:val="85"/>
          <w:sz w:val="16"/>
        </w:rPr>
        <w:t>Funding:</w:t>
      </w:r>
      <w:r>
        <w:rPr>
          <w:rFonts w:ascii="Arial"/>
          <w:b/>
          <w:spacing w:val="-8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The</w:t>
      </w:r>
      <w:r>
        <w:rPr>
          <w:rFonts w:ascii="Arial MT"/>
          <w:spacing w:val="-6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author(s)</w:t>
      </w:r>
      <w:r>
        <w:rPr>
          <w:rFonts w:ascii="Arial MT"/>
          <w:spacing w:val="-7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received</w:t>
      </w:r>
      <w:r>
        <w:rPr>
          <w:rFonts w:ascii="Arial MT"/>
          <w:spacing w:val="-7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no</w:t>
      </w:r>
      <w:r>
        <w:rPr>
          <w:rFonts w:ascii="Arial MT"/>
          <w:spacing w:val="-7"/>
          <w:w w:val="85"/>
          <w:sz w:val="16"/>
        </w:rPr>
        <w:t> </w:t>
      </w:r>
      <w:r>
        <w:rPr>
          <w:rFonts w:ascii="Arial MT"/>
          <w:spacing w:val="-2"/>
          <w:w w:val="85"/>
          <w:sz w:val="16"/>
        </w:rPr>
        <w:t>specific</w:t>
      </w:r>
      <w:r>
        <w:rPr>
          <w:rFonts w:ascii="Arial MT"/>
          <w:spacing w:val="-34"/>
          <w:w w:val="85"/>
          <w:sz w:val="16"/>
        </w:rPr>
        <w:t> </w:t>
      </w:r>
      <w:r>
        <w:rPr>
          <w:rFonts w:ascii="Arial MT"/>
          <w:spacing w:val="-2"/>
          <w:w w:val="90"/>
          <w:sz w:val="16"/>
        </w:rPr>
        <w:t>funding</w:t>
      </w:r>
      <w:r>
        <w:rPr>
          <w:rFonts w:ascii="Arial MT"/>
          <w:spacing w:val="-12"/>
          <w:w w:val="90"/>
          <w:sz w:val="16"/>
        </w:rPr>
        <w:t> </w:t>
      </w:r>
      <w:r>
        <w:rPr>
          <w:rFonts w:ascii="Arial MT"/>
          <w:spacing w:val="-2"/>
          <w:w w:val="90"/>
          <w:sz w:val="16"/>
        </w:rPr>
        <w:t>for</w:t>
      </w:r>
      <w:r>
        <w:rPr>
          <w:rFonts w:ascii="Arial MT"/>
          <w:spacing w:val="-9"/>
          <w:w w:val="90"/>
          <w:sz w:val="16"/>
        </w:rPr>
        <w:t> </w:t>
      </w:r>
      <w:r>
        <w:rPr>
          <w:rFonts w:ascii="Arial MT"/>
          <w:spacing w:val="-2"/>
          <w:w w:val="90"/>
          <w:sz w:val="16"/>
        </w:rPr>
        <w:t>this</w:t>
      </w:r>
      <w:r>
        <w:rPr>
          <w:rFonts w:ascii="Arial MT"/>
          <w:spacing w:val="-10"/>
          <w:w w:val="90"/>
          <w:sz w:val="16"/>
        </w:rPr>
        <w:t> </w:t>
      </w:r>
      <w:r>
        <w:rPr>
          <w:rFonts w:ascii="Arial MT"/>
          <w:spacing w:val="-1"/>
          <w:w w:val="90"/>
          <w:sz w:val="16"/>
        </w:rPr>
        <w:t>work.</w:t>
      </w:r>
    </w:p>
    <w:p>
      <w:pPr>
        <w:spacing w:line="288" w:lineRule="auto" w:before="119"/>
        <w:ind w:left="139" w:right="21" w:firstLine="0"/>
        <w:jc w:val="left"/>
        <w:rPr>
          <w:rFonts w:ascii="Arial MT"/>
          <w:sz w:val="16"/>
        </w:rPr>
      </w:pPr>
      <w:bookmarkStart w:name="_bookmark1" w:id="2"/>
      <w:bookmarkEnd w:id="2"/>
      <w:r>
        <w:rPr/>
      </w:r>
      <w:r>
        <w:rPr>
          <w:rFonts w:ascii="Arial"/>
          <w:b/>
          <w:spacing w:val="-4"/>
          <w:w w:val="85"/>
          <w:sz w:val="16"/>
        </w:rPr>
        <w:t>Competing </w:t>
      </w:r>
      <w:r>
        <w:rPr>
          <w:rFonts w:ascii="Arial"/>
          <w:b/>
          <w:spacing w:val="-3"/>
          <w:w w:val="85"/>
          <w:sz w:val="16"/>
        </w:rPr>
        <w:t>interests: </w:t>
      </w:r>
      <w:r>
        <w:rPr>
          <w:rFonts w:ascii="Arial MT"/>
          <w:spacing w:val="-3"/>
          <w:w w:val="85"/>
          <w:sz w:val="16"/>
        </w:rPr>
        <w:t>The authors have declared</w:t>
      </w:r>
      <w:r>
        <w:rPr>
          <w:rFonts w:ascii="Arial MT"/>
          <w:spacing w:val="-35"/>
          <w:w w:val="85"/>
          <w:sz w:val="16"/>
        </w:rPr>
        <w:t> </w:t>
      </w:r>
      <w:r>
        <w:rPr>
          <w:rFonts w:ascii="Arial MT"/>
          <w:spacing w:val="-4"/>
          <w:w w:val="90"/>
          <w:sz w:val="16"/>
        </w:rPr>
        <w:t>that</w:t>
      </w:r>
      <w:r>
        <w:rPr>
          <w:rFonts w:ascii="Arial MT"/>
          <w:spacing w:val="-11"/>
          <w:w w:val="90"/>
          <w:sz w:val="16"/>
        </w:rPr>
        <w:t> </w:t>
      </w:r>
      <w:r>
        <w:rPr>
          <w:rFonts w:ascii="Arial MT"/>
          <w:spacing w:val="-4"/>
          <w:w w:val="90"/>
          <w:sz w:val="16"/>
        </w:rPr>
        <w:t>no</w:t>
      </w:r>
      <w:r>
        <w:rPr>
          <w:rFonts w:ascii="Arial MT"/>
          <w:spacing w:val="-9"/>
          <w:w w:val="90"/>
          <w:sz w:val="16"/>
        </w:rPr>
        <w:t> </w:t>
      </w:r>
      <w:r>
        <w:rPr>
          <w:rFonts w:ascii="Arial MT"/>
          <w:spacing w:val="-4"/>
          <w:w w:val="90"/>
          <w:sz w:val="16"/>
        </w:rPr>
        <w:t>competing</w:t>
      </w:r>
      <w:r>
        <w:rPr>
          <w:rFonts w:ascii="Arial MT"/>
          <w:spacing w:val="-11"/>
          <w:w w:val="90"/>
          <w:sz w:val="16"/>
        </w:rPr>
        <w:t> </w:t>
      </w:r>
      <w:r>
        <w:rPr>
          <w:rFonts w:ascii="Arial MT"/>
          <w:spacing w:val="-3"/>
          <w:w w:val="90"/>
          <w:sz w:val="16"/>
        </w:rPr>
        <w:t>interests</w:t>
      </w:r>
      <w:r>
        <w:rPr>
          <w:rFonts w:ascii="Arial MT"/>
          <w:spacing w:val="-10"/>
          <w:w w:val="90"/>
          <w:sz w:val="16"/>
        </w:rPr>
        <w:t> </w:t>
      </w:r>
      <w:r>
        <w:rPr>
          <w:rFonts w:ascii="Arial MT"/>
          <w:spacing w:val="-3"/>
          <w:w w:val="90"/>
          <w:sz w:val="16"/>
        </w:rPr>
        <w:t>exist.</w:t>
      </w:r>
    </w:p>
    <w:p>
      <w:pPr>
        <w:spacing w:before="76"/>
        <w:ind w:left="139" w:right="0" w:firstLine="0"/>
        <w:jc w:val="left"/>
        <w:rPr>
          <w:rFonts w:ascii="Arial"/>
          <w:i/>
          <w:sz w:val="19"/>
        </w:rPr>
      </w:pPr>
      <w:r>
        <w:rPr/>
        <w:br w:type="column"/>
      </w:r>
      <w:r>
        <w:rPr>
          <w:rFonts w:ascii="Arial MT"/>
          <w:w w:val="95"/>
          <w:sz w:val="19"/>
        </w:rPr>
        <w:t>significantly</w:t>
      </w:r>
      <w:r>
        <w:rPr>
          <w:rFonts w:ascii="Arial MT"/>
          <w:spacing w:val="14"/>
          <w:w w:val="95"/>
          <w:sz w:val="19"/>
        </w:rPr>
        <w:t> </w:t>
      </w:r>
      <w:r>
        <w:rPr>
          <w:rFonts w:ascii="Arial MT"/>
          <w:w w:val="95"/>
          <w:sz w:val="19"/>
        </w:rPr>
        <w:t>between</w:t>
      </w:r>
      <w:r>
        <w:rPr>
          <w:rFonts w:ascii="Arial MT"/>
          <w:spacing w:val="13"/>
          <w:w w:val="95"/>
          <w:sz w:val="19"/>
        </w:rPr>
        <w:t> </w:t>
      </w:r>
      <w:r>
        <w:rPr>
          <w:rFonts w:ascii="Arial MT"/>
          <w:w w:val="95"/>
          <w:sz w:val="19"/>
        </w:rPr>
        <w:t>vitiligo</w:t>
      </w:r>
      <w:r>
        <w:rPr>
          <w:rFonts w:ascii="Arial MT"/>
          <w:spacing w:val="14"/>
          <w:w w:val="95"/>
          <w:sz w:val="19"/>
        </w:rPr>
        <w:t> </w:t>
      </w:r>
      <w:r>
        <w:rPr>
          <w:rFonts w:ascii="Arial MT"/>
          <w:w w:val="95"/>
          <w:sz w:val="19"/>
        </w:rPr>
        <w:t>and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control</w:t>
      </w:r>
      <w:r>
        <w:rPr>
          <w:rFonts w:ascii="Arial MT"/>
          <w:spacing w:val="13"/>
          <w:w w:val="95"/>
          <w:sz w:val="19"/>
        </w:rPr>
        <w:t> </w:t>
      </w:r>
      <w:r>
        <w:rPr>
          <w:rFonts w:ascii="Arial MT"/>
          <w:w w:val="95"/>
          <w:sz w:val="19"/>
        </w:rPr>
        <w:t>groups</w:t>
      </w:r>
      <w:r>
        <w:rPr>
          <w:rFonts w:ascii="Arial MT"/>
          <w:spacing w:val="12"/>
          <w:w w:val="95"/>
          <w:sz w:val="19"/>
        </w:rPr>
        <w:t> </w:t>
      </w:r>
      <w:r>
        <w:rPr>
          <w:rFonts w:ascii="Arial MT"/>
          <w:w w:val="95"/>
          <w:sz w:val="19"/>
        </w:rPr>
        <w:t>and</w:t>
      </w:r>
      <w:r>
        <w:rPr>
          <w:rFonts w:ascii="Arial MT"/>
          <w:spacing w:val="13"/>
          <w:w w:val="95"/>
          <w:sz w:val="19"/>
        </w:rPr>
        <w:t> </w:t>
      </w:r>
      <w:r>
        <w:rPr>
          <w:rFonts w:ascii="Arial MT"/>
          <w:w w:val="95"/>
          <w:sz w:val="19"/>
        </w:rPr>
        <w:t>were</w:t>
      </w:r>
      <w:r>
        <w:rPr>
          <w:rFonts w:ascii="Arial MT"/>
          <w:spacing w:val="13"/>
          <w:w w:val="95"/>
          <w:sz w:val="19"/>
        </w:rPr>
        <w:t> </w:t>
      </w:r>
      <w:r>
        <w:rPr>
          <w:rFonts w:ascii="Arial MT"/>
          <w:w w:val="95"/>
          <w:sz w:val="19"/>
        </w:rPr>
        <w:t>associated</w:t>
      </w:r>
      <w:r>
        <w:rPr>
          <w:rFonts w:ascii="Arial MT"/>
          <w:spacing w:val="13"/>
          <w:w w:val="95"/>
          <w:sz w:val="19"/>
        </w:rPr>
        <w:t> </w:t>
      </w:r>
      <w:r>
        <w:rPr>
          <w:rFonts w:ascii="Arial MT"/>
          <w:w w:val="95"/>
          <w:sz w:val="19"/>
        </w:rPr>
        <w:t>with</w:t>
      </w:r>
      <w:r>
        <w:rPr>
          <w:rFonts w:ascii="Arial MT"/>
          <w:spacing w:val="13"/>
          <w:w w:val="95"/>
          <w:sz w:val="19"/>
        </w:rPr>
        <w:t> </w:t>
      </w:r>
      <w:r>
        <w:rPr>
          <w:rFonts w:ascii="Arial MT"/>
          <w:w w:val="95"/>
          <w:sz w:val="19"/>
        </w:rPr>
        <w:t>the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"/>
          <w:i/>
          <w:w w:val="95"/>
          <w:sz w:val="19"/>
        </w:rPr>
        <w:t>CRH-R1</w:t>
      </w:r>
    </w:p>
    <w:p>
      <w:pPr>
        <w:spacing w:before="62"/>
        <w:ind w:left="139" w:right="0" w:firstLine="0"/>
        <w:jc w:val="left"/>
        <w:rPr>
          <w:rFonts w:ascii="Arial MT"/>
          <w:sz w:val="19"/>
        </w:rPr>
      </w:pPr>
      <w:r>
        <w:rPr>
          <w:rFonts w:ascii="Arial MT"/>
          <w:w w:val="95"/>
          <w:sz w:val="19"/>
        </w:rPr>
        <w:t>rs242924</w:t>
      </w:r>
      <w:r>
        <w:rPr>
          <w:rFonts w:ascii="Arial MT"/>
          <w:spacing w:val="12"/>
          <w:w w:val="95"/>
          <w:sz w:val="19"/>
        </w:rPr>
        <w:t> </w:t>
      </w:r>
      <w:r>
        <w:rPr>
          <w:rFonts w:ascii="Arial MT"/>
          <w:w w:val="95"/>
          <w:sz w:val="19"/>
        </w:rPr>
        <w:t>and</w:t>
      </w:r>
      <w:r>
        <w:rPr>
          <w:rFonts w:ascii="Arial MT"/>
          <w:spacing w:val="13"/>
          <w:w w:val="95"/>
          <w:sz w:val="19"/>
        </w:rPr>
        <w:t> </w:t>
      </w:r>
      <w:r>
        <w:rPr>
          <w:rFonts w:ascii="Arial"/>
          <w:i/>
          <w:w w:val="95"/>
          <w:sz w:val="19"/>
        </w:rPr>
        <w:t>BDNF</w:t>
      </w:r>
      <w:r>
        <w:rPr>
          <w:rFonts w:ascii="Arial"/>
          <w:i/>
          <w:spacing w:val="13"/>
          <w:w w:val="95"/>
          <w:sz w:val="19"/>
        </w:rPr>
        <w:t> </w:t>
      </w:r>
      <w:r>
        <w:rPr>
          <w:rFonts w:ascii="Arial MT"/>
          <w:w w:val="95"/>
          <w:sz w:val="19"/>
        </w:rPr>
        <w:t>rs11030094</w:t>
      </w:r>
      <w:r>
        <w:rPr>
          <w:rFonts w:ascii="Arial MT"/>
          <w:spacing w:val="14"/>
          <w:w w:val="95"/>
          <w:sz w:val="19"/>
        </w:rPr>
        <w:t> </w:t>
      </w:r>
      <w:r>
        <w:rPr>
          <w:rFonts w:ascii="Arial MT"/>
          <w:w w:val="95"/>
          <w:sz w:val="19"/>
        </w:rPr>
        <w:t>SNPs.</w:t>
      </w:r>
    </w:p>
    <w:p>
      <w:pPr>
        <w:pStyle w:val="BodyText"/>
        <w:spacing w:before="9"/>
        <w:rPr>
          <w:rFonts w:ascii="Arial MT"/>
          <w:sz w:val="25"/>
        </w:rPr>
      </w:pPr>
    </w:p>
    <w:p>
      <w:pPr>
        <w:pStyle w:val="Heading2"/>
        <w:ind w:left="139"/>
      </w:pPr>
      <w:r>
        <w:rPr/>
        <w:t>Conclusions</w:t>
      </w:r>
    </w:p>
    <w:p>
      <w:pPr>
        <w:spacing w:line="307" w:lineRule="auto" w:before="113"/>
        <w:ind w:left="139" w:right="137" w:firstLine="0"/>
        <w:jc w:val="left"/>
        <w:rPr>
          <w:rFonts w:ascii="Arial MT"/>
          <w:sz w:val="19"/>
        </w:rPr>
      </w:pPr>
      <w:bookmarkStart w:name="_bookmark2" w:id="3"/>
      <w:bookmarkEnd w:id="3"/>
      <w:r>
        <w:rPr/>
      </w:r>
      <w:r>
        <w:rPr>
          <w:rFonts w:ascii="Arial MT"/>
          <w:w w:val="95"/>
          <w:sz w:val="19"/>
        </w:rPr>
        <w:t>Our</w:t>
      </w:r>
      <w:r>
        <w:rPr>
          <w:rFonts w:ascii="Arial MT"/>
          <w:spacing w:val="2"/>
          <w:w w:val="95"/>
          <w:sz w:val="19"/>
        </w:rPr>
        <w:t> </w:t>
      </w:r>
      <w:r>
        <w:rPr>
          <w:rFonts w:ascii="Arial MT"/>
          <w:w w:val="95"/>
          <w:sz w:val="19"/>
        </w:rPr>
        <w:t>findings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demonstrated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the</w:t>
      </w:r>
      <w:r>
        <w:rPr>
          <w:rFonts w:ascii="Arial MT"/>
          <w:spacing w:val="3"/>
          <w:w w:val="95"/>
          <w:sz w:val="19"/>
        </w:rPr>
        <w:t> </w:t>
      </w:r>
      <w:r>
        <w:rPr>
          <w:rFonts w:ascii="Arial MT"/>
          <w:w w:val="95"/>
          <w:sz w:val="19"/>
        </w:rPr>
        <w:t>association</w:t>
      </w:r>
      <w:r>
        <w:rPr>
          <w:rFonts w:ascii="Arial MT"/>
          <w:spacing w:val="5"/>
          <w:w w:val="95"/>
          <w:sz w:val="19"/>
        </w:rPr>
        <w:t> </w:t>
      </w:r>
      <w:r>
        <w:rPr>
          <w:rFonts w:ascii="Arial MT"/>
          <w:w w:val="95"/>
          <w:sz w:val="19"/>
        </w:rPr>
        <w:t>between</w:t>
      </w:r>
      <w:r>
        <w:rPr>
          <w:rFonts w:ascii="Arial MT"/>
          <w:spacing w:val="4"/>
          <w:w w:val="95"/>
          <w:sz w:val="19"/>
        </w:rPr>
        <w:t> </w:t>
      </w:r>
      <w:r>
        <w:rPr>
          <w:rFonts w:ascii="Arial"/>
          <w:i/>
          <w:w w:val="95"/>
          <w:sz w:val="19"/>
        </w:rPr>
        <w:t>CRH-R1</w:t>
      </w:r>
      <w:r>
        <w:rPr>
          <w:rFonts w:ascii="Arial"/>
          <w:i/>
          <w:spacing w:val="3"/>
          <w:w w:val="95"/>
          <w:sz w:val="19"/>
        </w:rPr>
        <w:t> </w:t>
      </w:r>
      <w:r>
        <w:rPr>
          <w:rFonts w:ascii="Arial MT"/>
          <w:w w:val="95"/>
          <w:sz w:val="19"/>
        </w:rPr>
        <w:t>rs242924</w:t>
      </w:r>
      <w:r>
        <w:rPr>
          <w:rFonts w:ascii="Arial MT"/>
          <w:spacing w:val="4"/>
          <w:w w:val="95"/>
          <w:sz w:val="19"/>
        </w:rPr>
        <w:t> </w:t>
      </w:r>
      <w:r>
        <w:rPr>
          <w:rFonts w:ascii="Arial MT"/>
          <w:w w:val="95"/>
          <w:sz w:val="19"/>
        </w:rPr>
        <w:t>and</w:t>
      </w:r>
      <w:r>
        <w:rPr>
          <w:rFonts w:ascii="Arial MT"/>
          <w:spacing w:val="4"/>
          <w:w w:val="95"/>
          <w:sz w:val="19"/>
        </w:rPr>
        <w:t> </w:t>
      </w:r>
      <w:r>
        <w:rPr>
          <w:rFonts w:ascii="Arial"/>
          <w:i/>
          <w:w w:val="95"/>
          <w:sz w:val="19"/>
        </w:rPr>
        <w:t>BDNF</w:t>
      </w:r>
      <w:r>
        <w:rPr>
          <w:rFonts w:ascii="Arial"/>
          <w:i/>
          <w:spacing w:val="1"/>
          <w:w w:val="95"/>
          <w:sz w:val="19"/>
        </w:rPr>
        <w:t> </w:t>
      </w:r>
      <w:r>
        <w:rPr>
          <w:rFonts w:ascii="Arial MT"/>
          <w:w w:val="95"/>
          <w:sz w:val="19"/>
        </w:rPr>
        <w:t>rs11030094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polymorphisms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and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vitiligo.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Further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studies</w:t>
      </w:r>
      <w:r>
        <w:rPr>
          <w:rFonts w:ascii="Arial MT"/>
          <w:spacing w:val="11"/>
          <w:w w:val="95"/>
          <w:sz w:val="19"/>
        </w:rPr>
        <w:t> </w:t>
      </w:r>
      <w:r>
        <w:rPr>
          <w:rFonts w:ascii="Arial MT"/>
          <w:w w:val="95"/>
          <w:sz w:val="19"/>
        </w:rPr>
        <w:t>need</w:t>
      </w:r>
      <w:r>
        <w:rPr>
          <w:rFonts w:ascii="Arial MT"/>
          <w:spacing w:val="10"/>
          <w:w w:val="95"/>
          <w:sz w:val="19"/>
        </w:rPr>
        <w:t> </w:t>
      </w:r>
      <w:r>
        <w:rPr>
          <w:rFonts w:ascii="Arial MT"/>
          <w:w w:val="95"/>
          <w:sz w:val="19"/>
        </w:rPr>
        <w:t>to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be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carried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out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in</w:t>
      </w:r>
      <w:r>
        <w:rPr>
          <w:rFonts w:ascii="Arial MT"/>
          <w:spacing w:val="9"/>
          <w:w w:val="95"/>
          <w:sz w:val="19"/>
        </w:rPr>
        <w:t> </w:t>
      </w:r>
      <w:r>
        <w:rPr>
          <w:rFonts w:ascii="Arial MT"/>
          <w:w w:val="95"/>
          <w:sz w:val="19"/>
        </w:rPr>
        <w:t>vitiligo</w:t>
      </w:r>
      <w:r>
        <w:rPr>
          <w:rFonts w:ascii="Arial MT"/>
          <w:spacing w:val="-47"/>
          <w:w w:val="95"/>
          <w:sz w:val="19"/>
        </w:rPr>
        <w:t> </w:t>
      </w:r>
      <w:r>
        <w:rPr>
          <w:rFonts w:ascii="Arial MT"/>
          <w:sz w:val="19"/>
        </w:rPr>
        <w:t>patients</w:t>
      </w:r>
      <w:r>
        <w:rPr>
          <w:rFonts w:ascii="Arial MT"/>
          <w:spacing w:val="-12"/>
          <w:sz w:val="19"/>
        </w:rPr>
        <w:t> </w:t>
      </w:r>
      <w:r>
        <w:rPr>
          <w:rFonts w:ascii="Arial MT"/>
          <w:sz w:val="19"/>
        </w:rPr>
        <w:t>to</w:t>
      </w:r>
      <w:r>
        <w:rPr>
          <w:rFonts w:ascii="Arial MT"/>
          <w:spacing w:val="-12"/>
          <w:sz w:val="19"/>
        </w:rPr>
        <w:t> </w:t>
      </w:r>
      <w:r>
        <w:rPr>
          <w:rFonts w:ascii="Arial MT"/>
          <w:sz w:val="19"/>
        </w:rPr>
        <w:t>confirm</w:t>
      </w:r>
      <w:r>
        <w:rPr>
          <w:rFonts w:ascii="Arial MT"/>
          <w:spacing w:val="-12"/>
          <w:sz w:val="19"/>
        </w:rPr>
        <w:t> </w:t>
      </w:r>
      <w:r>
        <w:rPr>
          <w:rFonts w:ascii="Arial MT"/>
          <w:sz w:val="19"/>
        </w:rPr>
        <w:t>the</w:t>
      </w:r>
      <w:r>
        <w:rPr>
          <w:rFonts w:ascii="Arial MT"/>
          <w:spacing w:val="-12"/>
          <w:sz w:val="19"/>
        </w:rPr>
        <w:t> </w:t>
      </w:r>
      <w:r>
        <w:rPr>
          <w:rFonts w:ascii="Arial MT"/>
          <w:sz w:val="19"/>
        </w:rPr>
        <w:t>results</w:t>
      </w:r>
      <w:r>
        <w:rPr>
          <w:rFonts w:ascii="Arial MT"/>
          <w:spacing w:val="-12"/>
          <w:sz w:val="19"/>
        </w:rPr>
        <w:t> </w:t>
      </w:r>
      <w:r>
        <w:rPr>
          <w:rFonts w:ascii="Arial MT"/>
          <w:sz w:val="19"/>
        </w:rPr>
        <w:t>observed.</w:t>
      </w:r>
    </w:p>
    <w:p>
      <w:pPr>
        <w:pStyle w:val="BodyText"/>
        <w:spacing w:before="5"/>
        <w:rPr>
          <w:rFonts w:ascii="Arial MT"/>
          <w:sz w:val="10"/>
        </w:rPr>
      </w:pPr>
      <w:r>
        <w:rPr/>
        <w:pict>
          <v:rect style="position:absolute;margin-left:200pt;margin-top:7.993129pt;width:376pt;height:.5pt;mso-position-horizontal-relative:page;mso-position-vertical-relative:paragraph;z-index:-15724032;mso-wrap-distance-left:0;mso-wrap-distance-right:0" filled="true" fillcolor="#949598" stroked="false">
            <v:fill type="solid"/>
            <w10:wrap type="topAndBottom"/>
          </v:rect>
        </w:pic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4"/>
        <w:rPr>
          <w:rFonts w:ascii="Arial MT"/>
          <w:sz w:val="15"/>
        </w:rPr>
      </w:pPr>
    </w:p>
    <w:p>
      <w:pPr>
        <w:pStyle w:val="Heading1"/>
        <w:ind w:left="139" w:firstLine="0"/>
        <w:rPr>
          <w:rFonts w:ascii="Arial"/>
        </w:rPr>
      </w:pPr>
      <w:bookmarkStart w:name="_bookmark3" w:id="4"/>
      <w:bookmarkEnd w:id="4"/>
      <w:r>
        <w:rPr>
          <w:b w:val="0"/>
        </w:rPr>
      </w:r>
      <w:bookmarkStart w:name="_bookmark4" w:id="5"/>
      <w:bookmarkEnd w:id="5"/>
      <w:r>
        <w:rPr>
          <w:b w:val="0"/>
        </w:rPr>
      </w:r>
      <w:r>
        <w:rPr>
          <w:rFonts w:ascii="Arial"/>
          <w:w w:val="95"/>
        </w:rPr>
        <w:t>1</w:t>
      </w:r>
      <w:r>
        <w:rPr>
          <w:rFonts w:ascii="Arial"/>
          <w:spacing w:val="51"/>
          <w:w w:val="95"/>
        </w:rPr>
        <w:t> </w:t>
      </w:r>
      <w:r>
        <w:rPr>
          <w:rFonts w:ascii="Arial"/>
          <w:w w:val="95"/>
        </w:rPr>
        <w:t>Background</w:t>
      </w:r>
    </w:p>
    <w:p>
      <w:pPr>
        <w:pStyle w:val="BodyText"/>
        <w:spacing w:line="254" w:lineRule="auto" w:before="99"/>
        <w:ind w:left="139" w:right="119"/>
      </w:pPr>
      <w:r>
        <w:rPr/>
        <w:pict>
          <v:shape style="position:absolute;margin-left:486.709015pt;margin-top:28.588476pt;width:4.75pt;height:.1pt;mso-position-horizontal-relative:page;mso-position-vertical-relative:paragraph;z-index:-16734720" coordorigin="9734,572" coordsize="95,0" path="m9828,572l9734,572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4.828003pt;margin-top:54.553474pt;width:4.8pt;height:.1pt;mso-position-horizontal-relative:page;mso-position-vertical-relative:paragraph;z-index:-16734208" coordorigin="6697,1091" coordsize="96,0" path="m6792,1091l6697,1091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6.583008pt;margin-top:80.575478pt;width:4.8pt;height:.1pt;mso-position-horizontal-relative:page;mso-position-vertical-relative:paragraph;z-index:-16733696" coordorigin="5732,1612" coordsize="96,0" path="m5827,1612l5732,1612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8.696014pt;margin-top:119.580475pt;width:4.8pt;height:.1pt;mso-position-horizontal-relative:page;mso-position-vertical-relative:paragraph;z-index:-16733184" coordorigin="7174,2392" coordsize="96,0" path="m7269,2392l7174,2392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8.674011pt;margin-top:119.580475pt;width:4.75pt;height:.1pt;mso-position-horizontal-relative:page;mso-position-vertical-relative:paragraph;z-index:-16732672" coordorigin="7373,2392" coordsize="95,0" path="m7468,2392l7373,2392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8.604980pt;margin-top:145.545471pt;width:4.75pt;height:.1pt;mso-position-horizontal-relative:page;mso-position-vertical-relative:paragraph;z-index:15736320" coordorigin="10572,2911" coordsize="95,0" path="m10666,2911l10572,2911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8.526001pt;margin-top:145.545471pt;width:9.5pt;height:.1pt;mso-position-horizontal-relative:page;mso-position-vertical-relative:paragraph;z-index:15736832" coordorigin="10771,2911" coordsize="190,0" path="m10960,2911l10771,2911e" filled="true" fillcolor="#3e65ac" stroked="false">
            <v:path arrowok="t"/>
            <v:fill type="solid"/>
            <w10:wrap type="none"/>
          </v:shape>
        </w:pict>
      </w:r>
      <w:bookmarkStart w:name="_bookmark5" w:id="6"/>
      <w:bookmarkEnd w:id="6"/>
      <w:r>
        <w:rPr/>
      </w:r>
      <w:r>
        <w:rPr/>
        <w:t>Vitiligo is an acquired pigmentary disorder of the skin and mucous membranes, which mani-</w:t>
      </w:r>
      <w:r>
        <w:rPr>
          <w:spacing w:val="1"/>
        </w:rPr>
        <w:t> </w:t>
      </w:r>
      <w:bookmarkStart w:name="_bookmark6" w:id="7"/>
      <w:bookmarkEnd w:id="7"/>
      <w:r>
        <w:rPr>
          <w:w w:val="95"/>
        </w:rPr>
        <w:t>fest</w:t>
      </w:r>
      <w:r>
        <w:rPr>
          <w:w w:val="95"/>
        </w:rPr>
        <w:t>s</w:t>
      </w:r>
      <w:r>
        <w:rPr>
          <w:spacing w:val="5"/>
          <w:w w:val="95"/>
        </w:rPr>
        <w:t> </w:t>
      </w:r>
      <w:r>
        <w:rPr>
          <w:w w:val="95"/>
        </w:rPr>
        <w:t>as</w:t>
      </w:r>
      <w:r>
        <w:rPr>
          <w:spacing w:val="6"/>
          <w:w w:val="95"/>
        </w:rPr>
        <w:t> </w:t>
      </w:r>
      <w:r>
        <w:rPr>
          <w:w w:val="95"/>
        </w:rPr>
        <w:t>white</w:t>
      </w:r>
      <w:r>
        <w:rPr>
          <w:spacing w:val="5"/>
          <w:w w:val="95"/>
        </w:rPr>
        <w:t> </w:t>
      </w:r>
      <w:r>
        <w:rPr>
          <w:w w:val="95"/>
        </w:rPr>
        <w:t>macules</w:t>
      </w:r>
      <w:r>
        <w:rPr>
          <w:spacing w:val="7"/>
          <w:w w:val="95"/>
        </w:rPr>
        <w:t> </w:t>
      </w:r>
      <w:r>
        <w:rPr>
          <w:w w:val="95"/>
        </w:rPr>
        <w:t>that</w:t>
      </w:r>
      <w:r>
        <w:rPr>
          <w:spacing w:val="4"/>
          <w:w w:val="95"/>
        </w:rPr>
        <w:t> </w:t>
      </w:r>
      <w:r>
        <w:rPr>
          <w:w w:val="95"/>
        </w:rPr>
        <w:t>appear</w:t>
      </w:r>
      <w:r>
        <w:rPr>
          <w:spacing w:val="7"/>
          <w:w w:val="95"/>
        </w:rPr>
        <w:t> </w:t>
      </w:r>
      <w:r>
        <w:rPr>
          <w:w w:val="95"/>
        </w:rPr>
        <w:t>due</w:t>
      </w:r>
      <w:r>
        <w:rPr>
          <w:spacing w:val="6"/>
          <w:w w:val="95"/>
        </w:rPr>
        <w:t> </w:t>
      </w:r>
      <w:r>
        <w:rPr>
          <w:w w:val="95"/>
        </w:rPr>
        <w:t>to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selective</w:t>
      </w:r>
      <w:r>
        <w:rPr>
          <w:spacing w:val="5"/>
          <w:w w:val="95"/>
        </w:rPr>
        <w:t> </w:t>
      </w:r>
      <w:r>
        <w:rPr>
          <w:w w:val="95"/>
        </w:rPr>
        <w:t>loss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melanocytes</w:t>
      </w:r>
      <w:r>
        <w:rPr>
          <w:spacing w:val="8"/>
          <w:w w:val="95"/>
        </w:rPr>
        <w:t> </w:t>
      </w:r>
      <w:r>
        <w:rPr>
          <w:w w:val="95"/>
        </w:rPr>
        <w:t>[</w:t>
      </w:r>
      <w:hyperlink w:history="true" w:anchor="_bookmark51">
        <w:r>
          <w:rPr>
            <w:color w:val="3E65AC"/>
            <w:w w:val="95"/>
          </w:rPr>
          <w:t>1</w:t>
        </w:r>
      </w:hyperlink>
      <w:r>
        <w:rPr>
          <w:w w:val="95"/>
        </w:rPr>
        <w:t>].</w:t>
      </w:r>
      <w:r>
        <w:rPr>
          <w:spacing w:val="6"/>
          <w:w w:val="95"/>
        </w:rPr>
        <w:t> </w:t>
      </w:r>
      <w:r>
        <w:rPr>
          <w:w w:val="95"/>
        </w:rPr>
        <w:t>According</w:t>
      </w:r>
      <w:r>
        <w:rPr>
          <w:spacing w:val="6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/>
        <w:t>major population surveys, the estimated global prevalence of vitiligo is 0.5–2%, which can</w:t>
      </w:r>
      <w:r>
        <w:rPr>
          <w:spacing w:val="1"/>
        </w:rPr>
        <w:t> </w:t>
      </w:r>
      <w:r>
        <w:rPr>
          <w:w w:val="95"/>
        </w:rPr>
        <w:t>reach</w:t>
      </w:r>
      <w:r>
        <w:rPr>
          <w:spacing w:val="6"/>
          <w:w w:val="95"/>
        </w:rPr>
        <w:t> </w:t>
      </w:r>
      <w:r>
        <w:rPr>
          <w:w w:val="95"/>
        </w:rPr>
        <w:t>8.8%</w:t>
      </w:r>
      <w:r>
        <w:rPr>
          <w:spacing w:val="7"/>
          <w:w w:val="95"/>
        </w:rPr>
        <w:t> </w:t>
      </w:r>
      <w:r>
        <w:rPr>
          <w:w w:val="95"/>
        </w:rPr>
        <w:t>in</w:t>
      </w:r>
      <w:r>
        <w:rPr>
          <w:spacing w:val="7"/>
          <w:w w:val="95"/>
        </w:rPr>
        <w:t> </w:t>
      </w:r>
      <w:r>
        <w:rPr>
          <w:w w:val="95"/>
        </w:rPr>
        <w:t>some</w:t>
      </w:r>
      <w:r>
        <w:rPr>
          <w:spacing w:val="7"/>
          <w:w w:val="95"/>
        </w:rPr>
        <w:t> </w:t>
      </w:r>
      <w:r>
        <w:rPr>
          <w:w w:val="95"/>
        </w:rPr>
        <w:t>areas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Asia</w:t>
      </w:r>
      <w:r>
        <w:rPr>
          <w:spacing w:val="5"/>
          <w:w w:val="95"/>
        </w:rPr>
        <w:t> </w:t>
      </w:r>
      <w:r>
        <w:rPr>
          <w:w w:val="95"/>
        </w:rPr>
        <w:t>[</w:t>
      </w:r>
      <w:hyperlink w:history="true" w:anchor="_bookmark52">
        <w:r>
          <w:rPr>
            <w:color w:val="3E65AC"/>
            <w:w w:val="95"/>
          </w:rPr>
          <w:t>2</w:t>
        </w:r>
      </w:hyperlink>
      <w:r>
        <w:rPr>
          <w:w w:val="95"/>
        </w:rPr>
        <w:t>].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recent</w:t>
      </w:r>
      <w:r>
        <w:rPr>
          <w:spacing w:val="7"/>
          <w:w w:val="95"/>
        </w:rPr>
        <w:t> </w:t>
      </w:r>
      <w:r>
        <w:rPr>
          <w:w w:val="95"/>
        </w:rPr>
        <w:t>evidence</w:t>
      </w:r>
      <w:r>
        <w:rPr>
          <w:spacing w:val="8"/>
          <w:w w:val="95"/>
        </w:rPr>
        <w:t> </w:t>
      </w:r>
      <w:r>
        <w:rPr>
          <w:w w:val="95"/>
        </w:rPr>
        <w:t>demonstrated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complex</w:t>
      </w:r>
      <w:r>
        <w:rPr>
          <w:spacing w:val="8"/>
          <w:w w:val="95"/>
        </w:rPr>
        <w:t> </w:t>
      </w:r>
      <w:r>
        <w:rPr>
          <w:w w:val="95"/>
        </w:rPr>
        <w:t>patterns</w:t>
      </w:r>
      <w:r>
        <w:rPr>
          <w:spacing w:val="1"/>
          <w:w w:val="95"/>
        </w:rPr>
        <w:t> </w:t>
      </w:r>
      <w:r>
        <w:rPr>
          <w:spacing w:val="-1"/>
        </w:rPr>
        <w:t>of intrinsic and adaptive </w:t>
      </w:r>
      <w:r>
        <w:rPr/>
        <w:t>immune mechanisms, oxidative stress, and disturbance of neuronal</w:t>
      </w:r>
      <w:r>
        <w:rPr>
          <w:spacing w:val="1"/>
        </w:rPr>
        <w:t> </w:t>
      </w:r>
      <w:r>
        <w:rPr/>
        <w:t>maintenance in skin [</w:t>
      </w:r>
      <w:hyperlink w:history="true" w:anchor="_bookmark53">
        <w:r>
          <w:rPr>
            <w:color w:val="3E65AC"/>
          </w:rPr>
          <w:t>3</w:t>
        </w:r>
      </w:hyperlink>
      <w:r>
        <w:rPr/>
        <w:t>]. Clinically, the non-symptomatic whitish macules on skin in vitiligo</w:t>
      </w:r>
      <w:r>
        <w:rPr>
          <w:spacing w:val="1"/>
        </w:rPr>
        <w:t> </w:t>
      </w:r>
      <w:bookmarkStart w:name="_bookmark7" w:id="8"/>
      <w:bookmarkEnd w:id="8"/>
      <w:r>
        <w:rPr>
          <w:w w:val="95"/>
        </w:rPr>
        <w:t>patient</w:t>
      </w:r>
      <w:r>
        <w:rPr>
          <w:w w:val="95"/>
        </w:rPr>
        <w:t>s</w:t>
      </w:r>
      <w:r>
        <w:rPr>
          <w:spacing w:val="5"/>
          <w:w w:val="95"/>
        </w:rPr>
        <w:t> </w:t>
      </w:r>
      <w:r>
        <w:rPr>
          <w:w w:val="95"/>
        </w:rPr>
        <w:t>are</w:t>
      </w:r>
      <w:r>
        <w:rPr>
          <w:spacing w:val="3"/>
          <w:w w:val="95"/>
        </w:rPr>
        <w:t> </w:t>
      </w:r>
      <w:r>
        <w:rPr>
          <w:w w:val="95"/>
        </w:rPr>
        <w:t>not</w:t>
      </w:r>
      <w:r>
        <w:rPr>
          <w:spacing w:val="4"/>
          <w:w w:val="95"/>
        </w:rPr>
        <w:t> </w:t>
      </w:r>
      <w:r>
        <w:rPr>
          <w:w w:val="95"/>
        </w:rPr>
        <w:t>as</w:t>
      </w:r>
      <w:r>
        <w:rPr>
          <w:spacing w:val="4"/>
          <w:w w:val="95"/>
        </w:rPr>
        <w:t> </w:t>
      </w:r>
      <w:r>
        <w:rPr>
          <w:w w:val="95"/>
        </w:rPr>
        <w:t>onerous</w:t>
      </w:r>
      <w:r>
        <w:rPr>
          <w:spacing w:val="5"/>
          <w:w w:val="95"/>
        </w:rPr>
        <w:t> </w:t>
      </w:r>
      <w:r>
        <w:rPr>
          <w:w w:val="95"/>
        </w:rPr>
        <w:t>as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signs</w:t>
      </w:r>
      <w:r>
        <w:rPr>
          <w:spacing w:val="4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other</w:t>
      </w:r>
      <w:r>
        <w:rPr>
          <w:spacing w:val="4"/>
          <w:w w:val="95"/>
        </w:rPr>
        <w:t> </w:t>
      </w:r>
      <w:r>
        <w:rPr>
          <w:w w:val="95"/>
        </w:rPr>
        <w:t>chronic</w:t>
      </w:r>
      <w:r>
        <w:rPr>
          <w:spacing w:val="4"/>
          <w:w w:val="95"/>
        </w:rPr>
        <w:t> </w:t>
      </w:r>
      <w:r>
        <w:rPr>
          <w:w w:val="95"/>
        </w:rPr>
        <w:t>cutaneous</w:t>
      </w:r>
      <w:r>
        <w:rPr>
          <w:spacing w:val="4"/>
          <w:w w:val="95"/>
        </w:rPr>
        <w:t> </w:t>
      </w:r>
      <w:r>
        <w:rPr>
          <w:w w:val="95"/>
        </w:rPr>
        <w:t>diseases.</w:t>
      </w:r>
      <w:r>
        <w:rPr>
          <w:spacing w:val="6"/>
          <w:w w:val="95"/>
        </w:rPr>
        <w:t> </w:t>
      </w:r>
      <w:r>
        <w:rPr>
          <w:w w:val="95"/>
        </w:rPr>
        <w:t>Nevertheless,</w:t>
      </w:r>
      <w:r>
        <w:rPr>
          <w:spacing w:val="5"/>
          <w:w w:val="95"/>
        </w:rPr>
        <w:t> </w:t>
      </w:r>
      <w:r>
        <w:rPr>
          <w:w w:val="95"/>
        </w:rPr>
        <w:t>viti-</w:t>
      </w:r>
      <w:r>
        <w:rPr>
          <w:spacing w:val="1"/>
          <w:w w:val="95"/>
        </w:rPr>
        <w:t> </w:t>
      </w:r>
      <w:r>
        <w:rPr>
          <w:spacing w:val="-1"/>
        </w:rPr>
        <w:t>ligo</w:t>
      </w:r>
      <w:r>
        <w:rPr>
          <w:spacing w:val="-10"/>
        </w:rPr>
        <w:t> </w:t>
      </w:r>
      <w:r>
        <w:rPr>
          <w:spacing w:val="-1"/>
        </w:rPr>
        <w:t>may</w:t>
      </w:r>
      <w:r>
        <w:rPr>
          <w:spacing w:val="-9"/>
        </w:rPr>
        <w:t> </w:t>
      </w:r>
      <w:r>
        <w:rPr>
          <w:spacing w:val="-1"/>
        </w:rPr>
        <w:t>serve</w:t>
      </w:r>
      <w:r>
        <w:rPr>
          <w:spacing w:val="-9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cause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wide</w:t>
      </w:r>
      <w:r>
        <w:rPr>
          <w:spacing w:val="-9"/>
        </w:rPr>
        <w:t> </w:t>
      </w:r>
      <w:r>
        <w:rPr>
          <w:spacing w:val="-1"/>
        </w:rPr>
        <w:t>range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psychological</w:t>
      </w:r>
      <w:r>
        <w:rPr>
          <w:spacing w:val="-7"/>
        </w:rPr>
        <w:t> </w:t>
      </w:r>
      <w:r>
        <w:rPr>
          <w:spacing w:val="-1"/>
        </w:rPr>
        <w:t>impairments</w:t>
      </w:r>
      <w:r>
        <w:rPr>
          <w:spacing w:val="-8"/>
        </w:rPr>
        <w:t> </w:t>
      </w:r>
      <w:r>
        <w:rPr>
          <w:spacing w:val="-1"/>
        </w:rPr>
        <w:t>resulting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violation</w:t>
      </w:r>
      <w:r>
        <w:rPr>
          <w:spacing w:val="-43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mental</w:t>
      </w:r>
      <w:r>
        <w:rPr>
          <w:spacing w:val="-10"/>
        </w:rPr>
        <w:t> </w:t>
      </w:r>
      <w:r>
        <w:rPr>
          <w:spacing w:val="-1"/>
        </w:rPr>
        <w:t>well-being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quality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life</w:t>
      </w:r>
      <w:r>
        <w:rPr>
          <w:spacing w:val="-11"/>
        </w:rPr>
        <w:t> </w:t>
      </w:r>
      <w:r>
        <w:rPr/>
        <w:t>[</w:t>
      </w:r>
      <w:hyperlink w:history="true" w:anchor="_bookmark54">
        <w:r>
          <w:rPr>
            <w:color w:val="3E65AC"/>
          </w:rPr>
          <w:t>4</w:t>
        </w:r>
      </w:hyperlink>
      <w:r>
        <w:rPr/>
        <w:t>–</w:t>
      </w:r>
      <w:hyperlink w:history="true" w:anchor="_bookmark55">
        <w:r>
          <w:rPr>
            <w:color w:val="3E65AC"/>
          </w:rPr>
          <w:t>6</w:t>
        </w:r>
      </w:hyperlink>
      <w:r>
        <w:rPr/>
        <w:t>].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this</w:t>
      </w:r>
      <w:r>
        <w:rPr>
          <w:spacing w:val="-11"/>
        </w:rPr>
        <w:t> </w:t>
      </w:r>
      <w:r>
        <w:rPr/>
        <w:t>end,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better</w:t>
      </w:r>
      <w:r>
        <w:rPr>
          <w:spacing w:val="-10"/>
        </w:rPr>
        <w:t> </w:t>
      </w:r>
      <w:r>
        <w:rPr/>
        <w:t>understanding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patho-</w:t>
      </w:r>
      <w:r>
        <w:rPr>
          <w:spacing w:val="1"/>
        </w:rPr>
        <w:t> </w:t>
      </w:r>
      <w:r>
        <w:rPr>
          <w:w w:val="95"/>
        </w:rPr>
        <w:t>physiology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vitiligo</w:t>
      </w:r>
      <w:r>
        <w:rPr>
          <w:spacing w:val="11"/>
          <w:w w:val="95"/>
        </w:rPr>
        <w:t> </w:t>
      </w:r>
      <w:r>
        <w:rPr>
          <w:w w:val="95"/>
        </w:rPr>
        <w:t>might</w:t>
      </w:r>
      <w:r>
        <w:rPr>
          <w:spacing w:val="12"/>
          <w:w w:val="95"/>
        </w:rPr>
        <w:t> </w:t>
      </w:r>
      <w:r>
        <w:rPr>
          <w:w w:val="95"/>
        </w:rPr>
        <w:t>be</w:t>
      </w:r>
      <w:r>
        <w:rPr>
          <w:spacing w:val="11"/>
          <w:w w:val="95"/>
        </w:rPr>
        <w:t> </w:t>
      </w:r>
      <w:r>
        <w:rPr>
          <w:w w:val="95"/>
        </w:rPr>
        <w:t>achieved</w:t>
      </w:r>
      <w:r>
        <w:rPr>
          <w:spacing w:val="10"/>
          <w:w w:val="95"/>
        </w:rPr>
        <w:t> </w:t>
      </w:r>
      <w:r>
        <w:rPr>
          <w:w w:val="95"/>
        </w:rPr>
        <w:t>by</w:t>
      </w:r>
      <w:r>
        <w:rPr>
          <w:spacing w:val="11"/>
          <w:w w:val="95"/>
        </w:rPr>
        <w:t> </w:t>
      </w:r>
      <w:r>
        <w:rPr>
          <w:w w:val="95"/>
        </w:rPr>
        <w:t>investigation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interplay</w:t>
      </w:r>
      <w:r>
        <w:rPr>
          <w:spacing w:val="12"/>
          <w:w w:val="95"/>
        </w:rPr>
        <w:t> </w:t>
      </w:r>
      <w:r>
        <w:rPr>
          <w:w w:val="95"/>
        </w:rPr>
        <w:t>between</w:t>
      </w:r>
      <w:r>
        <w:rPr>
          <w:spacing w:val="10"/>
          <w:w w:val="95"/>
        </w:rPr>
        <w:t> </w:t>
      </w:r>
      <w:r>
        <w:rPr>
          <w:w w:val="95"/>
        </w:rPr>
        <w:t>genetic,</w:t>
      </w:r>
      <w:r>
        <w:rPr>
          <w:spacing w:val="11"/>
          <w:w w:val="95"/>
        </w:rPr>
        <w:t> </w:t>
      </w:r>
      <w:r>
        <w:rPr>
          <w:w w:val="95"/>
        </w:rPr>
        <w:t>neu-</w:t>
      </w:r>
      <w:r>
        <w:rPr>
          <w:spacing w:val="1"/>
          <w:w w:val="95"/>
        </w:rPr>
        <w:t> </w:t>
      </w:r>
      <w:r>
        <w:rPr/>
        <w:t>rohumoral,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environmental</w:t>
      </w:r>
      <w:r>
        <w:rPr>
          <w:spacing w:val="-10"/>
        </w:rPr>
        <w:t> </w:t>
      </w:r>
      <w:r>
        <w:rPr/>
        <w:t>factors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onset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progression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disease</w:t>
      </w:r>
      <w:r>
        <w:rPr>
          <w:spacing w:val="-10"/>
        </w:rPr>
        <w:t> </w:t>
      </w:r>
      <w:r>
        <w:rPr/>
        <w:t>[</w:t>
      </w:r>
      <w:hyperlink w:history="true" w:anchor="_bookmark56">
        <w:r>
          <w:rPr>
            <w:color w:val="3E65AC"/>
          </w:rPr>
          <w:t>7</w:t>
        </w:r>
      </w:hyperlink>
      <w:r>
        <w:rPr/>
        <w:t>–</w:t>
      </w:r>
      <w:hyperlink w:history="true" w:anchor="_bookmark57">
        <w:r>
          <w:rPr>
            <w:color w:val="3E65AC"/>
          </w:rPr>
          <w:t>10</w:t>
        </w:r>
      </w:hyperlink>
      <w:r>
        <w:rPr/>
        <w:t>].</w:t>
      </w:r>
    </w:p>
    <w:p>
      <w:pPr>
        <w:pStyle w:val="BodyText"/>
        <w:spacing w:line="254" w:lineRule="auto" w:before="14"/>
        <w:ind w:left="139" w:right="137" w:firstLine="239"/>
      </w:pPr>
      <w:r>
        <w:rPr/>
        <w:pict>
          <v:shape style="position:absolute;margin-left:295.369995pt;margin-top:37.265472pt;width:9.550pt;height:.1pt;mso-position-horizontal-relative:page;mso-position-vertical-relative:paragraph;z-index:-16731136" coordorigin="5907,745" coordsize="191,0" path="m6098,745l5907,745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8.126007pt;margin-top:63.287472pt;width:9.5pt;height:.1pt;mso-position-horizontal-relative:page;mso-position-vertical-relative:paragraph;z-index:-16730624" coordorigin="9763,1266" coordsize="190,0" path="m9952,1266l9763,1266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2.071991pt;margin-top:63.287472pt;width:9.550pt;height:.1pt;mso-position-horizontal-relative:page;mso-position-vertical-relative:paragraph;z-index:-16730112" coordorigin="10041,1266" coordsize="191,0" path="m10232,1266l10041,1266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3.975006pt;margin-top:76.27047pt;width:9.5pt;height:.1pt;mso-position-horizontal-relative:page;mso-position-vertical-relative:paragraph;z-index:-16729600" coordorigin="5680,1525" coordsize="190,0" path="m5869,1525l5680,1525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7.454987pt;margin-top:128.257477pt;width:9.5pt;height:.1pt;mso-position-horizontal-relative:page;mso-position-vertical-relative:paragraph;z-index:15739392" coordorigin="5549,2565" coordsize="190,0" path="m5738,2565l5549,2565e" filled="true" fillcolor="#3e65ac" stroked="false">
            <v:path arrowok="t"/>
            <v:fill type="solid"/>
            <w10:wrap type="none"/>
          </v:shape>
        </w:pict>
      </w:r>
      <w:r>
        <w:rPr/>
        <w:t>Brain-derived neurotrophic factor (BDNF) is the growth factor that regulates survival, dif-</w:t>
      </w:r>
      <w:r>
        <w:rPr>
          <w:spacing w:val="-43"/>
        </w:rPr>
        <w:t> </w:t>
      </w:r>
      <w:bookmarkStart w:name="_bookmark8" w:id="9"/>
      <w:bookmarkEnd w:id="9"/>
      <w:r>
        <w:rPr>
          <w:spacing w:val="-1"/>
        </w:rPr>
        <w:t>ferentiation</w:t>
      </w:r>
      <w:r>
        <w:rPr>
          <w:spacing w:val="-1"/>
        </w:rPr>
        <w:t>, </w:t>
      </w:r>
      <w:r>
        <w:rPr/>
        <w:t>and synaptic plasticity of neurons in the central neural system as well as the</w:t>
      </w:r>
      <w:r>
        <w:rPr>
          <w:spacing w:val="1"/>
        </w:rPr>
        <w:t> </w:t>
      </w:r>
      <w:bookmarkStart w:name="_bookmark9" w:id="10"/>
      <w:bookmarkEnd w:id="10"/>
      <w:r>
        <w:rPr/>
        <w:t>periphera</w:t>
      </w:r>
      <w:r>
        <w:rPr/>
        <w:t>l nerve fibers [</w:t>
      </w:r>
      <w:hyperlink w:history="true" w:anchor="_bookmark58">
        <w:r>
          <w:rPr>
            <w:color w:val="3E65AC"/>
          </w:rPr>
          <w:t>11</w:t>
        </w:r>
      </w:hyperlink>
      <w:r>
        <w:rPr/>
        <w:t>]. The data on the contribution of BDNF levels to pathophysiology</w:t>
      </w:r>
      <w:r>
        <w:rPr>
          <w:spacing w:val="-44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different</w:t>
      </w:r>
      <w:r>
        <w:rPr>
          <w:spacing w:val="7"/>
          <w:w w:val="95"/>
        </w:rPr>
        <w:t> </w:t>
      </w:r>
      <w:r>
        <w:rPr>
          <w:w w:val="95"/>
        </w:rPr>
        <w:t>cutaneous</w:t>
      </w:r>
      <w:r>
        <w:rPr>
          <w:spacing w:val="6"/>
          <w:w w:val="95"/>
        </w:rPr>
        <w:t> </w:t>
      </w:r>
      <w:r>
        <w:rPr>
          <w:w w:val="95"/>
        </w:rPr>
        <w:t>disorders</w:t>
      </w:r>
      <w:r>
        <w:rPr>
          <w:spacing w:val="7"/>
          <w:w w:val="95"/>
        </w:rPr>
        <w:t> </w:t>
      </w:r>
      <w:r>
        <w:rPr>
          <w:w w:val="95"/>
        </w:rPr>
        <w:t>remain</w:t>
      </w:r>
      <w:r>
        <w:rPr>
          <w:spacing w:val="7"/>
          <w:w w:val="95"/>
        </w:rPr>
        <w:t> </w:t>
      </w:r>
      <w:r>
        <w:rPr>
          <w:w w:val="95"/>
        </w:rPr>
        <w:t>controversial.</w:t>
      </w:r>
      <w:r>
        <w:rPr>
          <w:spacing w:val="8"/>
          <w:w w:val="95"/>
        </w:rPr>
        <w:t> </w:t>
      </w:r>
      <w:r>
        <w:rPr>
          <w:w w:val="95"/>
        </w:rPr>
        <w:t>Some</w:t>
      </w:r>
      <w:r>
        <w:rPr>
          <w:spacing w:val="6"/>
          <w:w w:val="95"/>
        </w:rPr>
        <w:t> </w:t>
      </w:r>
      <w:r>
        <w:rPr>
          <w:w w:val="95"/>
        </w:rPr>
        <w:t>studies</w:t>
      </w:r>
      <w:r>
        <w:rPr>
          <w:spacing w:val="7"/>
          <w:w w:val="95"/>
        </w:rPr>
        <w:t> </w:t>
      </w:r>
      <w:r>
        <w:rPr>
          <w:w w:val="95"/>
        </w:rPr>
        <w:t>reported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increased</w:t>
      </w:r>
      <w:r>
        <w:rPr>
          <w:spacing w:val="1"/>
          <w:w w:val="95"/>
        </w:rPr>
        <w:t> </w:t>
      </w:r>
      <w:r>
        <w:rPr/>
        <w:t>BDNF levels in patients with atopic dermatitis and androgenic alopecia [</w:t>
      </w:r>
      <w:hyperlink w:history="true" w:anchor="_bookmark59">
        <w:r>
          <w:rPr>
            <w:color w:val="3E65AC"/>
          </w:rPr>
          <w:t>12</w:t>
        </w:r>
      </w:hyperlink>
      <w:r>
        <w:rPr/>
        <w:t>, </w:t>
      </w:r>
      <w:hyperlink w:history="true" w:anchor="_bookmark60">
        <w:r>
          <w:rPr>
            <w:color w:val="3E65AC"/>
          </w:rPr>
          <w:t>13</w:t>
        </w:r>
      </w:hyperlink>
      <w:r>
        <w:rPr/>
        <w:t>]. On the con-</w:t>
      </w:r>
      <w:r>
        <w:rPr>
          <w:spacing w:val="-43"/>
        </w:rPr>
        <w:t> </w:t>
      </w:r>
      <w:r>
        <w:rPr/>
        <w:t>trast, by Yanik et al. [</w:t>
      </w:r>
      <w:hyperlink w:history="true" w:anchor="_bookmark61">
        <w:r>
          <w:rPr>
            <w:color w:val="3E65AC"/>
          </w:rPr>
          <w:t>14</w:t>
        </w:r>
      </w:hyperlink>
      <w:r>
        <w:rPr/>
        <w:t>], the serum levels of BDNF were found to be reduced in vitiligo</w:t>
      </w:r>
      <w:r>
        <w:rPr>
          <w:spacing w:val="1"/>
        </w:rPr>
        <w:t> </w:t>
      </w:r>
      <w:bookmarkStart w:name="_bookmark10" w:id="11"/>
      <w:bookmarkEnd w:id="11"/>
      <w:r>
        <w:rPr/>
        <w:t>patients</w:t>
      </w:r>
      <w:r>
        <w:rPr/>
        <w:t>.</w:t>
      </w:r>
      <w:r>
        <w:rPr>
          <w:spacing w:val="-10"/>
        </w:rPr>
        <w:t> </w:t>
      </w:r>
      <w:r>
        <w:rPr/>
        <w:t>Keeping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mind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contribution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neuropsychiatric</w:t>
      </w:r>
      <w:r>
        <w:rPr>
          <w:spacing w:val="-8"/>
        </w:rPr>
        <w:t> </w:t>
      </w:r>
      <w:r>
        <w:rPr/>
        <w:t>abnormalities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vitiligo</w:t>
      </w:r>
      <w:r>
        <w:rPr>
          <w:spacing w:val="-9"/>
        </w:rPr>
        <w:t> </w:t>
      </w:r>
      <w:r>
        <w:rPr/>
        <w:t>devel-</w:t>
      </w:r>
      <w:r>
        <w:rPr>
          <w:spacing w:val="-42"/>
        </w:rPr>
        <w:t> </w:t>
      </w:r>
      <w:r>
        <w:rPr/>
        <w:t>opment, the same results of BDNF measurements in population with mental problems are</w:t>
      </w:r>
      <w:r>
        <w:rPr>
          <w:spacing w:val="1"/>
        </w:rPr>
        <w:t> </w:t>
      </w:r>
      <w:r>
        <w:rPr>
          <w:w w:val="95"/>
        </w:rPr>
        <w:t>expected.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lower</w:t>
      </w:r>
      <w:r>
        <w:rPr>
          <w:spacing w:val="10"/>
          <w:w w:val="95"/>
        </w:rPr>
        <w:t> </w:t>
      </w:r>
      <w:r>
        <w:rPr>
          <w:w w:val="95"/>
        </w:rPr>
        <w:t>BDNF</w:t>
      </w:r>
      <w:r>
        <w:rPr>
          <w:spacing w:val="10"/>
          <w:w w:val="95"/>
        </w:rPr>
        <w:t> </w:t>
      </w:r>
      <w:r>
        <w:rPr>
          <w:w w:val="95"/>
        </w:rPr>
        <w:t>levels</w:t>
      </w:r>
      <w:r>
        <w:rPr>
          <w:spacing w:val="10"/>
          <w:w w:val="95"/>
        </w:rPr>
        <w:t> </w:t>
      </w:r>
      <w:r>
        <w:rPr>
          <w:w w:val="95"/>
        </w:rPr>
        <w:t>were</w:t>
      </w:r>
      <w:r>
        <w:rPr>
          <w:spacing w:val="9"/>
          <w:w w:val="95"/>
        </w:rPr>
        <w:t> </w:t>
      </w:r>
      <w:r>
        <w:rPr>
          <w:w w:val="95"/>
        </w:rPr>
        <w:t>detected</w:t>
      </w:r>
      <w:r>
        <w:rPr>
          <w:spacing w:val="10"/>
          <w:w w:val="95"/>
        </w:rPr>
        <w:t> </w:t>
      </w:r>
      <w:r>
        <w:rPr>
          <w:w w:val="95"/>
        </w:rPr>
        <w:t>in</w:t>
      </w:r>
      <w:r>
        <w:rPr>
          <w:spacing w:val="10"/>
          <w:w w:val="95"/>
        </w:rPr>
        <w:t> </w:t>
      </w:r>
      <w:r>
        <w:rPr>
          <w:w w:val="95"/>
        </w:rPr>
        <w:t>patients</w:t>
      </w:r>
      <w:r>
        <w:rPr>
          <w:spacing w:val="11"/>
          <w:w w:val="95"/>
        </w:rPr>
        <w:t> </w:t>
      </w:r>
      <w:r>
        <w:rPr>
          <w:w w:val="95"/>
        </w:rPr>
        <w:t>with</w:t>
      </w:r>
      <w:r>
        <w:rPr>
          <w:spacing w:val="10"/>
          <w:w w:val="95"/>
        </w:rPr>
        <w:t> </w:t>
      </w:r>
      <w:r>
        <w:rPr>
          <w:w w:val="95"/>
        </w:rPr>
        <w:t>stress-induced</w:t>
      </w:r>
      <w:r>
        <w:rPr>
          <w:spacing w:val="12"/>
          <w:w w:val="95"/>
        </w:rPr>
        <w:t> </w:t>
      </w:r>
      <w:r>
        <w:rPr>
          <w:w w:val="95"/>
        </w:rPr>
        <w:t>depressive</w:t>
      </w:r>
      <w:r>
        <w:rPr>
          <w:spacing w:val="1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/>
        <w:t>anxious</w:t>
      </w:r>
      <w:r>
        <w:rPr>
          <w:spacing w:val="-3"/>
        </w:rPr>
        <w:t> </w:t>
      </w:r>
      <w:r>
        <w:rPr/>
        <w:t>behaviors [</w:t>
      </w:r>
      <w:hyperlink w:history="true" w:anchor="_bookmark62">
        <w:r>
          <w:rPr>
            <w:color w:val="3E65AC"/>
          </w:rPr>
          <w:t>15</w:t>
        </w:r>
      </w:hyperlink>
      <w:r>
        <w:rPr/>
        <w:t>].</w:t>
      </w:r>
    </w:p>
    <w:p>
      <w:pPr>
        <w:pStyle w:val="BodyText"/>
        <w:spacing w:line="254" w:lineRule="auto" w:before="12"/>
        <w:ind w:left="139" w:firstLine="239"/>
      </w:pPr>
      <w:bookmarkStart w:name="_bookmark11" w:id="12"/>
      <w:bookmarkEnd w:id="12"/>
      <w:r>
        <w:rPr/>
      </w:r>
      <w:r>
        <w:rPr/>
        <w:t>Corticotropin-releasing</w:t>
      </w:r>
      <w:r>
        <w:rPr>
          <w:spacing w:val="-6"/>
        </w:rPr>
        <w:t> </w:t>
      </w:r>
      <w:r>
        <w:rPr/>
        <w:t>hormone</w:t>
      </w:r>
      <w:r>
        <w:rPr>
          <w:spacing w:val="-6"/>
        </w:rPr>
        <w:t> </w:t>
      </w:r>
      <w:r>
        <w:rPr/>
        <w:t>(CRH)</w:t>
      </w:r>
      <w:r>
        <w:rPr>
          <w:spacing w:val="-5"/>
        </w:rPr>
        <w:t> </w:t>
      </w:r>
      <w:r>
        <w:rPr/>
        <w:t>regulates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hypothalamic-pituitary–adrenal</w:t>
      </w:r>
      <w:r>
        <w:rPr>
          <w:spacing w:val="-5"/>
        </w:rPr>
        <w:t> </w:t>
      </w:r>
      <w:r>
        <w:rPr/>
        <w:t>axis</w:t>
      </w:r>
      <w:r>
        <w:rPr>
          <w:spacing w:val="-42"/>
        </w:rPr>
        <w:t> </w:t>
      </w:r>
      <w:r>
        <w:rPr/>
        <w:t>(HPA)</w:t>
      </w:r>
      <w:r>
        <w:rPr>
          <w:spacing w:val="-5"/>
        </w:rPr>
        <w:t> </w:t>
      </w:r>
      <w:r>
        <w:rPr/>
        <w:t>through</w:t>
      </w:r>
      <w:r>
        <w:rPr>
          <w:spacing w:val="-4"/>
        </w:rPr>
        <w:t> </w:t>
      </w:r>
      <w:r>
        <w:rPr/>
        <w:t>activation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receptor</w:t>
      </w:r>
      <w:r>
        <w:rPr>
          <w:spacing w:val="-5"/>
        </w:rPr>
        <w:t> </w:t>
      </w:r>
      <w:r>
        <w:rPr/>
        <w:t>(corticotropin-releasing</w:t>
      </w:r>
      <w:r>
        <w:rPr>
          <w:spacing w:val="-2"/>
        </w:rPr>
        <w:t> </w:t>
      </w:r>
      <w:r>
        <w:rPr/>
        <w:t>hormone</w:t>
      </w:r>
      <w:r>
        <w:rPr>
          <w:spacing w:val="-5"/>
        </w:rPr>
        <w:t> </w:t>
      </w:r>
      <w:r>
        <w:rPr/>
        <w:t>receptor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line="256" w:lineRule="auto" w:before="2"/>
        <w:ind w:left="139" w:right="122"/>
      </w:pPr>
      <w:r>
        <w:rPr/>
        <w:pict>
          <v:shape style="position:absolute;margin-left:230.682999pt;margin-top:49.70649pt;width:9.5pt;height:.1pt;mso-position-horizontal-relative:page;mso-position-vertical-relative:paragraph;z-index:-16728576" coordorigin="4614,994" coordsize="190,0" path="m4803,994l4614,994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6.803009pt;margin-top:62.745487pt;width:9.550pt;height:.1pt;mso-position-horizontal-relative:page;mso-position-vertical-relative:paragraph;z-index:-16728064" coordorigin="7336,1255" coordsize="191,0" path="m7527,1255l7336,1255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7.291016pt;margin-top:114.732491pt;width:9.550pt;height:.1pt;mso-position-horizontal-relative:page;mso-position-vertical-relative:paragraph;z-index:-16727552" coordorigin="11146,2295" coordsize="191,0" path="m11336,2295l11146,2295e" filled="true" fillcolor="#3e65ac" stroked="false">
            <v:path arrowok="t"/>
            <v:fill type="solid"/>
            <w10:wrap type="none"/>
          </v:shape>
        </w:pict>
      </w:r>
      <w:r>
        <w:rPr/>
        <w:t>(CRH-R1)).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CRH</w:t>
      </w:r>
      <w:r>
        <w:rPr>
          <w:spacing w:val="3"/>
        </w:rPr>
        <w:t> </w:t>
      </w:r>
      <w:r>
        <w:rPr/>
        <w:t>gene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also</w:t>
      </w:r>
      <w:r>
        <w:rPr>
          <w:spacing w:val="3"/>
        </w:rPr>
        <w:t> </w:t>
      </w:r>
      <w:r>
        <w:rPr/>
        <w:t>expressed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extracranial</w:t>
      </w:r>
      <w:r>
        <w:rPr>
          <w:spacing w:val="5"/>
        </w:rPr>
        <w:t> </w:t>
      </w:r>
      <w:r>
        <w:rPr/>
        <w:t>tissues,</w:t>
      </w:r>
      <w:r>
        <w:rPr>
          <w:spacing w:val="4"/>
        </w:rPr>
        <w:t> </w:t>
      </w:r>
      <w:r>
        <w:rPr/>
        <w:t>including</w:t>
      </w:r>
      <w:r>
        <w:rPr>
          <w:spacing w:val="5"/>
        </w:rPr>
        <w:t> </w:t>
      </w:r>
      <w:r>
        <w:rPr/>
        <w:t>human</w:t>
      </w:r>
      <w:r>
        <w:rPr>
          <w:spacing w:val="5"/>
        </w:rPr>
        <w:t> </w:t>
      </w:r>
      <w:r>
        <w:rPr/>
        <w:t>skin,</w:t>
      </w:r>
      <w:r>
        <w:rPr>
          <w:spacing w:val="4"/>
        </w:rPr>
        <w:t> </w:t>
      </w:r>
      <w:r>
        <w:rPr/>
        <w:t>and</w:t>
      </w:r>
      <w:r>
        <w:rPr>
          <w:spacing w:val="-42"/>
        </w:rPr>
        <w:t> </w:t>
      </w:r>
      <w:r>
        <w:rPr/>
        <w:t>can be synthesized by a variety of immune cells. Human mast cells may contain sufficient</w:t>
      </w:r>
      <w:r>
        <w:rPr>
          <w:spacing w:val="1"/>
        </w:rPr>
        <w:t> </w:t>
      </w:r>
      <w:r>
        <w:rPr/>
        <w:t>amounts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CRH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other</w:t>
      </w:r>
      <w:r>
        <w:rPr>
          <w:spacing w:val="-11"/>
        </w:rPr>
        <w:t> </w:t>
      </w:r>
      <w:r>
        <w:rPr/>
        <w:t>stress</w:t>
      </w:r>
      <w:r>
        <w:rPr>
          <w:spacing w:val="-10"/>
        </w:rPr>
        <w:t> </w:t>
      </w:r>
      <w:r>
        <w:rPr/>
        <w:t>peptides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mediate</w:t>
      </w:r>
      <w:r>
        <w:rPr>
          <w:spacing w:val="-11"/>
        </w:rPr>
        <w:t> </w:t>
      </w:r>
      <w:r>
        <w:rPr/>
        <w:t>its</w:t>
      </w:r>
      <w:r>
        <w:rPr>
          <w:spacing w:val="-11"/>
        </w:rPr>
        <w:t> </w:t>
      </w:r>
      <w:r>
        <w:rPr/>
        <w:t>autoimmune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anti-inflammatory</w:t>
      </w:r>
      <w:r>
        <w:rPr>
          <w:spacing w:val="1"/>
        </w:rPr>
        <w:t> </w:t>
      </w:r>
      <w:r>
        <w:rPr/>
        <w:t>effects</w:t>
      </w:r>
      <w:r>
        <w:rPr>
          <w:spacing w:val="6"/>
        </w:rPr>
        <w:t> </w:t>
      </w:r>
      <w:r>
        <w:rPr/>
        <w:t>[</w:t>
      </w:r>
      <w:hyperlink w:history="true" w:anchor="_bookmark63">
        <w:r>
          <w:rPr>
            <w:color w:val="3E65AC"/>
          </w:rPr>
          <w:t>16</w:t>
        </w:r>
      </w:hyperlink>
      <w:r>
        <w:rPr/>
        <w:t>].</w:t>
      </w:r>
      <w:r>
        <w:rPr>
          <w:spacing w:val="6"/>
        </w:rPr>
        <w:t> </w:t>
      </w:r>
      <w:r>
        <w:rPr/>
        <w:t>Expression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CRH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CRH-R1</w:t>
      </w:r>
      <w:r>
        <w:rPr>
          <w:spacing w:val="6"/>
        </w:rPr>
        <w:t> </w:t>
      </w:r>
      <w:r>
        <w:rPr/>
        <w:t>mRNA</w:t>
      </w:r>
      <w:r>
        <w:rPr>
          <w:spacing w:val="7"/>
        </w:rPr>
        <w:t> </w:t>
      </w:r>
      <w:r>
        <w:rPr/>
        <w:t>also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been</w:t>
      </w:r>
      <w:r>
        <w:rPr>
          <w:spacing w:val="6"/>
        </w:rPr>
        <w:t> </w:t>
      </w:r>
      <w:r>
        <w:rPr/>
        <w:t>detected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cultured</w:t>
      </w:r>
      <w:r>
        <w:rPr>
          <w:spacing w:val="1"/>
        </w:rPr>
        <w:t> </w:t>
      </w:r>
      <w:r>
        <w:rPr>
          <w:w w:val="95"/>
        </w:rPr>
        <w:t>human</w:t>
      </w:r>
      <w:r>
        <w:rPr>
          <w:spacing w:val="12"/>
          <w:w w:val="95"/>
        </w:rPr>
        <w:t> </w:t>
      </w:r>
      <w:r>
        <w:rPr>
          <w:w w:val="95"/>
        </w:rPr>
        <w:t>melanocytes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melanoma</w:t>
      </w:r>
      <w:r>
        <w:rPr>
          <w:spacing w:val="12"/>
          <w:w w:val="95"/>
        </w:rPr>
        <w:t> </w:t>
      </w:r>
      <w:r>
        <w:rPr>
          <w:w w:val="95"/>
        </w:rPr>
        <w:t>cells</w:t>
      </w:r>
      <w:r>
        <w:rPr>
          <w:spacing w:val="11"/>
          <w:w w:val="95"/>
        </w:rPr>
        <w:t> </w:t>
      </w:r>
      <w:r>
        <w:rPr>
          <w:w w:val="95"/>
        </w:rPr>
        <w:t>[</w:t>
      </w:r>
      <w:hyperlink w:history="true" w:anchor="_bookmark64">
        <w:r>
          <w:rPr>
            <w:color w:val="3E65AC"/>
            <w:w w:val="95"/>
          </w:rPr>
          <w:t>17</w:t>
        </w:r>
      </w:hyperlink>
      <w:r>
        <w:rPr>
          <w:w w:val="95"/>
        </w:rPr>
        <w:t>].</w:t>
      </w:r>
      <w:r>
        <w:rPr>
          <w:spacing w:val="11"/>
          <w:w w:val="95"/>
        </w:rPr>
        <w:t> </w:t>
      </w:r>
      <w:r>
        <w:rPr>
          <w:w w:val="95"/>
        </w:rPr>
        <w:t>Research</w:t>
      </w:r>
      <w:r>
        <w:rPr>
          <w:spacing w:val="12"/>
          <w:w w:val="95"/>
        </w:rPr>
        <w:t> </w:t>
      </w:r>
      <w:r>
        <w:rPr>
          <w:w w:val="95"/>
        </w:rPr>
        <w:t>on</w:t>
      </w:r>
      <w:r>
        <w:rPr>
          <w:spacing w:val="11"/>
          <w:w w:val="95"/>
        </w:rPr>
        <w:t> </w:t>
      </w:r>
      <w:r>
        <w:rPr>
          <w:w w:val="95"/>
        </w:rPr>
        <w:t>vitiligo</w:t>
      </w:r>
      <w:r>
        <w:rPr>
          <w:spacing w:val="12"/>
          <w:w w:val="95"/>
        </w:rPr>
        <w:t> </w:t>
      </w:r>
      <w:r>
        <w:rPr>
          <w:w w:val="95"/>
        </w:rPr>
        <w:t>demonstrated</w:t>
      </w:r>
      <w:r>
        <w:rPr>
          <w:spacing w:val="12"/>
          <w:w w:val="95"/>
        </w:rPr>
        <w:t> </w:t>
      </w:r>
      <w:r>
        <w:rPr>
          <w:w w:val="95"/>
        </w:rPr>
        <w:t>that</w:t>
      </w:r>
      <w:r>
        <w:rPr>
          <w:spacing w:val="9"/>
          <w:w w:val="95"/>
        </w:rPr>
        <w:t> </w:t>
      </w:r>
      <w:r>
        <w:rPr>
          <w:w w:val="95"/>
        </w:rPr>
        <w:t>expres-</w:t>
      </w:r>
      <w:r>
        <w:rPr>
          <w:spacing w:val="1"/>
          <w:w w:val="95"/>
        </w:rPr>
        <w:t> </w:t>
      </w:r>
      <w:r>
        <w:rPr/>
        <w:t>sion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CRH-R1</w:t>
      </w:r>
      <w:r>
        <w:rPr>
          <w:spacing w:val="-5"/>
        </w:rPr>
        <w:t> </w:t>
      </w:r>
      <w:r>
        <w:rPr/>
        <w:t>gene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increased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both</w:t>
      </w:r>
      <w:r>
        <w:rPr>
          <w:spacing w:val="-5"/>
        </w:rPr>
        <w:t> </w:t>
      </w:r>
      <w:r>
        <w:rPr/>
        <w:t>vitiligo</w:t>
      </w:r>
      <w:r>
        <w:rPr>
          <w:spacing w:val="-3"/>
        </w:rPr>
        <w:t> </w:t>
      </w:r>
      <w:r>
        <w:rPr/>
        <w:t>unaffected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vitiligo</w:t>
      </w:r>
      <w:r>
        <w:rPr>
          <w:spacing w:val="-4"/>
        </w:rPr>
        <w:t> </w:t>
      </w:r>
      <w:r>
        <w:rPr/>
        <w:t>affected</w:t>
      </w:r>
      <w:r>
        <w:rPr>
          <w:spacing w:val="-4"/>
        </w:rPr>
        <w:t> </w:t>
      </w:r>
      <w:r>
        <w:rPr/>
        <w:t>skin.</w:t>
      </w:r>
      <w:r>
        <w:rPr>
          <w:spacing w:val="-5"/>
        </w:rPr>
        <w:t> </w:t>
      </w:r>
      <w:r>
        <w:rPr/>
        <w:t>Fur-</w:t>
      </w:r>
      <w:r>
        <w:rPr>
          <w:spacing w:val="-43"/>
        </w:rPr>
        <w:t> </w:t>
      </w:r>
      <w:r>
        <w:rPr/>
        <w:t>thermore,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increased</w:t>
      </w:r>
      <w:r>
        <w:rPr>
          <w:spacing w:val="-6"/>
        </w:rPr>
        <w:t> </w:t>
      </w:r>
      <w:r>
        <w:rPr/>
        <w:t>expression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CRH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CRH-R1</w:t>
      </w:r>
      <w:r>
        <w:rPr>
          <w:spacing w:val="-6"/>
        </w:rPr>
        <w:t> </w:t>
      </w:r>
      <w:r>
        <w:rPr/>
        <w:t>correlated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high</w:t>
      </w:r>
      <w:r>
        <w:rPr>
          <w:spacing w:val="-5"/>
        </w:rPr>
        <w:t> </w:t>
      </w:r>
      <w:r>
        <w:rPr/>
        <w:t>scores</w:t>
      </w:r>
      <w:r>
        <w:rPr>
          <w:spacing w:val="-6"/>
        </w:rPr>
        <w:t> </w:t>
      </w:r>
      <w:r>
        <w:rPr/>
        <w:t>obtained</w:t>
      </w:r>
      <w:r>
        <w:rPr>
          <w:spacing w:val="1"/>
        </w:rPr>
        <w:t> </w:t>
      </w:r>
      <w:r>
        <w:rPr>
          <w:w w:val="95"/>
        </w:rPr>
        <w:t>on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Social</w:t>
      </w:r>
      <w:r>
        <w:rPr>
          <w:spacing w:val="4"/>
          <w:w w:val="95"/>
        </w:rPr>
        <w:t> </w:t>
      </w:r>
      <w:r>
        <w:rPr>
          <w:w w:val="95"/>
        </w:rPr>
        <w:t>adaptation</w:t>
      </w:r>
      <w:r>
        <w:rPr>
          <w:spacing w:val="6"/>
          <w:w w:val="95"/>
        </w:rPr>
        <w:t> </w:t>
      </w:r>
      <w:r>
        <w:rPr>
          <w:w w:val="95"/>
        </w:rPr>
        <w:t>assessment</w:t>
      </w:r>
      <w:r>
        <w:rPr>
          <w:spacing w:val="7"/>
          <w:w w:val="95"/>
        </w:rPr>
        <w:t> </w:t>
      </w:r>
      <w:r>
        <w:rPr>
          <w:w w:val="95"/>
        </w:rPr>
        <w:t>scale,</w:t>
      </w:r>
      <w:r>
        <w:rPr>
          <w:spacing w:val="3"/>
          <w:w w:val="95"/>
        </w:rPr>
        <w:t> </w:t>
      </w:r>
      <w:r>
        <w:rPr>
          <w:w w:val="95"/>
        </w:rPr>
        <w:t>which</w:t>
      </w:r>
      <w:r>
        <w:rPr>
          <w:spacing w:val="6"/>
          <w:w w:val="95"/>
        </w:rPr>
        <w:t> </w:t>
      </w:r>
      <w:r>
        <w:rPr>
          <w:w w:val="95"/>
        </w:rPr>
        <w:t>can</w:t>
      </w:r>
      <w:r>
        <w:rPr>
          <w:spacing w:val="4"/>
          <w:w w:val="95"/>
        </w:rPr>
        <w:t> </w:t>
      </w:r>
      <w:r>
        <w:rPr>
          <w:w w:val="95"/>
        </w:rPr>
        <w:t>be</w:t>
      </w:r>
      <w:r>
        <w:rPr>
          <w:spacing w:val="4"/>
          <w:w w:val="95"/>
        </w:rPr>
        <w:t> </w:t>
      </w:r>
      <w:r>
        <w:rPr>
          <w:w w:val="95"/>
        </w:rPr>
        <w:t>explained</w:t>
      </w:r>
      <w:r>
        <w:rPr>
          <w:spacing w:val="7"/>
          <w:w w:val="95"/>
        </w:rPr>
        <w:t> </w:t>
      </w:r>
      <w:r>
        <w:rPr>
          <w:w w:val="95"/>
        </w:rPr>
        <w:t>by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fact</w:t>
      </w:r>
      <w:r>
        <w:rPr>
          <w:spacing w:val="6"/>
          <w:w w:val="95"/>
        </w:rPr>
        <w:t> </w:t>
      </w:r>
      <w:r>
        <w:rPr>
          <w:w w:val="95"/>
        </w:rPr>
        <w:t>that</w:t>
      </w:r>
      <w:r>
        <w:rPr>
          <w:spacing w:val="4"/>
          <w:w w:val="95"/>
        </w:rPr>
        <w:t> </w:t>
      </w:r>
      <w:r>
        <w:rPr>
          <w:w w:val="95"/>
        </w:rPr>
        <w:t>hyperactiva-</w:t>
      </w:r>
      <w:r>
        <w:rPr>
          <w:spacing w:val="1"/>
          <w:w w:val="95"/>
        </w:rPr>
        <w:t> </w:t>
      </w:r>
      <w:r>
        <w:rPr>
          <w:spacing w:val="-1"/>
        </w:rPr>
        <w:t>tion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cortical-releasing</w:t>
      </w:r>
      <w:r>
        <w:rPr>
          <w:spacing w:val="-9"/>
        </w:rPr>
        <w:t> </w:t>
      </w:r>
      <w:r>
        <w:rPr>
          <w:spacing w:val="-1"/>
        </w:rPr>
        <w:t>system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skin</w:t>
      </w:r>
      <w:r>
        <w:rPr>
          <w:spacing w:val="-10"/>
        </w:rPr>
        <w:t> </w:t>
      </w:r>
      <w:r>
        <w:rPr>
          <w:spacing w:val="-1"/>
        </w:rPr>
        <w:t>increases</w:t>
      </w:r>
      <w:r>
        <w:rPr>
          <w:spacing w:val="-10"/>
        </w:rPr>
        <w:t> </w:t>
      </w:r>
      <w:r>
        <w:rPr>
          <w:spacing w:val="-1"/>
        </w:rPr>
        <w:t>neuroendocrine</w:t>
      </w:r>
      <w:r>
        <w:rPr>
          <w:spacing w:val="-9"/>
        </w:rPr>
        <w:t> </w:t>
      </w:r>
      <w:r>
        <w:rPr>
          <w:spacing w:val="-1"/>
        </w:rPr>
        <w:t>sensitivity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stress</w:t>
      </w:r>
      <w:r>
        <w:rPr>
          <w:spacing w:val="-9"/>
        </w:rPr>
        <w:t> </w:t>
      </w:r>
      <w:r>
        <w:rPr/>
        <w:t>[</w:t>
      </w:r>
      <w:hyperlink w:history="true" w:anchor="_bookmark65">
        <w:r>
          <w:rPr>
            <w:color w:val="3E65AC"/>
          </w:rPr>
          <w:t>18</w:t>
        </w:r>
      </w:hyperlink>
      <w:r>
        <w:rPr/>
        <w:t>].</w:t>
      </w:r>
    </w:p>
    <w:p>
      <w:pPr>
        <w:pStyle w:val="BodyText"/>
        <w:spacing w:line="256" w:lineRule="auto"/>
        <w:ind w:left="139" w:firstLine="239"/>
      </w:pPr>
      <w:r>
        <w:rPr/>
        <w:pict>
          <v:shape style="position:absolute;margin-left:502.355988pt;margin-top:49.607189pt;width:9.550pt;height:.1pt;mso-position-horizontal-relative:page;mso-position-vertical-relative:paragraph;z-index:-16727040" coordorigin="10047,992" coordsize="191,0" path="m10238,992l10047,992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7.039001pt;margin-top:49.607189pt;width:9.550pt;height:.1pt;mso-position-horizontal-relative:page;mso-position-vertical-relative:paragraph;z-index:-16726528" coordorigin="10341,992" coordsize="191,0" path="m10531,992l10341,992e" filled="true" fillcolor="#3e65ac" stroked="false">
            <v:path arrowok="t"/>
            <v:fill type="solid"/>
            <w10:wrap type="none"/>
          </v:shape>
        </w:pict>
      </w:r>
      <w:r>
        <w:rPr/>
        <w:t>Assigning a pivotal role of the abovementioned signaling substances in skin disorders, we</w:t>
      </w:r>
      <w:r>
        <w:rPr>
          <w:spacing w:val="1"/>
        </w:rPr>
        <w:t> </w:t>
      </w:r>
      <w:r>
        <w:rPr>
          <w:w w:val="95"/>
        </w:rPr>
        <w:t>estimated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genes</w:t>
      </w:r>
      <w:r>
        <w:rPr>
          <w:spacing w:val="5"/>
          <w:w w:val="95"/>
        </w:rPr>
        <w:t> </w:t>
      </w:r>
      <w:r>
        <w:rPr>
          <w:w w:val="95"/>
        </w:rPr>
        <w:t>encrypting</w:t>
      </w:r>
      <w:r>
        <w:rPr>
          <w:spacing w:val="5"/>
          <w:w w:val="95"/>
        </w:rPr>
        <w:t> </w:t>
      </w:r>
      <w:r>
        <w:rPr>
          <w:rFonts w:ascii="Times New Roman" w:hAnsi="Times New Roman"/>
          <w:i/>
          <w:w w:val="95"/>
        </w:rPr>
        <w:t>BDNF </w:t>
      </w:r>
      <w:r>
        <w:rPr>
          <w:w w:val="95"/>
        </w:rPr>
        <w:t>and</w:t>
      </w:r>
      <w:r>
        <w:rPr>
          <w:spacing w:val="6"/>
          <w:w w:val="95"/>
        </w:rPr>
        <w:t> </w:t>
      </w:r>
      <w:r>
        <w:rPr>
          <w:rFonts w:ascii="Times New Roman" w:hAnsi="Times New Roman"/>
          <w:i/>
          <w:w w:val="95"/>
        </w:rPr>
        <w:t>CRH</w:t>
      </w:r>
      <w:r>
        <w:rPr>
          <w:rFonts w:ascii="Times New Roman" w:hAnsi="Times New Roman"/>
          <w:i/>
          <w:spacing w:val="-1"/>
          <w:w w:val="95"/>
        </w:rPr>
        <w:t> </w:t>
      </w:r>
      <w:r>
        <w:rPr>
          <w:w w:val="95"/>
        </w:rPr>
        <w:t>as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conceivable</w:t>
      </w:r>
      <w:r>
        <w:rPr>
          <w:spacing w:val="5"/>
          <w:w w:val="95"/>
        </w:rPr>
        <w:t> </w:t>
      </w:r>
      <w:r>
        <w:rPr>
          <w:w w:val="95"/>
        </w:rPr>
        <w:t>contributors</w:t>
      </w:r>
      <w:r>
        <w:rPr>
          <w:spacing w:val="7"/>
          <w:w w:val="95"/>
        </w:rPr>
        <w:t> </w:t>
      </w:r>
      <w:r>
        <w:rPr>
          <w:w w:val="95"/>
        </w:rPr>
        <w:t>to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develop-</w:t>
      </w:r>
      <w:r>
        <w:rPr>
          <w:spacing w:val="-40"/>
          <w:w w:val="95"/>
        </w:rPr>
        <w:t> </w:t>
      </w:r>
      <w:r>
        <w:rPr>
          <w:spacing w:val="-1"/>
        </w:rPr>
        <w:t>ment of vitiligo. Current data show that some </w:t>
      </w:r>
      <w:r>
        <w:rPr>
          <w:rFonts w:ascii="Times New Roman" w:hAnsi="Times New Roman"/>
          <w:i/>
          <w:spacing w:val="-1"/>
        </w:rPr>
        <w:t>BDNF </w:t>
      </w:r>
      <w:r>
        <w:rPr>
          <w:spacing w:val="-1"/>
        </w:rPr>
        <w:t>single nucleotide </w:t>
      </w:r>
      <w:r>
        <w:rPr/>
        <w:t>polymorphisms (SNPs)</w:t>
      </w:r>
      <w:r>
        <w:rPr>
          <w:spacing w:val="-43"/>
        </w:rPr>
        <w:t> </w:t>
      </w:r>
      <w:r>
        <w:rPr>
          <w:spacing w:val="-1"/>
        </w:rPr>
        <w:t>are</w:t>
      </w:r>
      <w:r>
        <w:rPr>
          <w:spacing w:val="-11"/>
        </w:rPr>
        <w:t> </w:t>
      </w:r>
      <w:r>
        <w:rPr>
          <w:spacing w:val="-1"/>
        </w:rPr>
        <w:t>associated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>
          <w:spacing w:val="-1"/>
        </w:rPr>
        <w:t>neurological,</w:t>
      </w:r>
      <w:r>
        <w:rPr>
          <w:spacing w:val="-8"/>
        </w:rPr>
        <w:t> </w:t>
      </w:r>
      <w:r>
        <w:rPr>
          <w:spacing w:val="-1"/>
        </w:rPr>
        <w:t>psychological,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cognitive</w:t>
      </w:r>
      <w:r>
        <w:rPr>
          <w:spacing w:val="-10"/>
        </w:rPr>
        <w:t> </w:t>
      </w:r>
      <w:r>
        <w:rPr>
          <w:spacing w:val="-1"/>
        </w:rPr>
        <w:t>impairments</w:t>
      </w:r>
      <w:r>
        <w:rPr>
          <w:spacing w:val="-7"/>
        </w:rPr>
        <w:t> </w:t>
      </w:r>
      <w:r>
        <w:rPr>
          <w:spacing w:val="-1"/>
        </w:rPr>
        <w:t>[</w:t>
      </w:r>
      <w:hyperlink w:history="true" w:anchor="_bookmark66">
        <w:r>
          <w:rPr>
            <w:color w:val="3E65AC"/>
            <w:spacing w:val="-1"/>
          </w:rPr>
          <w:t>19</w:t>
        </w:r>
      </w:hyperlink>
      <w:r>
        <w:rPr>
          <w:spacing w:val="-1"/>
        </w:rPr>
        <w:t>–</w:t>
      </w:r>
      <w:hyperlink w:history="true" w:anchor="_bookmark66">
        <w:r>
          <w:rPr>
            <w:color w:val="3E65AC"/>
            <w:spacing w:val="-1"/>
          </w:rPr>
          <w:t>21</w:t>
        </w:r>
      </w:hyperlink>
      <w:r>
        <w:rPr>
          <w:spacing w:val="-1"/>
        </w:rPr>
        <w:t>].</w:t>
      </w:r>
      <w:r>
        <w:rPr>
          <w:spacing w:val="-9"/>
        </w:rPr>
        <w:t> </w:t>
      </w:r>
      <w:r>
        <w:rPr>
          <w:spacing w:val="-1"/>
        </w:rPr>
        <w:t>Recently,</w:t>
      </w:r>
    </w:p>
    <w:p>
      <w:pPr>
        <w:spacing w:after="0" w:line="256" w:lineRule="auto"/>
        <w:sectPr>
          <w:type w:val="continuous"/>
          <w:pgSz w:w="12240" w:h="15840"/>
          <w:pgMar w:top="480" w:bottom="880" w:left="580" w:right="600"/>
          <w:cols w:num="2" w:equalWidth="0">
            <w:col w:w="3048" w:space="232"/>
            <w:col w:w="7780"/>
          </w:cols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4" w:lineRule="auto" w:before="94"/>
        <w:ind w:left="3420" w:right="125"/>
      </w:pPr>
      <w:r>
        <w:rPr/>
        <w:pict>
          <v:shape style="position:absolute;margin-left:265.549988pt;margin-top:15.298486pt;width:9.550pt;height:.1pt;mso-position-horizontal-relative:page;mso-position-vertical-relative:paragraph;z-index:-16726016" coordorigin="5311,306" coordsize="191,0" path="m5501,306l5311,306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6.854004pt;margin-top:67.285484pt;width:9.550pt;height:.1pt;mso-position-horizontal-relative:page;mso-position-vertical-relative:paragraph;z-index:-16725504" coordorigin="5337,1346" coordsize="191,0" path="m5528,1346l5337,1346e" filled="true" fillcolor="#3e65ac" stroked="false">
            <v:path arrowok="t"/>
            <v:fill type="solid"/>
            <w10:wrap type="none"/>
          </v:shape>
        </w:pict>
      </w:r>
      <w:bookmarkStart w:name="_bookmark12" w:id="13"/>
      <w:bookmarkEnd w:id="13"/>
      <w:r>
        <w:rPr/>
      </w:r>
      <w:r>
        <w:rPr>
          <w:w w:val="95"/>
        </w:rPr>
        <w:t>Hennings</w:t>
      </w:r>
      <w:r>
        <w:rPr>
          <w:spacing w:val="12"/>
          <w:w w:val="95"/>
        </w:rPr>
        <w:t> </w:t>
      </w:r>
      <w:r>
        <w:rPr>
          <w:w w:val="95"/>
        </w:rPr>
        <w:t>et</w:t>
      </w:r>
      <w:r>
        <w:rPr>
          <w:spacing w:val="11"/>
          <w:w w:val="95"/>
        </w:rPr>
        <w:t> </w:t>
      </w:r>
      <w:r>
        <w:rPr>
          <w:w w:val="95"/>
        </w:rPr>
        <w:t>al.</w:t>
      </w:r>
      <w:r>
        <w:rPr>
          <w:spacing w:val="10"/>
          <w:w w:val="95"/>
        </w:rPr>
        <w:t> </w:t>
      </w:r>
      <w:r>
        <w:rPr>
          <w:w w:val="95"/>
        </w:rPr>
        <w:t>[</w:t>
      </w:r>
      <w:hyperlink w:history="true" w:anchor="_bookmark67">
        <w:r>
          <w:rPr>
            <w:color w:val="3E65AC"/>
            <w:w w:val="95"/>
          </w:rPr>
          <w:t>22</w:t>
        </w:r>
      </w:hyperlink>
      <w:r>
        <w:rPr>
          <w:w w:val="95"/>
        </w:rPr>
        <w:t>]</w:t>
      </w:r>
      <w:r>
        <w:rPr>
          <w:spacing w:val="13"/>
          <w:w w:val="95"/>
        </w:rPr>
        <w:t> </w:t>
      </w:r>
      <w:r>
        <w:rPr>
          <w:w w:val="95"/>
        </w:rPr>
        <w:t>reported</w:t>
      </w:r>
      <w:r>
        <w:rPr>
          <w:spacing w:val="12"/>
          <w:w w:val="95"/>
        </w:rPr>
        <w:t> </w:t>
      </w:r>
      <w:r>
        <w:rPr>
          <w:w w:val="95"/>
        </w:rPr>
        <w:t>that</w:t>
      </w:r>
      <w:r>
        <w:rPr>
          <w:spacing w:val="10"/>
          <w:w w:val="95"/>
        </w:rPr>
        <w:t> </w:t>
      </w:r>
      <w:r>
        <w:rPr>
          <w:rFonts w:ascii="Times New Roman"/>
          <w:i/>
          <w:w w:val="95"/>
        </w:rPr>
        <w:t>BDNF</w:t>
      </w:r>
      <w:r>
        <w:rPr>
          <w:rFonts w:ascii="Times New Roman"/>
          <w:i/>
          <w:spacing w:val="7"/>
          <w:w w:val="95"/>
        </w:rPr>
        <w:t> </w:t>
      </w:r>
      <w:r>
        <w:rPr>
          <w:w w:val="95"/>
        </w:rPr>
        <w:t>rs11030094</w:t>
      </w:r>
      <w:r>
        <w:rPr>
          <w:spacing w:val="12"/>
          <w:w w:val="95"/>
        </w:rPr>
        <w:t> </w:t>
      </w:r>
      <w:r>
        <w:rPr>
          <w:w w:val="95"/>
        </w:rPr>
        <w:t>polymorphism</w:t>
      </w:r>
      <w:r>
        <w:rPr>
          <w:spacing w:val="14"/>
          <w:w w:val="95"/>
        </w:rPr>
        <w:t> </w:t>
      </w:r>
      <w:r>
        <w:rPr>
          <w:w w:val="95"/>
        </w:rPr>
        <w:t>was</w:t>
      </w:r>
      <w:r>
        <w:rPr>
          <w:spacing w:val="11"/>
          <w:w w:val="95"/>
        </w:rPr>
        <w:t> </w:t>
      </w:r>
      <w:r>
        <w:rPr>
          <w:w w:val="95"/>
        </w:rPr>
        <w:t>associated</w:t>
      </w:r>
      <w:r>
        <w:rPr>
          <w:spacing w:val="13"/>
          <w:w w:val="95"/>
        </w:rPr>
        <w:t> </w:t>
      </w:r>
      <w:r>
        <w:rPr>
          <w:w w:val="95"/>
        </w:rPr>
        <w:t>with</w:t>
      </w:r>
      <w:r>
        <w:rPr>
          <w:spacing w:val="11"/>
          <w:w w:val="95"/>
        </w:rPr>
        <w:t> </w:t>
      </w:r>
      <w:r>
        <w:rPr>
          <w:w w:val="95"/>
        </w:rPr>
        <w:t>anti-</w:t>
      </w:r>
      <w:r>
        <w:rPr>
          <w:spacing w:val="1"/>
          <w:w w:val="95"/>
        </w:rPr>
        <w:t> </w:t>
      </w:r>
      <w:r>
        <w:rPr>
          <w:w w:val="95"/>
        </w:rPr>
        <w:t>depressant</w:t>
      </w:r>
      <w:r>
        <w:rPr>
          <w:spacing w:val="7"/>
          <w:w w:val="95"/>
        </w:rPr>
        <w:t> </w:t>
      </w:r>
      <w:r>
        <w:rPr>
          <w:w w:val="95"/>
        </w:rPr>
        <w:t>treatment</w:t>
      </w:r>
      <w:r>
        <w:rPr>
          <w:spacing w:val="8"/>
          <w:w w:val="95"/>
        </w:rPr>
        <w:t> </w:t>
      </w:r>
      <w:r>
        <w:rPr>
          <w:w w:val="95"/>
        </w:rPr>
        <w:t>response</w:t>
      </w:r>
      <w:r>
        <w:rPr>
          <w:spacing w:val="6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patients</w:t>
      </w:r>
      <w:r>
        <w:rPr>
          <w:spacing w:val="8"/>
          <w:w w:val="95"/>
        </w:rPr>
        <w:t> </w:t>
      </w:r>
      <w:r>
        <w:rPr>
          <w:w w:val="95"/>
        </w:rPr>
        <w:t>with</w:t>
      </w:r>
      <w:r>
        <w:rPr>
          <w:spacing w:val="6"/>
          <w:w w:val="95"/>
        </w:rPr>
        <w:t> </w:t>
      </w:r>
      <w:r>
        <w:rPr>
          <w:w w:val="95"/>
        </w:rPr>
        <w:t>different</w:t>
      </w:r>
      <w:r>
        <w:rPr>
          <w:spacing w:val="8"/>
          <w:w w:val="95"/>
        </w:rPr>
        <w:t> </w:t>
      </w:r>
      <w:r>
        <w:rPr>
          <w:w w:val="95"/>
        </w:rPr>
        <w:t>mental</w:t>
      </w:r>
      <w:r>
        <w:rPr>
          <w:spacing w:val="7"/>
          <w:w w:val="95"/>
        </w:rPr>
        <w:t> </w:t>
      </w:r>
      <w:r>
        <w:rPr>
          <w:w w:val="95"/>
        </w:rPr>
        <w:t>disorders.</w:t>
      </w:r>
      <w:r>
        <w:rPr>
          <w:spacing w:val="8"/>
          <w:w w:val="95"/>
        </w:rPr>
        <w:t> </w:t>
      </w:r>
      <w:r>
        <w:rPr>
          <w:rFonts w:ascii="Times New Roman"/>
          <w:i/>
          <w:w w:val="95"/>
        </w:rPr>
        <w:t>CRH </w:t>
      </w:r>
      <w:r>
        <w:rPr>
          <w:w w:val="95"/>
        </w:rPr>
        <w:t>gene</w:t>
      </w:r>
      <w:r>
        <w:rPr>
          <w:spacing w:val="7"/>
          <w:w w:val="95"/>
        </w:rPr>
        <w:t> </w:t>
      </w:r>
      <w:r>
        <w:rPr>
          <w:w w:val="95"/>
        </w:rPr>
        <w:t>distur-</w:t>
      </w:r>
      <w:r>
        <w:rPr>
          <w:spacing w:val="1"/>
          <w:w w:val="95"/>
        </w:rPr>
        <w:t> </w:t>
      </w:r>
      <w:r>
        <w:rPr>
          <w:w w:val="95"/>
        </w:rPr>
        <w:t>bances</w:t>
      </w:r>
      <w:r>
        <w:rPr>
          <w:spacing w:val="6"/>
          <w:w w:val="95"/>
        </w:rPr>
        <w:t> </w:t>
      </w:r>
      <w:r>
        <w:rPr>
          <w:w w:val="95"/>
        </w:rPr>
        <w:t>are</w:t>
      </w:r>
      <w:r>
        <w:rPr>
          <w:spacing w:val="6"/>
          <w:w w:val="95"/>
        </w:rPr>
        <w:t> </w:t>
      </w:r>
      <w:r>
        <w:rPr>
          <w:w w:val="95"/>
        </w:rPr>
        <w:t>also</w:t>
      </w:r>
      <w:r>
        <w:rPr>
          <w:spacing w:val="7"/>
          <w:w w:val="95"/>
        </w:rPr>
        <w:t> </w:t>
      </w:r>
      <w:r>
        <w:rPr>
          <w:w w:val="95"/>
        </w:rPr>
        <w:t>recognized</w:t>
      </w:r>
      <w:r>
        <w:rPr>
          <w:spacing w:val="6"/>
          <w:w w:val="95"/>
        </w:rPr>
        <w:t> </w:t>
      </w:r>
      <w:r>
        <w:rPr>
          <w:w w:val="95"/>
        </w:rPr>
        <w:t>as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possible</w:t>
      </w:r>
      <w:r>
        <w:rPr>
          <w:spacing w:val="7"/>
          <w:w w:val="95"/>
        </w:rPr>
        <w:t> </w:t>
      </w:r>
      <w:r>
        <w:rPr>
          <w:w w:val="95"/>
        </w:rPr>
        <w:t>risk</w:t>
      </w:r>
      <w:r>
        <w:rPr>
          <w:spacing w:val="6"/>
          <w:w w:val="95"/>
        </w:rPr>
        <w:t> </w:t>
      </w:r>
      <w:r>
        <w:rPr>
          <w:w w:val="95"/>
        </w:rPr>
        <w:t>factors</w:t>
      </w:r>
      <w:r>
        <w:rPr>
          <w:spacing w:val="6"/>
          <w:w w:val="95"/>
        </w:rPr>
        <w:t> </w:t>
      </w:r>
      <w:r>
        <w:rPr>
          <w:w w:val="95"/>
        </w:rPr>
        <w:t>for</w:t>
      </w:r>
      <w:r>
        <w:rPr>
          <w:spacing w:val="6"/>
          <w:w w:val="95"/>
        </w:rPr>
        <w:t> </w:t>
      </w:r>
      <w:r>
        <w:rPr>
          <w:w w:val="95"/>
        </w:rPr>
        <w:t>dysregulation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stress</w:t>
      </w:r>
      <w:r>
        <w:rPr>
          <w:spacing w:val="7"/>
          <w:w w:val="95"/>
        </w:rPr>
        <w:t> </w:t>
      </w:r>
      <w:r>
        <w:rPr>
          <w:w w:val="95"/>
        </w:rPr>
        <w:t>response.</w:t>
      </w:r>
      <w:r>
        <w:rPr>
          <w:spacing w:val="8"/>
          <w:w w:val="95"/>
        </w:rPr>
        <w:t> </w:t>
      </w:r>
      <w:r>
        <w:rPr>
          <w:w w:val="95"/>
        </w:rPr>
        <w:t>For</w:t>
      </w:r>
      <w:r>
        <w:rPr>
          <w:spacing w:val="-40"/>
          <w:w w:val="95"/>
        </w:rPr>
        <w:t> </w:t>
      </w:r>
      <w:r>
        <w:rPr>
          <w:w w:val="95"/>
        </w:rPr>
        <w:t>instance,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rFonts w:ascii="Times New Roman"/>
          <w:i/>
          <w:w w:val="95"/>
        </w:rPr>
        <w:t>CRH-R1</w:t>
      </w:r>
      <w:r>
        <w:rPr>
          <w:rFonts w:ascii="Times New Roman"/>
          <w:i/>
          <w:spacing w:val="3"/>
          <w:w w:val="95"/>
        </w:rPr>
        <w:t> </w:t>
      </w:r>
      <w:r>
        <w:rPr>
          <w:w w:val="95"/>
        </w:rPr>
        <w:t>rs242924</w:t>
      </w:r>
      <w:r>
        <w:rPr>
          <w:spacing w:val="9"/>
          <w:w w:val="95"/>
        </w:rPr>
        <w:t> </w:t>
      </w:r>
      <w:r>
        <w:rPr>
          <w:w w:val="95"/>
        </w:rPr>
        <w:t>polymorphism</w:t>
      </w:r>
      <w:r>
        <w:rPr>
          <w:spacing w:val="9"/>
          <w:w w:val="95"/>
        </w:rPr>
        <w:t> </w:t>
      </w:r>
      <w:r>
        <w:rPr>
          <w:w w:val="95"/>
        </w:rPr>
        <w:t>was</w:t>
      </w:r>
      <w:r>
        <w:rPr>
          <w:spacing w:val="8"/>
          <w:w w:val="95"/>
        </w:rPr>
        <w:t> </w:t>
      </w:r>
      <w:r>
        <w:rPr>
          <w:w w:val="95"/>
        </w:rPr>
        <w:t>associated</w:t>
      </w:r>
      <w:r>
        <w:rPr>
          <w:spacing w:val="7"/>
          <w:w w:val="95"/>
        </w:rPr>
        <w:t> </w:t>
      </w:r>
      <w:r>
        <w:rPr>
          <w:w w:val="95"/>
        </w:rPr>
        <w:t>with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higher</w:t>
      </w:r>
      <w:r>
        <w:rPr>
          <w:spacing w:val="8"/>
          <w:w w:val="95"/>
        </w:rPr>
        <w:t> </w:t>
      </w:r>
      <w:r>
        <w:rPr>
          <w:w w:val="95"/>
        </w:rPr>
        <w:t>incidence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bookmarkStart w:name="_bookmark13" w:id="14"/>
      <w:bookmarkEnd w:id="14"/>
      <w:r>
        <w:rPr/>
        <w:t>pani</w:t>
      </w:r>
      <w:r>
        <w:rPr/>
        <w:t>c</w:t>
      </w:r>
      <w:r>
        <w:rPr>
          <w:spacing w:val="-3"/>
        </w:rPr>
        <w:t> </w:t>
      </w:r>
      <w:r>
        <w:rPr/>
        <w:t>disorders</w:t>
      </w:r>
      <w:r>
        <w:rPr>
          <w:spacing w:val="-2"/>
        </w:rPr>
        <w:t> </w:t>
      </w:r>
      <w:r>
        <w:rPr/>
        <w:t>[</w:t>
      </w:r>
      <w:hyperlink w:history="true" w:anchor="_bookmark68">
        <w:r>
          <w:rPr>
            <w:color w:val="3E65AC"/>
          </w:rPr>
          <w:t>23</w:t>
        </w:r>
      </w:hyperlink>
      <w:r>
        <w:rPr/>
        <w:t>].</w:t>
      </w:r>
    </w:p>
    <w:p>
      <w:pPr>
        <w:pStyle w:val="BodyText"/>
        <w:spacing w:line="256" w:lineRule="auto" w:before="6"/>
        <w:ind w:left="3420" w:right="162" w:firstLine="239"/>
        <w:jc w:val="both"/>
      </w:pPr>
      <w:r>
        <w:rPr>
          <w:w w:val="95"/>
        </w:rPr>
        <w:t>To the best of our knowledge, no previous study examined the possible role of either </w:t>
      </w:r>
      <w:r>
        <w:rPr>
          <w:rFonts w:ascii="Times New Roman"/>
          <w:i/>
          <w:w w:val="95"/>
        </w:rPr>
        <w:t>BDNF</w:t>
      </w:r>
      <w:r>
        <w:rPr>
          <w:rFonts w:ascii="Times New Roman"/>
          <w:i/>
          <w:spacing w:val="1"/>
          <w:w w:val="95"/>
        </w:rPr>
        <w:t> </w:t>
      </w:r>
      <w:r>
        <w:rPr>
          <w:w w:val="95"/>
        </w:rPr>
        <w:t>rs11030094 polymorphism or </w:t>
      </w:r>
      <w:r>
        <w:rPr>
          <w:rFonts w:ascii="Times New Roman"/>
          <w:i/>
          <w:w w:val="95"/>
        </w:rPr>
        <w:t>CRH-R1 </w:t>
      </w:r>
      <w:r>
        <w:rPr>
          <w:w w:val="95"/>
        </w:rPr>
        <w:t>rs242924 polymorphism as contributing factors to viti-</w:t>
      </w:r>
      <w:r>
        <w:rPr>
          <w:spacing w:val="1"/>
          <w:w w:val="95"/>
        </w:rPr>
        <w:t> </w:t>
      </w:r>
      <w:bookmarkStart w:name="_bookmark14" w:id="15"/>
      <w:bookmarkEnd w:id="15"/>
      <w:r>
        <w:rPr/>
        <w:t>ligo</w:t>
      </w:r>
      <w:r>
        <w:rPr/>
        <w:t>.</w:t>
      </w:r>
      <w:r>
        <w:rPr>
          <w:spacing w:val="-10"/>
        </w:rPr>
        <w:t> </w:t>
      </w:r>
      <w:r>
        <w:rPr/>
        <w:t>Thus,</w:t>
      </w:r>
      <w:r>
        <w:rPr>
          <w:spacing w:val="-8"/>
        </w:rPr>
        <w:t> </w:t>
      </w:r>
      <w:r>
        <w:rPr/>
        <w:t>we</w:t>
      </w:r>
      <w:r>
        <w:rPr>
          <w:spacing w:val="-9"/>
        </w:rPr>
        <w:t> </w:t>
      </w:r>
      <w:r>
        <w:rPr/>
        <w:t>aimed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investigate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serum</w:t>
      </w:r>
      <w:r>
        <w:rPr>
          <w:spacing w:val="-9"/>
        </w:rPr>
        <w:t> </w:t>
      </w:r>
      <w:r>
        <w:rPr/>
        <w:t>levels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BDNF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CRH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well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selected</w:t>
      </w:r>
      <w:r>
        <w:rPr>
          <w:spacing w:val="-43"/>
        </w:rPr>
        <w:t> </w:t>
      </w:r>
      <w:r>
        <w:rPr/>
        <w:t>SNPs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vitiligo</w:t>
      </w:r>
      <w:r>
        <w:rPr>
          <w:spacing w:val="-2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healthy</w:t>
      </w:r>
      <w:r>
        <w:rPr>
          <w:spacing w:val="-2"/>
        </w:rPr>
        <w:t> </w:t>
      </w:r>
      <w:r>
        <w:rPr/>
        <w:t>controls.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3604" w:val="left" w:leader="none"/>
        </w:tabs>
        <w:spacing w:line="240" w:lineRule="auto" w:before="0" w:after="0"/>
        <w:ind w:left="3603" w:right="0" w:hanging="184"/>
        <w:jc w:val="left"/>
        <w:rPr>
          <w:rFonts w:ascii="Arial"/>
        </w:rPr>
      </w:pPr>
      <w:r>
        <w:rPr>
          <w:rFonts w:ascii="Arial"/>
          <w:spacing w:val="-1"/>
        </w:rPr>
        <w:t>Materials</w:t>
      </w:r>
      <w:r>
        <w:rPr>
          <w:rFonts w:ascii="Arial"/>
          <w:spacing w:val="-16"/>
        </w:rPr>
        <w:t> </w:t>
      </w:r>
      <w:r>
        <w:rPr>
          <w:rFonts w:ascii="Arial"/>
          <w:spacing w:val="-1"/>
        </w:rPr>
        <w:t>and</w:t>
      </w:r>
      <w:r>
        <w:rPr>
          <w:rFonts w:ascii="Arial"/>
          <w:spacing w:val="-15"/>
        </w:rPr>
        <w:t> </w:t>
      </w:r>
      <w:r>
        <w:rPr>
          <w:rFonts w:ascii="Arial"/>
          <w:spacing w:val="-1"/>
        </w:rPr>
        <w:t>methods</w:t>
      </w:r>
    </w:p>
    <w:p>
      <w:pPr>
        <w:pStyle w:val="ListParagraph"/>
        <w:numPr>
          <w:ilvl w:val="1"/>
          <w:numId w:val="1"/>
        </w:numPr>
        <w:tabs>
          <w:tab w:pos="3771" w:val="left" w:leader="none"/>
        </w:tabs>
        <w:spacing w:line="240" w:lineRule="auto" w:before="81" w:after="0"/>
        <w:ind w:left="3770" w:right="0" w:hanging="351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Study</w:t>
      </w:r>
      <w:r>
        <w:rPr>
          <w:rFonts w:ascii="Calibri"/>
          <w:b/>
          <w:spacing w:val="4"/>
          <w:sz w:val="24"/>
        </w:rPr>
        <w:t> </w:t>
      </w:r>
      <w:r>
        <w:rPr>
          <w:rFonts w:ascii="Calibri"/>
          <w:b/>
          <w:sz w:val="24"/>
        </w:rPr>
        <w:t>population</w:t>
      </w:r>
    </w:p>
    <w:p>
      <w:pPr>
        <w:pStyle w:val="BodyText"/>
        <w:spacing w:line="254" w:lineRule="auto" w:before="85"/>
        <w:ind w:left="3420" w:right="119"/>
      </w:pPr>
      <w:r>
        <w:rPr/>
        <w:pict>
          <v:shape style="position:absolute;margin-left:351.156006pt;margin-top:79.818466pt;width:9.550pt;height:.1pt;mso-position-horizontal-relative:page;mso-position-vertical-relative:paragraph;z-index:-16724992" coordorigin="7023,1596" coordsize="191,0" path="m7214,1596l7023,1596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0.957001pt;margin-top:118.823463pt;width:9.550pt;height:.1pt;mso-position-horizontal-relative:page;mso-position-vertical-relative:paragraph;z-index:-16724480" coordorigin="5219,2376" coordsize="191,0" path="m5410,2376l5219,2376e" filled="true" fillcolor="#3e65ac" stroked="false">
            <v:path arrowok="t"/>
            <v:fill type="solid"/>
            <w10:wrap type="none"/>
          </v:shape>
        </w:pict>
      </w: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1"/>
        </w:rPr>
        <w:t>was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cross-sectional</w:t>
      </w:r>
      <w:r>
        <w:rPr>
          <w:spacing w:val="-8"/>
        </w:rPr>
        <w:t> </w:t>
      </w:r>
      <w:r>
        <w:rPr>
          <w:spacing w:val="-1"/>
        </w:rPr>
        <w:t>study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people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>
          <w:spacing w:val="-1"/>
        </w:rPr>
        <w:t>vitiligo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age-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sex-matched</w:t>
      </w:r>
      <w:r>
        <w:rPr>
          <w:spacing w:val="-7"/>
        </w:rPr>
        <w:t> </w:t>
      </w:r>
      <w:r>
        <w:rPr/>
        <w:t>healthy</w:t>
      </w:r>
      <w:r>
        <w:rPr>
          <w:spacing w:val="-10"/>
        </w:rPr>
        <w:t> </w:t>
      </w:r>
      <w:r>
        <w:rPr/>
        <w:t>com-</w:t>
      </w:r>
      <w:r>
        <w:rPr>
          <w:spacing w:val="-42"/>
        </w:rPr>
        <w:t> </w:t>
      </w:r>
      <w:r>
        <w:rPr>
          <w:spacing w:val="-1"/>
        </w:rPr>
        <w:t>parators, which was based in the dermatology department </w:t>
      </w:r>
      <w:r>
        <w:rPr/>
        <w:t>of General Hospital # 2 in Semey</w:t>
      </w:r>
      <w:r>
        <w:rPr>
          <w:spacing w:val="1"/>
        </w:rPr>
        <w:t> </w:t>
      </w:r>
      <w:r>
        <w:rPr/>
        <w:t>City, Kazakhstan from October 1, 2020, to June 30, 2021. All vitiligo patients included in the</w:t>
      </w:r>
      <w:r>
        <w:rPr>
          <w:spacing w:val="1"/>
        </w:rPr>
        <w:t> </w:t>
      </w:r>
      <w:r>
        <w:rPr/>
        <w:t>study had a clear diagnosis of vitiligo established by their physicians and were identified via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electronic</w:t>
      </w:r>
      <w:r>
        <w:rPr>
          <w:spacing w:val="-10"/>
        </w:rPr>
        <w:t> </w:t>
      </w:r>
      <w:r>
        <w:rPr>
          <w:spacing w:val="-1"/>
        </w:rPr>
        <w:t>medical</w:t>
      </w:r>
      <w:r>
        <w:rPr>
          <w:spacing w:val="-9"/>
        </w:rPr>
        <w:t> </w:t>
      </w:r>
      <w:r>
        <w:rPr>
          <w:spacing w:val="-1"/>
        </w:rPr>
        <w:t>records.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percentage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skin</w:t>
      </w:r>
      <w:r>
        <w:rPr>
          <w:spacing w:val="-10"/>
        </w:rPr>
        <w:t> </w:t>
      </w:r>
      <w:r>
        <w:rPr>
          <w:spacing w:val="-1"/>
        </w:rPr>
        <w:t>lesions</w:t>
      </w:r>
      <w:r>
        <w:rPr>
          <w:spacing w:val="-9"/>
        </w:rPr>
        <w:t> </w:t>
      </w:r>
      <w:r>
        <w:rPr/>
        <w:t>was</w:t>
      </w:r>
      <w:r>
        <w:rPr>
          <w:spacing w:val="-10"/>
        </w:rPr>
        <w:t> </w:t>
      </w:r>
      <w:r>
        <w:rPr/>
        <w:t>calculated</w:t>
      </w:r>
      <w:r>
        <w:rPr>
          <w:spacing w:val="-10"/>
        </w:rPr>
        <w:t> </w:t>
      </w:r>
      <w:r>
        <w:rPr/>
        <w:t>using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Vitiligo</w:t>
      </w:r>
      <w:r>
        <w:rPr>
          <w:spacing w:val="1"/>
        </w:rPr>
        <w:t> </w:t>
      </w:r>
      <w:r>
        <w:rPr/>
        <w:t>Extent Score (VES) online calculator [</w:t>
      </w:r>
      <w:hyperlink w:history="true" w:anchor="_bookmark69">
        <w:r>
          <w:rPr>
            <w:color w:val="3E65AC"/>
          </w:rPr>
          <w:t>24</w:t>
        </w:r>
      </w:hyperlink>
      <w:r>
        <w:rPr/>
        <w:t>]. The psychological status of study participants was</w:t>
      </w:r>
      <w:r>
        <w:rPr>
          <w:spacing w:val="1"/>
        </w:rPr>
        <w:t> </w:t>
      </w:r>
      <w:r>
        <w:rPr/>
        <w:t>identified</w:t>
      </w:r>
      <w:r>
        <w:rPr>
          <w:spacing w:val="11"/>
        </w:rPr>
        <w:t> </w:t>
      </w:r>
      <w:r>
        <w:rPr/>
        <w:t>using</w:t>
      </w:r>
      <w:r>
        <w:rPr>
          <w:spacing w:val="11"/>
        </w:rPr>
        <w:t> </w:t>
      </w:r>
      <w:r>
        <w:rPr/>
        <w:t>Generalized</w:t>
      </w:r>
      <w:r>
        <w:rPr>
          <w:spacing w:val="13"/>
        </w:rPr>
        <w:t> </w:t>
      </w:r>
      <w:r>
        <w:rPr/>
        <w:t>Anxiety</w:t>
      </w:r>
      <w:r>
        <w:rPr>
          <w:spacing w:val="11"/>
        </w:rPr>
        <w:t> </w:t>
      </w:r>
      <w:r>
        <w:rPr/>
        <w:t>Disorder-7</w:t>
      </w:r>
      <w:r>
        <w:rPr>
          <w:spacing w:val="12"/>
        </w:rPr>
        <w:t> </w:t>
      </w:r>
      <w:r>
        <w:rPr/>
        <w:t>(GAD-7)</w:t>
      </w:r>
      <w:r>
        <w:rPr>
          <w:spacing w:val="12"/>
        </w:rPr>
        <w:t> </w:t>
      </w:r>
      <w:r>
        <w:rPr/>
        <w:t>scale.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GAD-7</w:t>
      </w:r>
      <w:r>
        <w:rPr>
          <w:spacing w:val="11"/>
        </w:rPr>
        <w:t> </w:t>
      </w:r>
      <w:r>
        <w:rPr/>
        <w:t>scores</w:t>
      </w:r>
      <w:r>
        <w:rPr>
          <w:spacing w:val="11"/>
        </w:rPr>
        <w:t> </w:t>
      </w:r>
      <w:r>
        <w:rPr/>
        <w:t>range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-10"/>
        </w:rPr>
        <w:t> </w:t>
      </w:r>
      <w:r>
        <w:rPr>
          <w:spacing w:val="-1"/>
        </w:rPr>
        <w:t>0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21,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>
          <w:spacing w:val="-1"/>
        </w:rPr>
        <w:t>0–4</w:t>
      </w:r>
      <w:r>
        <w:rPr>
          <w:spacing w:val="-9"/>
        </w:rPr>
        <w:t> </w:t>
      </w:r>
      <w:r>
        <w:rPr>
          <w:spacing w:val="-1"/>
        </w:rPr>
        <w:t>none,</w:t>
      </w:r>
      <w:r>
        <w:rPr>
          <w:spacing w:val="-9"/>
        </w:rPr>
        <w:t> </w:t>
      </w:r>
      <w:r>
        <w:rPr>
          <w:spacing w:val="-1"/>
        </w:rPr>
        <w:t>5–9</w:t>
      </w:r>
      <w:r>
        <w:rPr>
          <w:spacing w:val="-10"/>
        </w:rPr>
        <w:t> </w:t>
      </w:r>
      <w:r>
        <w:rPr>
          <w:spacing w:val="-1"/>
        </w:rPr>
        <w:t>mild,</w:t>
      </w:r>
      <w:r>
        <w:rPr>
          <w:spacing w:val="-8"/>
        </w:rPr>
        <w:t> </w:t>
      </w:r>
      <w:r>
        <w:rPr>
          <w:spacing w:val="-1"/>
        </w:rPr>
        <w:t>10–14</w:t>
      </w:r>
      <w:r>
        <w:rPr>
          <w:spacing w:val="-10"/>
        </w:rPr>
        <w:t> </w:t>
      </w:r>
      <w:r>
        <w:rPr>
          <w:spacing w:val="-1"/>
        </w:rPr>
        <w:t>moderate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15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more</w:t>
      </w:r>
      <w:r>
        <w:rPr>
          <w:spacing w:val="-10"/>
        </w:rPr>
        <w:t> </w:t>
      </w:r>
      <w:r>
        <w:rPr>
          <w:spacing w:val="-1"/>
        </w:rPr>
        <w:t>severe</w:t>
      </w:r>
      <w:r>
        <w:rPr>
          <w:spacing w:val="-8"/>
        </w:rPr>
        <w:t> </w:t>
      </w:r>
      <w:r>
        <w:rPr>
          <w:spacing w:val="-1"/>
        </w:rPr>
        <w:t>levels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anxi-</w:t>
      </w:r>
      <w:r>
        <w:rPr/>
        <w:t> </w:t>
      </w:r>
      <w:r>
        <w:rPr>
          <w:spacing w:val="-1"/>
        </w:rPr>
        <w:t>ety</w:t>
      </w:r>
      <w:r>
        <w:rPr>
          <w:spacing w:val="-10"/>
        </w:rPr>
        <w:t> </w:t>
      </w:r>
      <w:r>
        <w:rPr>
          <w:spacing w:val="-1"/>
        </w:rPr>
        <w:t>symptoms</w:t>
      </w:r>
      <w:r>
        <w:rPr>
          <w:spacing w:val="-9"/>
        </w:rPr>
        <w:t> </w:t>
      </w:r>
      <w:r>
        <w:rPr>
          <w:spacing w:val="-1"/>
        </w:rPr>
        <w:t>[</w:t>
      </w:r>
      <w:hyperlink w:history="true" w:anchor="_bookmark70">
        <w:r>
          <w:rPr>
            <w:color w:val="3E65AC"/>
            <w:spacing w:val="-1"/>
          </w:rPr>
          <w:t>25</w:t>
        </w:r>
      </w:hyperlink>
      <w:r>
        <w:rPr>
          <w:spacing w:val="-1"/>
        </w:rPr>
        <w:t>].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non-vitiligo</w:t>
      </w:r>
      <w:r>
        <w:rPr>
          <w:spacing w:val="-8"/>
        </w:rPr>
        <w:t> </w:t>
      </w:r>
      <w:r>
        <w:rPr>
          <w:spacing w:val="-1"/>
        </w:rPr>
        <w:t>(control)</w:t>
      </w:r>
      <w:r>
        <w:rPr>
          <w:spacing w:val="-8"/>
        </w:rPr>
        <w:t> </w:t>
      </w:r>
      <w:r>
        <w:rPr>
          <w:spacing w:val="-1"/>
        </w:rPr>
        <w:t>participants</w:t>
      </w:r>
      <w:r>
        <w:rPr>
          <w:spacing w:val="-8"/>
        </w:rPr>
        <w:t> </w:t>
      </w:r>
      <w:r>
        <w:rPr/>
        <w:t>were</w:t>
      </w:r>
      <w:r>
        <w:rPr>
          <w:spacing w:val="-9"/>
        </w:rPr>
        <w:t> </w:t>
      </w:r>
      <w:r>
        <w:rPr/>
        <w:t>matched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/>
        <w:t>age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sex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comparator </w:t>
      </w:r>
      <w:r>
        <w:rPr/>
        <w:t>group, and were recruited through community advertisement. All participants</w:t>
      </w:r>
      <w:r>
        <w:rPr>
          <w:spacing w:val="1"/>
        </w:rPr>
        <w:t> </w:t>
      </w:r>
      <w:r>
        <w:rPr>
          <w:spacing w:val="-1"/>
        </w:rPr>
        <w:t>were enrolled in the study after giving </w:t>
      </w:r>
      <w:r>
        <w:rPr/>
        <w:t>a written informed consent. For the patient to be con-</w:t>
      </w:r>
      <w:r>
        <w:rPr>
          <w:spacing w:val="-43"/>
        </w:rPr>
        <w:t> </w:t>
      </w:r>
      <w:r>
        <w:rPr>
          <w:spacing w:val="-1"/>
        </w:rPr>
        <w:t>sidered</w:t>
      </w:r>
      <w:r>
        <w:rPr>
          <w:spacing w:val="-11"/>
        </w:rPr>
        <w:t> </w:t>
      </w:r>
      <w:r>
        <w:rPr>
          <w:spacing w:val="-1"/>
        </w:rPr>
        <w:t>eligible</w:t>
      </w:r>
      <w:r>
        <w:rPr>
          <w:spacing w:val="-9"/>
        </w:rPr>
        <w:t> </w:t>
      </w:r>
      <w:r>
        <w:rPr>
          <w:spacing w:val="-1"/>
        </w:rPr>
        <w:t>for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study,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following</w:t>
      </w:r>
      <w:r>
        <w:rPr>
          <w:spacing w:val="-10"/>
        </w:rPr>
        <w:t> </w:t>
      </w:r>
      <w:r>
        <w:rPr/>
        <w:t>inclusion</w:t>
      </w:r>
      <w:r>
        <w:rPr>
          <w:spacing w:val="-9"/>
        </w:rPr>
        <w:t> </w:t>
      </w:r>
      <w:r>
        <w:rPr/>
        <w:t>criteria</w:t>
      </w:r>
      <w:r>
        <w:rPr>
          <w:spacing w:val="-10"/>
        </w:rPr>
        <w:t> </w:t>
      </w:r>
      <w:r>
        <w:rPr/>
        <w:t>had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met:</w:t>
      </w:r>
      <w:r>
        <w:rPr>
          <w:spacing w:val="-10"/>
        </w:rPr>
        <w:t> </w:t>
      </w:r>
      <w:r>
        <w:rPr/>
        <w:t>(i)</w:t>
      </w:r>
      <w:r>
        <w:rPr>
          <w:spacing w:val="-11"/>
        </w:rPr>
        <w:t> </w:t>
      </w:r>
      <w:r>
        <w:rPr/>
        <w:t>age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16</w:t>
      </w:r>
      <w:r>
        <w:rPr>
          <w:spacing w:val="-11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-8"/>
        </w:rPr>
        <w:t> </w:t>
      </w:r>
      <w:r>
        <w:rPr/>
        <w:t>older,</w:t>
      </w:r>
      <w:r>
        <w:rPr>
          <w:spacing w:val="-7"/>
        </w:rPr>
        <w:t> </w:t>
      </w:r>
      <w:r>
        <w:rPr/>
        <w:t>(ii)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verified</w:t>
      </w:r>
      <w:r>
        <w:rPr>
          <w:spacing w:val="-7"/>
        </w:rPr>
        <w:t> </w:t>
      </w:r>
      <w:r>
        <w:rPr/>
        <w:t>diagnosis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vitiligo,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(iii)</w:t>
      </w:r>
      <w:r>
        <w:rPr>
          <w:spacing w:val="-6"/>
        </w:rPr>
        <w:t> </w:t>
      </w:r>
      <w:r>
        <w:rPr/>
        <w:t>an</w:t>
      </w:r>
      <w:r>
        <w:rPr>
          <w:spacing w:val="-8"/>
        </w:rPr>
        <w:t> </w:t>
      </w:r>
      <w:r>
        <w:rPr/>
        <w:t>ability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read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understand</w:t>
      </w:r>
      <w:r>
        <w:rPr>
          <w:spacing w:val="-6"/>
        </w:rPr>
        <w:t> </w:t>
      </w:r>
      <w:r>
        <w:rPr/>
        <w:t>Russian</w:t>
      </w:r>
      <w:r>
        <w:rPr>
          <w:spacing w:val="-43"/>
        </w:rPr>
        <w:t> </w:t>
      </w:r>
      <w:r>
        <w:rPr/>
        <w:t>or</w:t>
      </w:r>
      <w:r>
        <w:rPr>
          <w:spacing w:val="-11"/>
        </w:rPr>
        <w:t> </w:t>
      </w:r>
      <w:r>
        <w:rPr/>
        <w:t>Kazakh.</w:t>
      </w:r>
      <w:r>
        <w:rPr>
          <w:spacing w:val="-9"/>
        </w:rPr>
        <w:t> </w:t>
      </w:r>
      <w:r>
        <w:rPr/>
        <w:t>Patients</w:t>
      </w:r>
      <w:r>
        <w:rPr>
          <w:spacing w:val="-9"/>
        </w:rPr>
        <w:t> </w:t>
      </w:r>
      <w:r>
        <w:rPr/>
        <w:t>were</w:t>
      </w:r>
      <w:r>
        <w:rPr>
          <w:spacing w:val="-10"/>
        </w:rPr>
        <w:t> </w:t>
      </w:r>
      <w:r>
        <w:rPr/>
        <w:t>ineligible</w:t>
      </w:r>
      <w:r>
        <w:rPr>
          <w:spacing w:val="-9"/>
        </w:rPr>
        <w:t> </w:t>
      </w:r>
      <w:r>
        <w:rPr/>
        <w:t>for</w:t>
      </w:r>
      <w:r>
        <w:rPr>
          <w:spacing w:val="-11"/>
        </w:rPr>
        <w:t> </w:t>
      </w:r>
      <w:r>
        <w:rPr/>
        <w:t>this</w:t>
      </w:r>
      <w:r>
        <w:rPr>
          <w:spacing w:val="-9"/>
        </w:rPr>
        <w:t> </w:t>
      </w:r>
      <w:r>
        <w:rPr/>
        <w:t>investigation</w:t>
      </w:r>
      <w:r>
        <w:rPr>
          <w:spacing w:val="-9"/>
        </w:rPr>
        <w:t> </w:t>
      </w:r>
      <w:r>
        <w:rPr/>
        <w:t>if</w:t>
      </w:r>
      <w:r>
        <w:rPr>
          <w:spacing w:val="-10"/>
        </w:rPr>
        <w:t> </w:t>
      </w:r>
      <w:r>
        <w:rPr/>
        <w:t>they:</w:t>
      </w:r>
      <w:r>
        <w:rPr>
          <w:spacing w:val="-10"/>
        </w:rPr>
        <w:t> </w:t>
      </w:r>
      <w:r>
        <w:rPr/>
        <w:t>(i)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physically</w:t>
      </w:r>
      <w:r>
        <w:rPr>
          <w:spacing w:val="-8"/>
        </w:rPr>
        <w:t> </w:t>
      </w:r>
      <w:r>
        <w:rPr/>
        <w:t>or</w:t>
      </w:r>
      <w:r>
        <w:rPr>
          <w:spacing w:val="-10"/>
        </w:rPr>
        <w:t> </w:t>
      </w:r>
      <w:r>
        <w:rPr/>
        <w:t>mentally</w:t>
      </w:r>
      <w:r>
        <w:rPr>
          <w:spacing w:val="1"/>
        </w:rPr>
        <w:t> </w:t>
      </w:r>
      <w:r>
        <w:rPr/>
        <w:t>unable to give informed consent, (ii) had a history of any psychiatric disorder, (iii) had some</w:t>
      </w:r>
      <w:r>
        <w:rPr>
          <w:spacing w:val="1"/>
        </w:rPr>
        <w:t> </w:t>
      </w:r>
      <w:r>
        <w:rPr>
          <w:w w:val="95"/>
        </w:rPr>
        <w:t>somatic</w:t>
      </w:r>
      <w:r>
        <w:rPr>
          <w:spacing w:val="4"/>
          <w:w w:val="95"/>
        </w:rPr>
        <w:t> </w:t>
      </w:r>
      <w:r>
        <w:rPr>
          <w:w w:val="95"/>
        </w:rPr>
        <w:t>conditions,</w:t>
      </w:r>
      <w:r>
        <w:rPr>
          <w:spacing w:val="7"/>
          <w:w w:val="95"/>
        </w:rPr>
        <w:t> </w:t>
      </w:r>
      <w:r>
        <w:rPr>
          <w:w w:val="95"/>
        </w:rPr>
        <w:t>such</w:t>
      </w:r>
      <w:r>
        <w:rPr>
          <w:spacing w:val="6"/>
          <w:w w:val="95"/>
        </w:rPr>
        <w:t> </w:t>
      </w:r>
      <w:r>
        <w:rPr>
          <w:w w:val="95"/>
        </w:rPr>
        <w:t>as</w:t>
      </w:r>
      <w:r>
        <w:rPr>
          <w:spacing w:val="5"/>
          <w:w w:val="95"/>
        </w:rPr>
        <w:t> </w:t>
      </w:r>
      <w:r>
        <w:rPr>
          <w:w w:val="95"/>
        </w:rPr>
        <w:t>heart,</w:t>
      </w:r>
      <w:r>
        <w:rPr>
          <w:spacing w:val="5"/>
          <w:w w:val="95"/>
        </w:rPr>
        <w:t> </w:t>
      </w:r>
      <w:r>
        <w:rPr>
          <w:w w:val="95"/>
        </w:rPr>
        <w:t>pulmonary</w:t>
      </w:r>
      <w:r>
        <w:rPr>
          <w:spacing w:val="5"/>
          <w:w w:val="95"/>
        </w:rPr>
        <w:t> </w:t>
      </w:r>
      <w:r>
        <w:rPr>
          <w:w w:val="95"/>
        </w:rPr>
        <w:t>diseases</w:t>
      </w:r>
      <w:r>
        <w:rPr>
          <w:spacing w:val="6"/>
          <w:w w:val="95"/>
        </w:rPr>
        <w:t> </w:t>
      </w:r>
      <w:r>
        <w:rPr>
          <w:w w:val="95"/>
        </w:rPr>
        <w:t>or</w:t>
      </w:r>
      <w:r>
        <w:rPr>
          <w:spacing w:val="5"/>
          <w:w w:val="95"/>
        </w:rPr>
        <w:t> </w:t>
      </w:r>
      <w:r>
        <w:rPr>
          <w:w w:val="95"/>
        </w:rPr>
        <w:t>diabetes</w:t>
      </w:r>
      <w:r>
        <w:rPr>
          <w:spacing w:val="6"/>
          <w:w w:val="95"/>
        </w:rPr>
        <w:t> </w:t>
      </w:r>
      <w:r>
        <w:rPr>
          <w:w w:val="95"/>
        </w:rPr>
        <w:t>mellitus</w:t>
      </w:r>
      <w:r>
        <w:rPr>
          <w:spacing w:val="5"/>
          <w:w w:val="95"/>
        </w:rPr>
        <w:t> </w:t>
      </w:r>
      <w:r>
        <w:rPr>
          <w:w w:val="95"/>
        </w:rPr>
        <w:t>that</w:t>
      </w:r>
      <w:r>
        <w:rPr>
          <w:spacing w:val="5"/>
          <w:w w:val="95"/>
        </w:rPr>
        <w:t> </w:t>
      </w:r>
      <w:r>
        <w:rPr>
          <w:w w:val="95"/>
        </w:rPr>
        <w:t>affected</w:t>
      </w:r>
      <w:r>
        <w:rPr>
          <w:spacing w:val="6"/>
          <w:w w:val="95"/>
        </w:rPr>
        <w:t> </w:t>
      </w:r>
      <w:r>
        <w:rPr>
          <w:w w:val="95"/>
        </w:rPr>
        <w:t>their</w:t>
      </w:r>
      <w:r>
        <w:rPr>
          <w:spacing w:val="1"/>
          <w:w w:val="95"/>
        </w:rPr>
        <w:t> </w:t>
      </w:r>
      <w:r>
        <w:rPr>
          <w:spacing w:val="-1"/>
        </w:rPr>
        <w:t>mental status, (iv) had other skin problems (acne, psoriasis, eczema, etc.)., and </w:t>
      </w:r>
      <w:r>
        <w:rPr/>
        <w:t>(v) presented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autoimmune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inflammatory</w:t>
      </w:r>
      <w:r>
        <w:rPr>
          <w:spacing w:val="-1"/>
        </w:rPr>
        <w:t> </w:t>
      </w:r>
      <w:r>
        <w:rPr/>
        <w:t>diseases.</w:t>
      </w:r>
    </w:p>
    <w:p>
      <w:pPr>
        <w:pStyle w:val="BodyText"/>
        <w:spacing w:line="256" w:lineRule="auto" w:before="22"/>
        <w:ind w:left="3420" w:right="177" w:firstLine="239"/>
      </w:pPr>
      <w:r>
        <w:rPr/>
        <w:t>The</w:t>
      </w:r>
      <w:r>
        <w:rPr>
          <w:spacing w:val="-10"/>
        </w:rPr>
        <w:t> </w:t>
      </w:r>
      <w:r>
        <w:rPr/>
        <w:t>study</w:t>
      </w:r>
      <w:r>
        <w:rPr>
          <w:spacing w:val="-10"/>
        </w:rPr>
        <w:t> </w:t>
      </w:r>
      <w:r>
        <w:rPr/>
        <w:t>was</w:t>
      </w:r>
      <w:r>
        <w:rPr>
          <w:spacing w:val="-11"/>
        </w:rPr>
        <w:t> </w:t>
      </w:r>
      <w:r>
        <w:rPr/>
        <w:t>approved</w:t>
      </w:r>
      <w:r>
        <w:rPr>
          <w:spacing w:val="-9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Ethics</w:t>
      </w:r>
      <w:r>
        <w:rPr>
          <w:spacing w:val="-9"/>
        </w:rPr>
        <w:t> </w:t>
      </w:r>
      <w:r>
        <w:rPr/>
        <w:t>Committee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Semey</w:t>
      </w:r>
      <w:r>
        <w:rPr>
          <w:spacing w:val="-10"/>
        </w:rPr>
        <w:t> </w:t>
      </w:r>
      <w:r>
        <w:rPr/>
        <w:t>Medical</w:t>
      </w:r>
      <w:r>
        <w:rPr>
          <w:spacing w:val="-10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(approval</w:t>
      </w:r>
      <w:r>
        <w:rPr>
          <w:spacing w:val="-10"/>
        </w:rPr>
        <w:t> </w:t>
      </w:r>
      <w:r>
        <w:rPr/>
        <w:t>#</w:t>
      </w:r>
      <w:r>
        <w:rPr>
          <w:spacing w:val="-42"/>
        </w:rPr>
        <w:t> </w:t>
      </w:r>
      <w:r>
        <w:rPr>
          <w:spacing w:val="-1"/>
        </w:rPr>
        <w:t>2;</w:t>
      </w:r>
      <w:r>
        <w:rPr>
          <w:spacing w:val="-10"/>
        </w:rPr>
        <w:t> </w:t>
      </w:r>
      <w:r>
        <w:rPr>
          <w:spacing w:val="-1"/>
        </w:rPr>
        <w:t>dated</w:t>
      </w:r>
      <w:r>
        <w:rPr>
          <w:spacing w:val="-9"/>
        </w:rPr>
        <w:t> </w:t>
      </w:r>
      <w:r>
        <w:rPr>
          <w:spacing w:val="-1"/>
        </w:rPr>
        <w:t>October</w:t>
      </w:r>
      <w:r>
        <w:rPr>
          <w:spacing w:val="-9"/>
        </w:rPr>
        <w:t> </w:t>
      </w:r>
      <w:r>
        <w:rPr>
          <w:spacing w:val="-1"/>
        </w:rPr>
        <w:t>18,</w:t>
      </w:r>
      <w:r>
        <w:rPr>
          <w:spacing w:val="-10"/>
        </w:rPr>
        <w:t> </w:t>
      </w:r>
      <w:r>
        <w:rPr>
          <w:spacing w:val="-1"/>
        </w:rPr>
        <w:t>2019)</w:t>
      </w:r>
      <w:r>
        <w:rPr>
          <w:spacing w:val="-8"/>
        </w:rPr>
        <w:t> </w:t>
      </w:r>
      <w:r>
        <w:rPr>
          <w:spacing w:val="-1"/>
        </w:rPr>
        <w:t>within</w:t>
      </w:r>
      <w:r>
        <w:rPr>
          <w:spacing w:val="-9"/>
        </w:rPr>
        <w:t> </w:t>
      </w:r>
      <w:r>
        <w:rPr>
          <w:spacing w:val="-1"/>
        </w:rPr>
        <w:t>guidelines</w:t>
      </w:r>
      <w:r>
        <w:rPr>
          <w:spacing w:val="-8"/>
        </w:rPr>
        <w:t> </w:t>
      </w:r>
      <w:r>
        <w:rPr>
          <w:spacing w:val="-1"/>
        </w:rPr>
        <w:t>established</w:t>
      </w:r>
      <w:r>
        <w:rPr>
          <w:spacing w:val="-9"/>
        </w:rPr>
        <w:t> </w:t>
      </w:r>
      <w:r>
        <w:rPr>
          <w:spacing w:val="-1"/>
        </w:rPr>
        <w:t>by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1964</w:t>
      </w:r>
      <w:r>
        <w:rPr>
          <w:spacing w:val="-9"/>
        </w:rPr>
        <w:t> </w:t>
      </w:r>
      <w:r>
        <w:rPr>
          <w:spacing w:val="-1"/>
        </w:rPr>
        <w:t>Declaration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Helsinki.</w:t>
      </w:r>
    </w:p>
    <w:p>
      <w:pPr>
        <w:pStyle w:val="BodyText"/>
        <w:spacing w:before="11"/>
        <w:rPr>
          <w:sz w:val="28"/>
        </w:rPr>
      </w:pPr>
    </w:p>
    <w:p>
      <w:pPr>
        <w:pStyle w:val="Heading1"/>
        <w:numPr>
          <w:ilvl w:val="1"/>
          <w:numId w:val="1"/>
        </w:numPr>
        <w:tabs>
          <w:tab w:pos="3771" w:val="left" w:leader="none"/>
        </w:tabs>
        <w:spacing w:line="240" w:lineRule="auto" w:before="0" w:after="0"/>
        <w:ind w:left="3770" w:right="0" w:hanging="351"/>
        <w:jc w:val="left"/>
      </w:pPr>
      <w:r>
        <w:rPr>
          <w:w w:val="105"/>
        </w:rPr>
        <w:t>Blood</w:t>
      </w:r>
      <w:r>
        <w:rPr>
          <w:spacing w:val="-11"/>
          <w:w w:val="105"/>
        </w:rPr>
        <w:t> </w:t>
      </w:r>
      <w:r>
        <w:rPr>
          <w:w w:val="105"/>
        </w:rPr>
        <w:t>sampling,</w:t>
      </w:r>
      <w:r>
        <w:rPr>
          <w:spacing w:val="-11"/>
          <w:w w:val="105"/>
        </w:rPr>
        <w:t> </w:t>
      </w:r>
      <w:r>
        <w:rPr>
          <w:w w:val="105"/>
        </w:rPr>
        <w:t>serum</w:t>
      </w:r>
      <w:r>
        <w:rPr>
          <w:spacing w:val="-11"/>
          <w:w w:val="105"/>
        </w:rPr>
        <w:t> </w:t>
      </w:r>
      <w:r>
        <w:rPr>
          <w:w w:val="105"/>
        </w:rPr>
        <w:t>BDNF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CRH</w:t>
      </w:r>
      <w:r>
        <w:rPr>
          <w:spacing w:val="-12"/>
          <w:w w:val="105"/>
        </w:rPr>
        <w:t> </w:t>
      </w:r>
      <w:r>
        <w:rPr>
          <w:w w:val="105"/>
        </w:rPr>
        <w:t>level</w:t>
      </w:r>
      <w:r>
        <w:rPr>
          <w:spacing w:val="-11"/>
          <w:w w:val="105"/>
        </w:rPr>
        <w:t> </w:t>
      </w:r>
      <w:r>
        <w:rPr>
          <w:w w:val="105"/>
        </w:rPr>
        <w:t>analysis</w:t>
      </w:r>
    </w:p>
    <w:p>
      <w:pPr>
        <w:pStyle w:val="BodyText"/>
        <w:spacing w:line="256" w:lineRule="auto" w:before="86"/>
        <w:ind w:left="3420" w:right="116"/>
      </w:pPr>
      <w:r>
        <w:rPr/>
        <w:t>Blood</w:t>
      </w:r>
      <w:r>
        <w:rPr>
          <w:spacing w:val="-11"/>
        </w:rPr>
        <w:t> </w:t>
      </w:r>
      <w:r>
        <w:rPr/>
        <w:t>sampling</w:t>
      </w:r>
      <w:r>
        <w:rPr>
          <w:spacing w:val="-8"/>
        </w:rPr>
        <w:t> </w:t>
      </w:r>
      <w:r>
        <w:rPr/>
        <w:t>was</w:t>
      </w:r>
      <w:r>
        <w:rPr>
          <w:spacing w:val="-11"/>
        </w:rPr>
        <w:t> </w:t>
      </w:r>
      <w:r>
        <w:rPr/>
        <w:t>performed</w:t>
      </w:r>
      <w:r>
        <w:rPr>
          <w:spacing w:val="-9"/>
        </w:rPr>
        <w:t> </w:t>
      </w:r>
      <w:r>
        <w:rPr/>
        <w:t>during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daytime</w:t>
      </w:r>
      <w:r>
        <w:rPr>
          <w:spacing w:val="-10"/>
        </w:rPr>
        <w:t> </w:t>
      </w:r>
      <w:r>
        <w:rPr/>
        <w:t>from</w:t>
      </w:r>
      <w:r>
        <w:rPr>
          <w:spacing w:val="-11"/>
        </w:rPr>
        <w:t> </w:t>
      </w:r>
      <w:r>
        <w:rPr/>
        <w:t>8</w:t>
      </w:r>
      <w:r>
        <w:rPr>
          <w:spacing w:val="-10"/>
        </w:rPr>
        <w:t> </w:t>
      </w:r>
      <w:r>
        <w:rPr/>
        <w:t>am,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coordination</w:t>
      </w:r>
      <w:r>
        <w:rPr>
          <w:spacing w:val="-9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partic-</w:t>
      </w:r>
      <w:r>
        <w:rPr>
          <w:spacing w:val="-42"/>
        </w:rPr>
        <w:t> </w:t>
      </w:r>
      <w:r>
        <w:rPr/>
        <w:t>ipants’ visits to the hospital. Five milliliters of venous blood were collected into ethylenedi-</w:t>
      </w:r>
      <w:r>
        <w:rPr>
          <w:spacing w:val="1"/>
        </w:rPr>
        <w:t> </w:t>
      </w:r>
      <w:r>
        <w:rPr/>
        <w:t>aminetetraacetic</w:t>
      </w:r>
      <w:r>
        <w:rPr>
          <w:spacing w:val="-4"/>
        </w:rPr>
        <w:t> </w:t>
      </w:r>
      <w:r>
        <w:rPr/>
        <w:t>acid</w:t>
      </w:r>
      <w:r>
        <w:rPr>
          <w:spacing w:val="-6"/>
        </w:rPr>
        <w:t> </w:t>
      </w:r>
      <w:r>
        <w:rPr/>
        <w:t>(EDTA)</w:t>
      </w:r>
      <w:r>
        <w:rPr>
          <w:spacing w:val="-5"/>
        </w:rPr>
        <w:t> </w:t>
      </w:r>
      <w:r>
        <w:rPr/>
        <w:t>tube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centrifuged</w:t>
      </w:r>
      <w:r>
        <w:rPr>
          <w:spacing w:val="-4"/>
        </w:rPr>
        <w:t> </w:t>
      </w:r>
      <w:r>
        <w:rPr/>
        <w:t>during</w:t>
      </w:r>
      <w:r>
        <w:rPr>
          <w:spacing w:val="-5"/>
        </w:rPr>
        <w:t> </w:t>
      </w:r>
      <w:r>
        <w:rPr/>
        <w:t>30</w:t>
      </w:r>
      <w:r>
        <w:rPr>
          <w:spacing w:val="-6"/>
        </w:rPr>
        <w:t> </w:t>
      </w:r>
      <w:r>
        <w:rPr/>
        <w:t>minutes</w:t>
      </w:r>
      <w:r>
        <w:rPr>
          <w:spacing w:val="-5"/>
        </w:rPr>
        <w:t> </w:t>
      </w:r>
      <w:r>
        <w:rPr/>
        <w:t>after</w:t>
      </w:r>
      <w:r>
        <w:rPr>
          <w:spacing w:val="-5"/>
        </w:rPr>
        <w:t> </w:t>
      </w:r>
      <w:r>
        <w:rPr/>
        <w:t>collection.</w:t>
      </w:r>
    </w:p>
    <w:p>
      <w:pPr>
        <w:pStyle w:val="BodyText"/>
        <w:spacing w:line="256" w:lineRule="auto"/>
        <w:ind w:left="3420" w:right="116"/>
      </w:pPr>
      <w:r>
        <w:rPr/>
        <w:t>Centrifugation was carried out at 3000 rpm for 15 minutes. Plasma and buffy coat were</w:t>
      </w:r>
      <w:r>
        <w:rPr>
          <w:spacing w:val="1"/>
        </w:rPr>
        <w:t> </w:t>
      </w:r>
      <w:r>
        <w:rPr>
          <w:spacing w:val="-1"/>
        </w:rPr>
        <w:t>extracted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stored</w:t>
      </w:r>
      <w:r>
        <w:rPr>
          <w:spacing w:val="-10"/>
        </w:rPr>
        <w:t> </w:t>
      </w:r>
      <w:r>
        <w:rPr/>
        <w:t>at</w:t>
      </w:r>
      <w:r>
        <w:rPr>
          <w:spacing w:val="-11"/>
        </w:rPr>
        <w:t> </w:t>
      </w:r>
      <w:r>
        <w:rPr/>
        <w:t>-80˚C</w:t>
      </w:r>
      <w:r>
        <w:rPr>
          <w:spacing w:val="-9"/>
        </w:rPr>
        <w:t> </w:t>
      </w:r>
      <w:r>
        <w:rPr/>
        <w:t>until</w:t>
      </w:r>
      <w:r>
        <w:rPr>
          <w:spacing w:val="-10"/>
        </w:rPr>
        <w:t> </w:t>
      </w:r>
      <w:r>
        <w:rPr/>
        <w:t>analysis</w:t>
      </w:r>
      <w:r>
        <w:rPr>
          <w:spacing w:val="-11"/>
        </w:rPr>
        <w:t> </w:t>
      </w:r>
      <w:r>
        <w:rPr/>
        <w:t>was</w:t>
      </w:r>
      <w:r>
        <w:rPr>
          <w:spacing w:val="-10"/>
        </w:rPr>
        <w:t> </w:t>
      </w:r>
      <w:r>
        <w:rPr/>
        <w:t>carried-out</w:t>
      </w:r>
      <w:r>
        <w:rPr>
          <w:spacing w:val="-9"/>
        </w:rPr>
        <w:t> </w:t>
      </w:r>
      <w:r>
        <w:rPr/>
        <w:t>at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Scientific-Research</w:t>
      </w:r>
      <w:r>
        <w:rPr>
          <w:spacing w:val="-9"/>
        </w:rPr>
        <w:t> </w:t>
      </w:r>
      <w:r>
        <w:rPr/>
        <w:t>Labora-</w:t>
      </w:r>
      <w:r>
        <w:rPr>
          <w:spacing w:val="1"/>
        </w:rPr>
        <w:t> </w:t>
      </w:r>
      <w:r>
        <w:rPr/>
        <w:t>tory Center of Semey Medical University. Serum BDNF levels were determined with the help</w:t>
      </w:r>
      <w:r>
        <w:rPr>
          <w:spacing w:val="-43"/>
        </w:rPr>
        <w:t> </w:t>
      </w:r>
      <w:r>
        <w:rPr/>
        <w:t>of a commercially available sandwich enzyme-linked immunosorbent assay (ELISA) kit 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BDNF</w:t>
      </w:r>
      <w:r>
        <w:rPr>
          <w:spacing w:val="1"/>
        </w:rPr>
        <w:t> </w:t>
      </w:r>
      <w:r>
        <w:rPr/>
        <w:t>(Cloud-Clone</w:t>
      </w:r>
      <w:r>
        <w:rPr>
          <w:spacing w:val="1"/>
        </w:rPr>
        <w:t> </w:t>
      </w:r>
      <w:r>
        <w:rPr/>
        <w:t>Corp.,</w:t>
      </w:r>
      <w:r>
        <w:rPr>
          <w:spacing w:val="1"/>
        </w:rPr>
        <w:t> </w:t>
      </w:r>
      <w:r>
        <w:rPr/>
        <w:t>USA). The</w:t>
      </w:r>
      <w:r>
        <w:rPr>
          <w:spacing w:val="1"/>
        </w:rPr>
        <w:t> </w:t>
      </w:r>
      <w:r>
        <w:rPr/>
        <w:t>test</w:t>
      </w:r>
      <w:r>
        <w:rPr>
          <w:spacing w:val="2"/>
        </w:rPr>
        <w:t> </w:t>
      </w:r>
      <w:r>
        <w:rPr/>
        <w:t>was performed</w:t>
      </w:r>
      <w:r>
        <w:rPr>
          <w:spacing w:val="2"/>
        </w:rPr>
        <w:t> </w:t>
      </w:r>
      <w:r>
        <w:rPr/>
        <w:t>in accordance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>
          <w:spacing w:val="-1"/>
        </w:rPr>
        <w:t>manufacturer’s instructions. </w:t>
      </w:r>
      <w:r>
        <w:rPr/>
        <w:t>Plasma BDNF levels were calculated based on a standard curve</w:t>
      </w:r>
      <w:r>
        <w:rPr>
          <w:spacing w:val="1"/>
        </w:rPr>
        <w:t> </w:t>
      </w:r>
      <w:r>
        <w:rPr/>
        <w:t>generated by serially diluted BDNF standards. An intra-assay coefficient of variance (CV) of</w:t>
      </w:r>
      <w:r>
        <w:rPr>
          <w:spacing w:val="1"/>
        </w:rPr>
        <w:t> </w:t>
      </w:r>
      <w:r>
        <w:rPr>
          <w:w w:val="95"/>
        </w:rPr>
        <w:t>less</w:t>
      </w:r>
      <w:r>
        <w:rPr>
          <w:spacing w:val="9"/>
          <w:w w:val="95"/>
        </w:rPr>
        <w:t> </w:t>
      </w:r>
      <w:r>
        <w:rPr>
          <w:w w:val="95"/>
        </w:rPr>
        <w:t>than</w:t>
      </w:r>
      <w:r>
        <w:rPr>
          <w:spacing w:val="10"/>
          <w:w w:val="95"/>
        </w:rPr>
        <w:t> </w:t>
      </w:r>
      <w:r>
        <w:rPr>
          <w:w w:val="95"/>
        </w:rPr>
        <w:t>10%</w:t>
      </w:r>
      <w:r>
        <w:rPr>
          <w:spacing w:val="9"/>
          <w:w w:val="95"/>
        </w:rPr>
        <w:t> </w:t>
      </w:r>
      <w:r>
        <w:rPr>
          <w:w w:val="95"/>
        </w:rPr>
        <w:t>was</w:t>
      </w:r>
      <w:r>
        <w:rPr>
          <w:spacing w:val="10"/>
          <w:w w:val="95"/>
        </w:rPr>
        <w:t> </w:t>
      </w:r>
      <w:r>
        <w:rPr>
          <w:w w:val="95"/>
        </w:rPr>
        <w:t>considered</w:t>
      </w:r>
      <w:r>
        <w:rPr>
          <w:spacing w:val="10"/>
          <w:w w:val="95"/>
        </w:rPr>
        <w:t> </w:t>
      </w:r>
      <w:r>
        <w:rPr>
          <w:w w:val="95"/>
        </w:rPr>
        <w:t>acceptable,</w:t>
      </w:r>
      <w:r>
        <w:rPr>
          <w:spacing w:val="11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mean</w:t>
      </w:r>
      <w:r>
        <w:rPr>
          <w:spacing w:val="10"/>
          <w:w w:val="95"/>
        </w:rPr>
        <w:t> </w:t>
      </w:r>
      <w:r>
        <w:rPr>
          <w:w w:val="95"/>
        </w:rPr>
        <w:t>intra-assay</w:t>
      </w:r>
      <w:r>
        <w:rPr>
          <w:spacing w:val="11"/>
          <w:w w:val="95"/>
        </w:rPr>
        <w:t> </w:t>
      </w:r>
      <w:r>
        <w:rPr>
          <w:w w:val="95"/>
        </w:rPr>
        <w:t>CV</w:t>
      </w:r>
      <w:r>
        <w:rPr>
          <w:spacing w:val="9"/>
          <w:w w:val="95"/>
        </w:rPr>
        <w:t> </w:t>
      </w:r>
      <w:r>
        <w:rPr>
          <w:w w:val="95"/>
        </w:rPr>
        <w:t>obtained</w:t>
      </w:r>
      <w:r>
        <w:rPr>
          <w:spacing w:val="11"/>
          <w:w w:val="95"/>
        </w:rPr>
        <w:t> </w:t>
      </w:r>
      <w:r>
        <w:rPr>
          <w:w w:val="95"/>
        </w:rPr>
        <w:t>was</w:t>
      </w:r>
      <w:r>
        <w:rPr>
          <w:spacing w:val="10"/>
          <w:w w:val="95"/>
        </w:rPr>
        <w:t> </w:t>
      </w:r>
      <w:r>
        <w:rPr>
          <w:w w:val="95"/>
        </w:rPr>
        <w:t>4.9%.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-40"/>
          <w:w w:val="95"/>
        </w:rPr>
        <w:t> </w:t>
      </w:r>
      <w:r>
        <w:rPr/>
        <w:t>levels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CRH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serum</w:t>
      </w:r>
      <w:r>
        <w:rPr>
          <w:spacing w:val="6"/>
        </w:rPr>
        <w:t> </w:t>
      </w:r>
      <w:r>
        <w:rPr/>
        <w:t>were</w:t>
      </w:r>
      <w:r>
        <w:rPr>
          <w:spacing w:val="4"/>
        </w:rPr>
        <w:t> </w:t>
      </w:r>
      <w:r>
        <w:rPr/>
        <w:t>also</w:t>
      </w:r>
      <w:r>
        <w:rPr>
          <w:spacing w:val="5"/>
        </w:rPr>
        <w:t> </w:t>
      </w:r>
      <w:r>
        <w:rPr/>
        <w:t>detected</w:t>
      </w:r>
      <w:r>
        <w:rPr>
          <w:spacing w:val="5"/>
        </w:rPr>
        <w:t> </w:t>
      </w:r>
      <w:r>
        <w:rPr/>
        <w:t>by</w:t>
      </w:r>
      <w:r>
        <w:rPr>
          <w:spacing w:val="4"/>
        </w:rPr>
        <w:t> </w:t>
      </w:r>
      <w:r>
        <w:rPr/>
        <w:t>an</w:t>
      </w:r>
      <w:r>
        <w:rPr>
          <w:spacing w:val="5"/>
        </w:rPr>
        <w:t> </w:t>
      </w:r>
      <w:r>
        <w:rPr/>
        <w:t>ELISA</w:t>
      </w:r>
      <w:r>
        <w:rPr>
          <w:spacing w:val="4"/>
        </w:rPr>
        <w:t> </w:t>
      </w:r>
      <w:r>
        <w:rPr/>
        <w:t>kit</w:t>
      </w:r>
      <w:r>
        <w:rPr>
          <w:spacing w:val="6"/>
        </w:rPr>
        <w:t> </w:t>
      </w:r>
      <w:r>
        <w:rPr/>
        <w:t>(Cloud-Clone</w:t>
      </w:r>
      <w:r>
        <w:rPr>
          <w:spacing w:val="5"/>
        </w:rPr>
        <w:t> </w:t>
      </w:r>
      <w:r>
        <w:rPr/>
        <w:t>Corp.,</w:t>
      </w:r>
      <w:r>
        <w:rPr>
          <w:spacing w:val="5"/>
        </w:rPr>
        <w:t> </w:t>
      </w:r>
      <w:r>
        <w:rPr/>
        <w:t>USA).</w:t>
      </w:r>
      <w:r>
        <w:rPr>
          <w:spacing w:val="5"/>
        </w:rPr>
        <w:t> </w:t>
      </w:r>
      <w:r>
        <w:rPr/>
        <w:t>The</w:t>
      </w:r>
      <w:r>
        <w:rPr>
          <w:spacing w:val="-42"/>
        </w:rPr>
        <w:t> </w:t>
      </w:r>
      <w:r>
        <w:rPr/>
        <w:t>test</w:t>
      </w:r>
      <w:r>
        <w:rPr>
          <w:spacing w:val="-6"/>
        </w:rPr>
        <w:t> </w:t>
      </w:r>
      <w:r>
        <w:rPr/>
        <w:t>methodology</w:t>
      </w:r>
      <w:r>
        <w:rPr>
          <w:spacing w:val="-3"/>
        </w:rPr>
        <w:t> </w:t>
      </w:r>
      <w:r>
        <w:rPr/>
        <w:t>followed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manufacturer’s</w:t>
      </w:r>
      <w:r>
        <w:rPr>
          <w:spacing w:val="-2"/>
        </w:rPr>
        <w:t> </w:t>
      </w:r>
      <w:r>
        <w:rPr/>
        <w:t>protocol.</w:t>
      </w:r>
    </w:p>
    <w:p>
      <w:pPr>
        <w:spacing w:after="0" w:line="256" w:lineRule="auto"/>
        <w:sectPr>
          <w:pgSz w:w="12240" w:h="15840"/>
          <w:pgMar w:header="705" w:footer="680" w:top="1080" w:bottom="880" w:left="580" w:right="60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3771" w:val="left" w:leader="none"/>
        </w:tabs>
        <w:spacing w:line="240" w:lineRule="auto" w:before="54" w:after="0"/>
        <w:ind w:left="3770" w:right="0" w:hanging="351"/>
        <w:jc w:val="left"/>
      </w:pPr>
      <w:r>
        <w:rPr>
          <w:w w:val="105"/>
        </w:rPr>
        <w:t>DNA</w:t>
      </w:r>
      <w:r>
        <w:rPr>
          <w:spacing w:val="3"/>
          <w:w w:val="105"/>
        </w:rPr>
        <w:t> </w:t>
      </w:r>
      <w:r>
        <w:rPr>
          <w:w w:val="105"/>
        </w:rPr>
        <w:t>extraction,</w:t>
      </w:r>
      <w:r>
        <w:rPr>
          <w:spacing w:val="4"/>
          <w:w w:val="105"/>
        </w:rPr>
        <w:t> </w:t>
      </w:r>
      <w:r>
        <w:rPr>
          <w:w w:val="105"/>
        </w:rPr>
        <w:t>BDNF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CRH-R1</w:t>
      </w:r>
      <w:r>
        <w:rPr>
          <w:spacing w:val="3"/>
          <w:w w:val="105"/>
        </w:rPr>
        <w:t> </w:t>
      </w:r>
      <w:r>
        <w:rPr>
          <w:w w:val="105"/>
        </w:rPr>
        <w:t>genotyping</w:t>
      </w:r>
    </w:p>
    <w:p>
      <w:pPr>
        <w:pStyle w:val="BodyText"/>
        <w:spacing w:line="256" w:lineRule="auto" w:before="84"/>
        <w:ind w:left="3420" w:right="140"/>
      </w:pPr>
      <w:r>
        <w:rPr>
          <w:spacing w:val="-4"/>
        </w:rPr>
        <w:t>DNA extraction from blood samples </w:t>
      </w:r>
      <w:r>
        <w:rPr>
          <w:spacing w:val="-3"/>
        </w:rPr>
        <w:t>(100 </w:t>
      </w:r>
      <w:r>
        <w:rPr>
          <w:rFonts w:ascii="Times New Roman" w:hAnsi="Times New Roman"/>
          <w:spacing w:val="-3"/>
        </w:rPr>
        <w:t>μ</w:t>
      </w:r>
      <w:r>
        <w:rPr>
          <w:spacing w:val="-3"/>
        </w:rPr>
        <w:t>l) was carried out with the ready-made commercial</w:t>
      </w:r>
      <w:r>
        <w:rPr>
          <w:spacing w:val="-2"/>
        </w:rPr>
        <w:t> GeneJET Mini kit </w:t>
      </w:r>
      <w:r>
        <w:rPr>
          <w:spacing w:val="-1"/>
        </w:rPr>
        <w:t>(Thermo Scientific, Vilnius, Lithuania) in accordance with the manufacturer’s</w:t>
      </w:r>
      <w:r>
        <w:rPr>
          <w:spacing w:val="-43"/>
        </w:rPr>
        <w:t> </w:t>
      </w:r>
      <w:r>
        <w:rPr>
          <w:spacing w:val="-3"/>
        </w:rPr>
        <w:t>instructions. DNA concentration was assessed using fluorometer </w:t>
      </w:r>
      <w:r>
        <w:rPr>
          <w:spacing w:val="-2"/>
        </w:rPr>
        <w:t>Qubit 4 (Thermo Scientific,</w:t>
      </w:r>
      <w:r>
        <w:rPr>
          <w:spacing w:val="-1"/>
        </w:rPr>
        <w:t> </w:t>
      </w:r>
      <w:r>
        <w:rPr/>
        <w:t>Walthem, MA, USA), using Invitrogen reagent kits (Thermo Fisher Scientific, Eugene, OR,</w:t>
      </w:r>
      <w:r>
        <w:rPr>
          <w:spacing w:val="1"/>
        </w:rPr>
        <w:t> </w:t>
      </w:r>
      <w:r>
        <w:rPr>
          <w:spacing w:val="-4"/>
        </w:rPr>
        <w:t>USA). The isolated DNA was frozen and stored </w:t>
      </w:r>
      <w:r>
        <w:rPr>
          <w:spacing w:val="-3"/>
        </w:rPr>
        <w:t>at -20 C degrees. Genotyping for the rs11030094</w:t>
      </w:r>
      <w:r>
        <w:rPr>
          <w:spacing w:val="-2"/>
        </w:rPr>
        <w:t> </w:t>
      </w:r>
      <w:r>
        <w:rPr>
          <w:w w:val="95"/>
        </w:rPr>
        <w:t>polymorphism of the </w:t>
      </w:r>
      <w:r>
        <w:rPr>
          <w:rFonts w:ascii="Times New Roman" w:hAnsi="Times New Roman"/>
          <w:i/>
          <w:w w:val="95"/>
        </w:rPr>
        <w:t>BDNF </w:t>
      </w:r>
      <w:r>
        <w:rPr>
          <w:w w:val="95"/>
        </w:rPr>
        <w:t>gene and rs242924 polymorphism of the </w:t>
      </w:r>
      <w:r>
        <w:rPr>
          <w:rFonts w:ascii="Times New Roman" w:hAnsi="Times New Roman"/>
          <w:i/>
          <w:w w:val="95"/>
        </w:rPr>
        <w:t>CRH-R1 </w:t>
      </w:r>
      <w:r>
        <w:rPr>
          <w:w w:val="95"/>
        </w:rPr>
        <w:t>gene was per-</w:t>
      </w:r>
      <w:r>
        <w:rPr>
          <w:spacing w:val="1"/>
          <w:w w:val="95"/>
        </w:rPr>
        <w:t> </w:t>
      </w:r>
      <w:r>
        <w:rPr>
          <w:spacing w:val="-2"/>
        </w:rPr>
        <w:t>formed by a real-time PCR on a QuantStudio 5 (Applied biosystems, Thermo </w:t>
      </w:r>
      <w:r>
        <w:rPr>
          <w:spacing w:val="-1"/>
        </w:rPr>
        <w:t>Fisher Scientific)</w:t>
      </w:r>
      <w:r>
        <w:rPr/>
        <w:t> </w:t>
      </w:r>
      <w:r>
        <w:rPr>
          <w:w w:val="95"/>
        </w:rPr>
        <w:t>device using ready-made mixtures of primers and TaqMan probes in the presence of the TaqMan</w:t>
      </w:r>
      <w:r>
        <w:rPr>
          <w:spacing w:val="-40"/>
          <w:w w:val="95"/>
        </w:rPr>
        <w:t> </w:t>
      </w:r>
      <w:r>
        <w:rPr>
          <w:spacing w:val="-4"/>
        </w:rPr>
        <w:t>Genotyping</w:t>
      </w:r>
      <w:r>
        <w:rPr>
          <w:spacing w:val="-2"/>
        </w:rPr>
        <w:t> </w:t>
      </w:r>
      <w:r>
        <w:rPr>
          <w:spacing w:val="-4"/>
        </w:rPr>
        <w:t>Master</w:t>
      </w:r>
      <w:r>
        <w:rPr>
          <w:spacing w:val="-2"/>
        </w:rPr>
        <w:t> </w:t>
      </w:r>
      <w:r>
        <w:rPr>
          <w:spacing w:val="-4"/>
        </w:rPr>
        <w:t>mix</w:t>
      </w:r>
      <w:r>
        <w:rPr>
          <w:spacing w:val="-2"/>
        </w:rPr>
        <w:t> </w:t>
      </w:r>
      <w:r>
        <w:rPr>
          <w:spacing w:val="-4"/>
        </w:rPr>
        <w:t>reagent</w:t>
      </w:r>
      <w:r>
        <w:rPr>
          <w:spacing w:val="-3"/>
        </w:rPr>
        <w:t> </w:t>
      </w:r>
      <w:r>
        <w:rPr>
          <w:spacing w:val="-4"/>
        </w:rPr>
        <w:t>(all</w:t>
      </w:r>
      <w:r>
        <w:rPr>
          <w:spacing w:val="-3"/>
        </w:rPr>
        <w:t> </w:t>
      </w:r>
      <w:r>
        <w:rPr>
          <w:spacing w:val="-4"/>
        </w:rPr>
        <w:t>reagents</w:t>
      </w:r>
      <w:r>
        <w:rPr>
          <w:spacing w:val="-2"/>
        </w:rPr>
        <w:t> </w:t>
      </w:r>
      <w:r>
        <w:rPr>
          <w:spacing w:val="-3"/>
        </w:rPr>
        <w:t>manufactured</w:t>
      </w:r>
      <w:r>
        <w:rPr>
          <w:spacing w:val="-2"/>
        </w:rPr>
        <w:t> </w:t>
      </w:r>
      <w:r>
        <w:rPr>
          <w:spacing w:val="-3"/>
        </w:rPr>
        <w:t>by</w:t>
      </w:r>
      <w:r>
        <w:rPr>
          <w:spacing w:val="-1"/>
        </w:rPr>
        <w:t> </w:t>
      </w:r>
      <w:r>
        <w:rPr>
          <w:spacing w:val="-3"/>
        </w:rPr>
        <w:t>Life</w:t>
      </w:r>
      <w:r>
        <w:rPr>
          <w:spacing w:val="-4"/>
        </w:rPr>
        <w:t> </w:t>
      </w:r>
      <w:r>
        <w:rPr>
          <w:spacing w:val="-3"/>
        </w:rPr>
        <w:t>Technologies,</w:t>
      </w:r>
      <w:r>
        <w:rPr>
          <w:spacing w:val="-2"/>
        </w:rPr>
        <w:t> </w:t>
      </w:r>
      <w:r>
        <w:rPr>
          <w:spacing w:val="-3"/>
        </w:rPr>
        <w:t>Foster</w:t>
      </w:r>
      <w:r>
        <w:rPr>
          <w:spacing w:val="-2"/>
        </w:rPr>
        <w:t> </w:t>
      </w:r>
      <w:r>
        <w:rPr>
          <w:spacing w:val="-3"/>
        </w:rPr>
        <w:t>City,</w:t>
      </w:r>
      <w:r>
        <w:rPr>
          <w:spacing w:val="-2"/>
        </w:rPr>
        <w:t> </w:t>
      </w:r>
      <w:r>
        <w:rPr/>
        <w:t>CA,</w:t>
      </w:r>
      <w:r>
        <w:rPr>
          <w:spacing w:val="-9"/>
        </w:rPr>
        <w:t> </w:t>
      </w:r>
      <w:r>
        <w:rPr/>
        <w:t>USA)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10</w:t>
      </w:r>
      <w:r>
        <w:rPr>
          <w:spacing w:val="-9"/>
        </w:rPr>
        <w:t> </w:t>
      </w:r>
      <w:r>
        <w:rPr/>
        <w:t>ng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DNA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total</w:t>
      </w:r>
      <w:r>
        <w:rPr>
          <w:spacing w:val="-9"/>
        </w:rPr>
        <w:t> </w:t>
      </w:r>
      <w:r>
        <w:rPr/>
        <w:t>volume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5</w:t>
      </w:r>
      <w:r>
        <w:rPr>
          <w:spacing w:val="-9"/>
        </w:rPr>
        <w:t> </w:t>
      </w:r>
      <w:r>
        <w:rPr>
          <w:rFonts w:ascii="Times New Roman" w:hAnsi="Times New Roman"/>
        </w:rPr>
        <w:t>μ</w:t>
      </w:r>
      <w:r>
        <w:rPr/>
        <w:t>l.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amplification</w:t>
      </w:r>
      <w:r>
        <w:rPr>
          <w:spacing w:val="-6"/>
        </w:rPr>
        <w:t> </w:t>
      </w:r>
      <w:r>
        <w:rPr/>
        <w:t>program</w:t>
      </w:r>
      <w:r>
        <w:rPr>
          <w:spacing w:val="-8"/>
        </w:rPr>
        <w:t> </w:t>
      </w:r>
      <w:r>
        <w:rPr/>
        <w:t>included</w:t>
      </w:r>
      <w:r>
        <w:rPr>
          <w:spacing w:val="-9"/>
        </w:rPr>
        <w:t> </w:t>
      </w:r>
      <w:r>
        <w:rPr/>
        <w:t>pre-</w:t>
      </w:r>
      <w:r>
        <w:rPr>
          <w:spacing w:val="1"/>
        </w:rPr>
        <w:t> </w:t>
      </w:r>
      <w:r>
        <w:rPr>
          <w:w w:val="95"/>
        </w:rPr>
        <w:t>denaturation</w:t>
      </w:r>
      <w:r>
        <w:rPr>
          <w:spacing w:val="-7"/>
          <w:w w:val="95"/>
        </w:rPr>
        <w:t> </w:t>
      </w:r>
      <w:r>
        <w:rPr>
          <w:w w:val="95"/>
        </w:rPr>
        <w:t>at</w:t>
      </w:r>
      <w:r>
        <w:rPr>
          <w:spacing w:val="-8"/>
          <w:w w:val="95"/>
        </w:rPr>
        <w:t> </w:t>
      </w:r>
      <w:r>
        <w:rPr>
          <w:w w:val="95"/>
        </w:rPr>
        <w:t>60</w:t>
      </w:r>
      <w:r>
        <w:rPr>
          <w:spacing w:val="-6"/>
          <w:w w:val="95"/>
        </w:rPr>
        <w:t> </w:t>
      </w:r>
      <w:r>
        <w:rPr>
          <w:w w:val="95"/>
        </w:rPr>
        <w:t>C</w:t>
      </w:r>
      <w:r>
        <w:rPr>
          <w:spacing w:val="-8"/>
          <w:w w:val="95"/>
        </w:rPr>
        <w:t> </w:t>
      </w:r>
      <w:r>
        <w:rPr>
          <w:w w:val="95"/>
        </w:rPr>
        <w:t>degrees</w:t>
      </w:r>
      <w:r>
        <w:rPr>
          <w:spacing w:val="-7"/>
          <w:w w:val="95"/>
        </w:rPr>
        <w:t> </w:t>
      </w:r>
      <w:r>
        <w:rPr>
          <w:w w:val="95"/>
        </w:rPr>
        <w:t>for</w:t>
      </w:r>
      <w:r>
        <w:rPr>
          <w:spacing w:val="-7"/>
          <w:w w:val="95"/>
        </w:rPr>
        <w:t> </w:t>
      </w:r>
      <w:r>
        <w:rPr>
          <w:w w:val="95"/>
        </w:rPr>
        <w:t>30</w:t>
      </w:r>
      <w:r>
        <w:rPr>
          <w:spacing w:val="-8"/>
          <w:w w:val="95"/>
        </w:rPr>
        <w:t> </w:t>
      </w:r>
      <w:r>
        <w:rPr>
          <w:w w:val="95"/>
        </w:rPr>
        <w:t>seconds,</w:t>
      </w:r>
      <w:r>
        <w:rPr>
          <w:spacing w:val="-7"/>
          <w:w w:val="95"/>
        </w:rPr>
        <w:t> </w:t>
      </w:r>
      <w:r>
        <w:rPr>
          <w:w w:val="95"/>
        </w:rPr>
        <w:t>then</w:t>
      </w:r>
      <w:r>
        <w:rPr>
          <w:spacing w:val="-8"/>
          <w:w w:val="95"/>
        </w:rPr>
        <w:t> </w:t>
      </w:r>
      <w:r>
        <w:rPr>
          <w:w w:val="95"/>
        </w:rPr>
        <w:t>at</w:t>
      </w:r>
      <w:r>
        <w:rPr>
          <w:spacing w:val="-7"/>
          <w:w w:val="95"/>
        </w:rPr>
        <w:t> </w:t>
      </w:r>
      <w:r>
        <w:rPr>
          <w:w w:val="95"/>
        </w:rPr>
        <w:t>95</w:t>
      </w:r>
      <w:r>
        <w:rPr>
          <w:spacing w:val="-8"/>
          <w:w w:val="95"/>
        </w:rPr>
        <w:t> </w:t>
      </w:r>
      <w:r>
        <w:rPr>
          <w:w w:val="95"/>
        </w:rPr>
        <w:t>C</w:t>
      </w:r>
      <w:r>
        <w:rPr>
          <w:spacing w:val="-7"/>
          <w:w w:val="95"/>
        </w:rPr>
        <w:t> </w:t>
      </w:r>
      <w:r>
        <w:rPr>
          <w:w w:val="95"/>
        </w:rPr>
        <w:t>degrees</w:t>
      </w:r>
      <w:r>
        <w:rPr>
          <w:spacing w:val="-7"/>
          <w:w w:val="95"/>
        </w:rPr>
        <w:t> </w:t>
      </w:r>
      <w:r>
        <w:rPr>
          <w:w w:val="95"/>
        </w:rPr>
        <w:t>for</w:t>
      </w:r>
      <w:r>
        <w:rPr>
          <w:spacing w:val="-7"/>
          <w:w w:val="95"/>
        </w:rPr>
        <w:t> </w:t>
      </w:r>
      <w:r>
        <w:rPr>
          <w:w w:val="95"/>
        </w:rPr>
        <w:t>10</w:t>
      </w:r>
      <w:r>
        <w:rPr>
          <w:spacing w:val="-8"/>
          <w:w w:val="95"/>
        </w:rPr>
        <w:t> </w:t>
      </w:r>
      <w:r>
        <w:rPr>
          <w:w w:val="95"/>
        </w:rPr>
        <w:t>minutes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40</w:t>
      </w:r>
      <w:r>
        <w:rPr>
          <w:spacing w:val="-8"/>
          <w:w w:val="95"/>
        </w:rPr>
        <w:t> </w:t>
      </w:r>
      <w:r>
        <w:rPr>
          <w:w w:val="95"/>
        </w:rPr>
        <w:t>cycles</w:t>
      </w:r>
      <w:r>
        <w:rPr>
          <w:spacing w:val="-6"/>
          <w:w w:val="95"/>
        </w:rPr>
        <w:t> </w:t>
      </w:r>
      <w:r>
        <w:rPr>
          <w:w w:val="95"/>
        </w:rPr>
        <w:t>at</w:t>
      </w:r>
      <w:r>
        <w:rPr>
          <w:spacing w:val="1"/>
          <w:w w:val="95"/>
        </w:rPr>
        <w:t> </w:t>
      </w:r>
      <w:r>
        <w:rPr>
          <w:spacing w:val="-4"/>
        </w:rPr>
        <w:t>95</w:t>
      </w:r>
      <w:r>
        <w:rPr>
          <w:spacing w:val="-8"/>
        </w:rPr>
        <w:t> </w:t>
      </w:r>
      <w:r>
        <w:rPr>
          <w:spacing w:val="-4"/>
        </w:rPr>
        <w:t>C</w:t>
      </w:r>
      <w:r>
        <w:rPr>
          <w:spacing w:val="-6"/>
        </w:rPr>
        <w:t> </w:t>
      </w:r>
      <w:r>
        <w:rPr>
          <w:spacing w:val="-4"/>
        </w:rPr>
        <w:t>degrees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15</w:t>
      </w:r>
      <w:r>
        <w:rPr>
          <w:spacing w:val="-7"/>
        </w:rPr>
        <w:t> </w:t>
      </w:r>
      <w:r>
        <w:rPr>
          <w:spacing w:val="-4"/>
        </w:rPr>
        <w:t>seconds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finally,</w:t>
      </w:r>
      <w:r>
        <w:rPr>
          <w:spacing w:val="-5"/>
        </w:rPr>
        <w:t> </w:t>
      </w:r>
      <w:r>
        <w:rPr>
          <w:spacing w:val="-4"/>
        </w:rPr>
        <w:t>at</w:t>
      </w:r>
      <w:r>
        <w:rPr>
          <w:spacing w:val="-6"/>
        </w:rPr>
        <w:t> </w:t>
      </w:r>
      <w:r>
        <w:rPr>
          <w:spacing w:val="-4"/>
        </w:rPr>
        <w:t>60</w:t>
      </w:r>
      <w:r>
        <w:rPr>
          <w:spacing w:val="-7"/>
        </w:rPr>
        <w:t> </w:t>
      </w:r>
      <w:r>
        <w:rPr>
          <w:spacing w:val="-4"/>
        </w:rPr>
        <w:t>C</w:t>
      </w:r>
      <w:r>
        <w:rPr>
          <w:spacing w:val="-7"/>
        </w:rPr>
        <w:t> </w:t>
      </w:r>
      <w:r>
        <w:rPr>
          <w:spacing w:val="-4"/>
        </w:rPr>
        <w:t>degrees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60</w:t>
      </w:r>
      <w:r>
        <w:rPr>
          <w:spacing w:val="-8"/>
        </w:rPr>
        <w:t> </w:t>
      </w:r>
      <w:r>
        <w:rPr>
          <w:spacing w:val="-3"/>
        </w:rPr>
        <w:t>seconds</w:t>
      </w:r>
      <w:r>
        <w:rPr>
          <w:spacing w:val="-6"/>
        </w:rPr>
        <w:t> </w:t>
      </w:r>
      <w:r>
        <w:rPr>
          <w:spacing w:val="-3"/>
        </w:rPr>
        <w:t>for</w:t>
      </w:r>
      <w:r>
        <w:rPr>
          <w:spacing w:val="-6"/>
        </w:rPr>
        <w:t> </w:t>
      </w:r>
      <w:r>
        <w:rPr>
          <w:spacing w:val="-3"/>
        </w:rPr>
        <w:t>all</w:t>
      </w:r>
      <w:r>
        <w:rPr>
          <w:spacing w:val="-7"/>
        </w:rPr>
        <w:t> </w:t>
      </w:r>
      <w:r>
        <w:rPr>
          <w:spacing w:val="-3"/>
        </w:rPr>
        <w:t>SNPs.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numPr>
          <w:ilvl w:val="1"/>
          <w:numId w:val="1"/>
        </w:numPr>
        <w:tabs>
          <w:tab w:pos="3771" w:val="left" w:leader="none"/>
        </w:tabs>
        <w:spacing w:line="240" w:lineRule="auto" w:before="1" w:after="0"/>
        <w:ind w:left="3770" w:right="0" w:hanging="351"/>
        <w:jc w:val="left"/>
      </w:pPr>
      <w:r>
        <w:rPr/>
        <w:t>Statistical analysis</w:t>
      </w:r>
    </w:p>
    <w:p>
      <w:pPr>
        <w:pStyle w:val="BodyText"/>
        <w:spacing w:line="254" w:lineRule="auto" w:before="85"/>
        <w:ind w:left="3420" w:right="146"/>
      </w:pPr>
      <w:r>
        <w:rPr/>
        <w:pict>
          <v:shape style="position:absolute;margin-left:515.224976pt;margin-top:27.830492pt;width:59.55pt;height:.1pt;mso-position-horizontal-relative:page;mso-position-vertical-relative:paragraph;z-index:-16723968" coordorigin="10304,557" coordsize="1191,0" path="m11495,557l10304,557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0.013pt;margin-top:40.870491pt;width:83pt;height:.1pt;mso-position-horizontal-relative:page;mso-position-vertical-relative:paragraph;z-index:-16723456" coordorigin="4000,817" coordsize="1660,0" path="m5660,817l4000,817e" filled="true" fillcolor="#3e65ac" stroked="false">
            <v:path arrowok="t"/>
            <v:fill type="solid"/>
            <w10:wrap type="none"/>
          </v:shape>
        </w:pict>
      </w:r>
      <w:bookmarkStart w:name="_bookmark15" w:id="16"/>
      <w:bookmarkEnd w:id="16"/>
      <w:r>
        <w:rPr/>
      </w:r>
      <w:r>
        <w:rPr>
          <w:w w:val="95"/>
        </w:rPr>
        <w:t>Statistical</w:t>
      </w:r>
      <w:r>
        <w:rPr>
          <w:spacing w:val="7"/>
          <w:w w:val="95"/>
        </w:rPr>
        <w:t> </w:t>
      </w:r>
      <w:r>
        <w:rPr>
          <w:w w:val="95"/>
        </w:rPr>
        <w:t>evaluation</w:t>
      </w:r>
      <w:r>
        <w:rPr>
          <w:spacing w:val="11"/>
          <w:w w:val="95"/>
        </w:rPr>
        <w:t> </w:t>
      </w:r>
      <w:r>
        <w:rPr>
          <w:w w:val="95"/>
        </w:rPr>
        <w:t>to</w:t>
      </w:r>
      <w:r>
        <w:rPr>
          <w:spacing w:val="8"/>
          <w:w w:val="95"/>
        </w:rPr>
        <w:t> </w:t>
      </w:r>
      <w:r>
        <w:rPr>
          <w:w w:val="95"/>
        </w:rPr>
        <w:t>identify</w:t>
      </w:r>
      <w:r>
        <w:rPr>
          <w:spacing w:val="8"/>
          <w:w w:val="95"/>
        </w:rPr>
        <w:t> </w:t>
      </w:r>
      <w:r>
        <w:rPr>
          <w:w w:val="95"/>
        </w:rPr>
        <w:t>associations</w:t>
      </w:r>
      <w:r>
        <w:rPr>
          <w:spacing w:val="9"/>
          <w:w w:val="95"/>
        </w:rPr>
        <w:t> </w:t>
      </w:r>
      <w:r>
        <w:rPr>
          <w:w w:val="95"/>
        </w:rPr>
        <w:t>between</w:t>
      </w:r>
      <w:r>
        <w:rPr>
          <w:spacing w:val="8"/>
          <w:w w:val="95"/>
        </w:rPr>
        <w:t> </w:t>
      </w:r>
      <w:r>
        <w:rPr>
          <w:w w:val="95"/>
        </w:rPr>
        <w:t>polymorphisms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rFonts w:ascii="Times New Roman" w:hAnsi="Times New Roman"/>
          <w:i/>
          <w:w w:val="95"/>
        </w:rPr>
        <w:t>CRH-R1</w:t>
      </w:r>
      <w:r>
        <w:rPr>
          <w:rFonts w:ascii="Times New Roman" w:hAnsi="Times New Roman"/>
          <w:i/>
          <w:spacing w:val="3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rFonts w:ascii="Times New Roman" w:hAnsi="Times New Roman"/>
          <w:i/>
          <w:w w:val="95"/>
        </w:rPr>
        <w:t>BDNF</w:t>
      </w:r>
      <w:r>
        <w:rPr>
          <w:rFonts w:ascii="Times New Roman" w:hAnsi="Times New Roman"/>
          <w:i/>
          <w:spacing w:val="4"/>
          <w:w w:val="95"/>
        </w:rPr>
        <w:t> </w:t>
      </w:r>
      <w:r>
        <w:rPr>
          <w:w w:val="95"/>
        </w:rPr>
        <w:t>genes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1"/>
          <w:w w:val="95"/>
        </w:rPr>
        <w:t> </w:t>
      </w:r>
      <w:r>
        <w:rPr>
          <w:w w:val="95"/>
        </w:rPr>
        <w:t>presence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vitiligo</w:t>
      </w:r>
      <w:r>
        <w:rPr>
          <w:spacing w:val="12"/>
          <w:w w:val="95"/>
        </w:rPr>
        <w:t> </w:t>
      </w:r>
      <w:r>
        <w:rPr>
          <w:w w:val="95"/>
        </w:rPr>
        <w:t>was</w:t>
      </w:r>
      <w:r>
        <w:rPr>
          <w:spacing w:val="10"/>
          <w:w w:val="95"/>
        </w:rPr>
        <w:t> </w:t>
      </w:r>
      <w:r>
        <w:rPr>
          <w:w w:val="95"/>
        </w:rPr>
        <w:t>carried</w:t>
      </w:r>
      <w:r>
        <w:rPr>
          <w:spacing w:val="11"/>
          <w:w w:val="95"/>
        </w:rPr>
        <w:t> </w:t>
      </w:r>
      <w:r>
        <w:rPr>
          <w:w w:val="95"/>
        </w:rPr>
        <w:t>out</w:t>
      </w:r>
      <w:r>
        <w:rPr>
          <w:spacing w:val="10"/>
          <w:w w:val="95"/>
        </w:rPr>
        <w:t> </w:t>
      </w:r>
      <w:r>
        <w:rPr>
          <w:w w:val="95"/>
        </w:rPr>
        <w:t>via</w:t>
      </w:r>
      <w:r>
        <w:rPr>
          <w:spacing w:val="11"/>
          <w:w w:val="95"/>
        </w:rPr>
        <w:t> </w:t>
      </w:r>
      <w:r>
        <w:rPr>
          <w:w w:val="95"/>
        </w:rPr>
        <w:t>Gene</w:t>
      </w:r>
      <w:r>
        <w:rPr>
          <w:spacing w:val="11"/>
          <w:w w:val="95"/>
        </w:rPr>
        <w:t> </w:t>
      </w:r>
      <w:r>
        <w:rPr>
          <w:w w:val="95"/>
        </w:rPr>
        <w:t>Expert</w:t>
      </w:r>
      <w:r>
        <w:rPr>
          <w:spacing w:val="11"/>
          <w:w w:val="95"/>
        </w:rPr>
        <w:t> </w:t>
      </w:r>
      <w:r>
        <w:rPr>
          <w:w w:val="95"/>
        </w:rPr>
        <w:t>program</w:t>
      </w:r>
      <w:r>
        <w:rPr>
          <w:spacing w:val="12"/>
          <w:w w:val="95"/>
        </w:rPr>
        <w:t> </w:t>
      </w:r>
      <w:r>
        <w:rPr>
          <w:w w:val="95"/>
        </w:rPr>
        <w:t>(</w:t>
      </w:r>
      <w:hyperlink r:id="rId17">
        <w:r>
          <w:rPr>
            <w:color w:val="3E65AC"/>
            <w:w w:val="95"/>
          </w:rPr>
          <w:t>http://gen-exp.</w:t>
        </w:r>
      </w:hyperlink>
      <w:r>
        <w:rPr>
          <w:color w:val="3E65AC"/>
          <w:spacing w:val="-40"/>
          <w:w w:val="95"/>
        </w:rPr>
        <w:t> </w:t>
      </w:r>
      <w:hyperlink r:id="rId17">
        <w:r>
          <w:rPr>
            <w:color w:val="3E65AC"/>
          </w:rPr>
          <w:t>ru/calculator_or.php</w:t>
        </w:r>
      </w:hyperlink>
      <w:r>
        <w:rPr/>
        <w:t>)</w:t>
      </w:r>
      <w:r>
        <w:rPr>
          <w:spacing w:val="-7"/>
        </w:rPr>
        <w:t> </w:t>
      </w:r>
      <w:r>
        <w:rPr/>
        <w:t>using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chi-squared</w:t>
      </w:r>
      <w:r>
        <w:rPr>
          <w:spacing w:val="-8"/>
        </w:rPr>
        <w:t> </w:t>
      </w:r>
      <w:r>
        <w:rPr/>
        <w:t>test</w:t>
      </w:r>
      <w:r>
        <w:rPr>
          <w:spacing w:val="-7"/>
        </w:rPr>
        <w:t> </w:t>
      </w:r>
      <w:r>
        <w:rPr/>
        <w:t>(</w:t>
      </w:r>
      <w:r>
        <w:rPr>
          <w:rFonts w:ascii="Microsoft Sans Serif" w:hAnsi="Microsoft Sans Serif"/>
        </w:rPr>
        <w:t>χ</w:t>
      </w:r>
      <w:r>
        <w:rPr/>
        <w:t>2)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odds</w:t>
      </w:r>
      <w:r>
        <w:rPr>
          <w:spacing w:val="-7"/>
        </w:rPr>
        <w:t> </w:t>
      </w:r>
      <w:r>
        <w:rPr/>
        <w:t>ratio</w:t>
      </w:r>
      <w:r>
        <w:rPr>
          <w:spacing w:val="-8"/>
        </w:rPr>
        <w:t> </w:t>
      </w:r>
      <w:r>
        <w:rPr/>
        <w:t>(OR)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95%</w:t>
      </w:r>
      <w:r>
        <w:rPr>
          <w:spacing w:val="-7"/>
        </w:rPr>
        <w:t> </w:t>
      </w:r>
      <w:r>
        <w:rPr/>
        <w:t>confi-</w:t>
      </w:r>
      <w:r>
        <w:rPr>
          <w:spacing w:val="1"/>
        </w:rPr>
        <w:t> </w:t>
      </w:r>
      <w:r>
        <w:rPr>
          <w:spacing w:val="-1"/>
        </w:rPr>
        <w:t>dence</w:t>
      </w:r>
      <w:r>
        <w:rPr>
          <w:spacing w:val="-10"/>
        </w:rPr>
        <w:t> </w:t>
      </w:r>
      <w:r>
        <w:rPr>
          <w:spacing w:val="-1"/>
        </w:rPr>
        <w:t>intervals</w:t>
      </w:r>
      <w:r>
        <w:rPr>
          <w:spacing w:val="-10"/>
        </w:rPr>
        <w:t> </w:t>
      </w:r>
      <w:r>
        <w:rPr>
          <w:spacing w:val="-1"/>
        </w:rPr>
        <w:t>(CI).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ratio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frequencies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genotypes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alleles</w:t>
      </w:r>
      <w:r>
        <w:rPr>
          <w:spacing w:val="-9"/>
        </w:rPr>
        <w:t> </w:t>
      </w:r>
      <w:r>
        <w:rPr/>
        <w:t>was</w:t>
      </w:r>
      <w:r>
        <w:rPr>
          <w:spacing w:val="-10"/>
        </w:rPr>
        <w:t> </w:t>
      </w:r>
      <w:r>
        <w:rPr/>
        <w:t>checked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compli-</w:t>
      </w:r>
      <w:r>
        <w:rPr>
          <w:spacing w:val="1"/>
        </w:rPr>
        <w:t> </w:t>
      </w:r>
      <w:r>
        <w:rPr/>
        <w:t>ance</w:t>
      </w:r>
      <w:r>
        <w:rPr>
          <w:spacing w:val="-3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Hardy-Weinberg equilibrium (HWE).</w:t>
      </w:r>
    </w:p>
    <w:p>
      <w:pPr>
        <w:pStyle w:val="BodyText"/>
        <w:spacing w:line="249" w:lineRule="auto" w:before="5"/>
        <w:ind w:left="3420" w:right="125" w:firstLine="239"/>
      </w:pPr>
      <w:r>
        <w:rPr/>
        <w:t>The content of CRH and BDNF neurotransmitters in blood serum was analyzed using</w:t>
      </w:r>
      <w:r>
        <w:rPr>
          <w:spacing w:val="1"/>
        </w:rPr>
        <w:t> </w:t>
      </w:r>
      <w:r>
        <w:rPr>
          <w:spacing w:val="-1"/>
        </w:rPr>
        <w:t>medians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quartiles</w:t>
      </w:r>
      <w:r>
        <w:rPr>
          <w:spacing w:val="-9"/>
        </w:rPr>
        <w:t> </w:t>
      </w:r>
      <w:r>
        <w:rPr>
          <w:spacing w:val="-1"/>
        </w:rPr>
        <w:t>(Me,</w:t>
      </w:r>
      <w:r>
        <w:rPr>
          <w:spacing w:val="-9"/>
        </w:rPr>
        <w:t> </w:t>
      </w:r>
      <w:r>
        <w:rPr>
          <w:spacing w:val="-1"/>
        </w:rPr>
        <w:t>Q1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Q3,</w:t>
      </w:r>
      <w:r>
        <w:rPr>
          <w:spacing w:val="-9"/>
        </w:rPr>
        <w:t> </w:t>
      </w:r>
      <w:r>
        <w:rPr>
          <w:spacing w:val="-1"/>
        </w:rPr>
        <w:t>respectively).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levels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neurotransmitters</w:t>
      </w:r>
      <w:r>
        <w:rPr>
          <w:spacing w:val="-7"/>
        </w:rPr>
        <w:t> </w:t>
      </w:r>
      <w:r>
        <w:rPr/>
        <w:t>in</w:t>
      </w:r>
      <w:r>
        <w:rPr>
          <w:spacing w:val="-10"/>
        </w:rPr>
        <w:t> </w:t>
      </w:r>
      <w:r>
        <w:rPr/>
        <w:t>differ-</w:t>
      </w:r>
      <w:r>
        <w:rPr>
          <w:spacing w:val="-43"/>
        </w:rPr>
        <w:t> </w:t>
      </w:r>
      <w:r>
        <w:rPr/>
        <w:t>ent genotype subgroups both in patients and controls were compared using Kruskal-Wallis</w:t>
      </w:r>
      <w:r>
        <w:rPr>
          <w:spacing w:val="1"/>
        </w:rPr>
        <w:t> </w:t>
      </w:r>
      <w:r>
        <w:rPr/>
        <w:t>test. The rates of CRH and BDNF within the same genotype in vitiligo patients and healthy</w:t>
      </w:r>
      <w:r>
        <w:rPr>
          <w:spacing w:val="1"/>
        </w:rPr>
        <w:t> </w:t>
      </w:r>
      <w:r>
        <w:rPr>
          <w:spacing w:val="-1"/>
        </w:rPr>
        <w:t>controls were compared using </w:t>
      </w:r>
      <w:r>
        <w:rPr/>
        <w:t>the Mann–Whitney U test. All analyses were performed using</w:t>
      </w:r>
      <w:r>
        <w:rPr>
          <w:spacing w:val="-43"/>
        </w:rPr>
        <w:t> </w:t>
      </w:r>
      <w:r>
        <w:rPr>
          <w:w w:val="95"/>
        </w:rPr>
        <w:t>the SPSS</w:t>
      </w:r>
      <w:r>
        <w:rPr>
          <w:spacing w:val="1"/>
          <w:w w:val="95"/>
        </w:rPr>
        <w:t> </w:t>
      </w:r>
      <w:r>
        <w:rPr>
          <w:w w:val="95"/>
        </w:rPr>
        <w:t>20.0</w:t>
      </w:r>
      <w:r>
        <w:rPr>
          <w:spacing w:val="1"/>
          <w:w w:val="95"/>
        </w:rPr>
        <w:t> </w:t>
      </w:r>
      <w:r>
        <w:rPr>
          <w:w w:val="95"/>
        </w:rPr>
        <w:t>package</w:t>
      </w:r>
      <w:r>
        <w:rPr>
          <w:spacing w:val="3"/>
          <w:w w:val="95"/>
        </w:rPr>
        <w:t> </w:t>
      </w:r>
      <w:r>
        <w:rPr>
          <w:w w:val="95"/>
        </w:rPr>
        <w:t>at a</w:t>
      </w:r>
      <w:r>
        <w:rPr>
          <w:spacing w:val="1"/>
          <w:w w:val="95"/>
        </w:rPr>
        <w:t> </w:t>
      </w:r>
      <w:r>
        <w:rPr>
          <w:w w:val="95"/>
        </w:rPr>
        <w:t>significance</w:t>
      </w:r>
      <w:r>
        <w:rPr>
          <w:spacing w:val="3"/>
          <w:w w:val="95"/>
        </w:rPr>
        <w:t> </w:t>
      </w:r>
      <w:r>
        <w:rPr>
          <w:w w:val="95"/>
        </w:rPr>
        <w:t>level</w:t>
      </w:r>
      <w:r>
        <w:rPr>
          <w:spacing w:val="1"/>
          <w:w w:val="95"/>
        </w:rPr>
        <w:t> </w:t>
      </w:r>
      <w:r>
        <w:rPr>
          <w:w w:val="95"/>
        </w:rPr>
        <w:t>of p</w:t>
      </w:r>
      <w:r>
        <w:rPr>
          <w:spacing w:val="1"/>
          <w:w w:val="95"/>
        </w:rPr>
        <w:t> </w:t>
      </w:r>
      <w:r>
        <w:rPr>
          <w:rFonts w:ascii="Lucida Sans Unicode" w:hAnsi="Lucida Sans Unicode"/>
          <w:w w:val="95"/>
        </w:rPr>
        <w:t>&lt;</w:t>
      </w:r>
      <w:r>
        <w:rPr>
          <w:rFonts w:ascii="Lucida Sans Unicode" w:hAnsi="Lucida Sans Unicode"/>
          <w:spacing w:val="-15"/>
          <w:w w:val="95"/>
        </w:rPr>
        <w:t> </w:t>
      </w:r>
      <w:r>
        <w:rPr>
          <w:w w:val="95"/>
        </w:rPr>
        <w:t>0.05.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604" w:val="left" w:leader="none"/>
        </w:tabs>
        <w:spacing w:line="240" w:lineRule="auto" w:before="0" w:after="0"/>
        <w:ind w:left="3603" w:right="0" w:hanging="184"/>
        <w:jc w:val="left"/>
        <w:rPr>
          <w:rFonts w:ascii="Arial"/>
        </w:rPr>
      </w:pPr>
      <w:bookmarkStart w:name="_bookmark16" w:id="17"/>
      <w:bookmarkEnd w:id="17"/>
      <w:r>
        <w:rPr>
          <w:b w:val="0"/>
        </w:rPr>
      </w:r>
      <w:bookmarkStart w:name="_bookmark16" w:id="18"/>
      <w:bookmarkEnd w:id="18"/>
      <w:r>
        <w:rPr>
          <w:rFonts w:ascii="Arial"/>
        </w:rPr>
        <w:t>Results</w:t>
      </w:r>
    </w:p>
    <w:p>
      <w:pPr>
        <w:pStyle w:val="BodyText"/>
        <w:spacing w:line="254" w:lineRule="auto" w:before="99"/>
        <w:ind w:left="3420" w:right="125"/>
      </w:pPr>
      <w:r>
        <w:rPr/>
        <w:pict>
          <v:shape style="position:absolute;margin-left:463.520996pt;margin-top:15.548487pt;width:28.3pt;height:.1pt;mso-position-horizontal-relative:page;mso-position-vertical-relative:paragraph;z-index:-16722944" coordorigin="9270,311" coordsize="566,0" path="m9836,311l9270,311e" filled="true" fillcolor="#3e65ac" stroked="false">
            <v:path arrowok="t"/>
            <v:fill type="solid"/>
            <w10:wrap type="none"/>
          </v:shape>
        </w:pic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baseline</w:t>
      </w:r>
      <w:r>
        <w:rPr>
          <w:spacing w:val="-2"/>
          <w:w w:val="95"/>
        </w:rPr>
        <w:t> </w:t>
      </w:r>
      <w:r>
        <w:rPr>
          <w:w w:val="95"/>
        </w:rPr>
        <w:t>characteristics</w:t>
      </w:r>
      <w:r>
        <w:rPr>
          <w:spacing w:val="-2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cases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controls</w:t>
      </w:r>
      <w:r>
        <w:rPr>
          <w:spacing w:val="-3"/>
          <w:w w:val="95"/>
        </w:rPr>
        <w:t> </w:t>
      </w:r>
      <w:r>
        <w:rPr>
          <w:w w:val="95"/>
        </w:rPr>
        <w:t>are</w:t>
      </w:r>
      <w:r>
        <w:rPr>
          <w:spacing w:val="-3"/>
          <w:w w:val="95"/>
        </w:rPr>
        <w:t> </w:t>
      </w:r>
      <w:r>
        <w:rPr>
          <w:w w:val="95"/>
        </w:rPr>
        <w:t>summarized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hyperlink w:history="true" w:anchor="_bookmark17">
        <w:r>
          <w:rPr>
            <w:color w:val="3E65AC"/>
            <w:w w:val="95"/>
          </w:rPr>
          <w:t>Table</w:t>
        </w:r>
        <w:r>
          <w:rPr>
            <w:color w:val="3E65AC"/>
            <w:spacing w:val="-2"/>
            <w:w w:val="95"/>
          </w:rPr>
          <w:t> </w:t>
        </w:r>
        <w:r>
          <w:rPr>
            <w:color w:val="3E65AC"/>
            <w:w w:val="95"/>
          </w:rPr>
          <w:t>1</w:t>
        </w:r>
      </w:hyperlink>
      <w:r>
        <w:rPr>
          <w:w w:val="95"/>
        </w:rPr>
        <w:t>.</w:t>
      </w:r>
      <w:r>
        <w:rPr>
          <w:spacing w:val="-4"/>
          <w:w w:val="95"/>
        </w:rPr>
        <w:t> </w:t>
      </w:r>
      <w:r>
        <w:rPr>
          <w:w w:val="95"/>
        </w:rPr>
        <w:t>This</w:t>
      </w:r>
      <w:r>
        <w:rPr>
          <w:spacing w:val="-3"/>
          <w:w w:val="95"/>
        </w:rPr>
        <w:t> </w:t>
      </w:r>
      <w:r>
        <w:rPr>
          <w:w w:val="95"/>
        </w:rPr>
        <w:t>study</w:t>
      </w:r>
      <w:r>
        <w:rPr>
          <w:spacing w:val="-3"/>
          <w:w w:val="95"/>
        </w:rPr>
        <w:t> </w:t>
      </w:r>
      <w:r>
        <w:rPr>
          <w:w w:val="95"/>
        </w:rPr>
        <w:t>consisted</w:t>
      </w:r>
      <w:r>
        <w:rPr>
          <w:spacing w:val="-40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93</w:t>
      </w:r>
      <w:r>
        <w:rPr>
          <w:spacing w:val="-5"/>
          <w:w w:val="95"/>
        </w:rPr>
        <w:t> </w:t>
      </w:r>
      <w:r>
        <w:rPr>
          <w:w w:val="95"/>
        </w:rPr>
        <w:t>vitiligo</w:t>
      </w:r>
      <w:r>
        <w:rPr>
          <w:spacing w:val="-6"/>
          <w:w w:val="95"/>
        </w:rPr>
        <w:t> </w:t>
      </w:r>
      <w:r>
        <w:rPr>
          <w:w w:val="95"/>
        </w:rPr>
        <w:t>patients</w:t>
      </w:r>
      <w:r>
        <w:rPr>
          <w:spacing w:val="-6"/>
          <w:w w:val="95"/>
        </w:rPr>
        <w:t> </w:t>
      </w:r>
      <w:r>
        <w:rPr>
          <w:w w:val="95"/>
        </w:rPr>
        <w:t>(age</w:t>
      </w:r>
      <w:r>
        <w:rPr>
          <w:spacing w:val="-6"/>
          <w:w w:val="95"/>
        </w:rPr>
        <w:t> </w:t>
      </w:r>
      <w:r>
        <w:rPr>
          <w:w w:val="95"/>
        </w:rPr>
        <w:t>range</w:t>
      </w:r>
      <w:r>
        <w:rPr>
          <w:spacing w:val="-6"/>
          <w:w w:val="95"/>
        </w:rPr>
        <w:t> </w:t>
      </w:r>
      <w:r>
        <w:rPr>
          <w:w w:val="95"/>
        </w:rPr>
        <w:t>from</w:t>
      </w:r>
      <w:r>
        <w:rPr>
          <w:spacing w:val="-6"/>
          <w:w w:val="95"/>
        </w:rPr>
        <w:t> </w:t>
      </w:r>
      <w:r>
        <w:rPr>
          <w:w w:val="95"/>
        </w:rPr>
        <w:t>23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7"/>
          <w:w w:val="95"/>
        </w:rPr>
        <w:t> </w:t>
      </w:r>
      <w:r>
        <w:rPr>
          <w:w w:val="95"/>
        </w:rPr>
        <w:t>48</w:t>
      </w:r>
      <w:r>
        <w:rPr>
          <w:spacing w:val="-6"/>
          <w:w w:val="95"/>
        </w:rPr>
        <w:t> </w:t>
      </w:r>
      <w:r>
        <w:rPr>
          <w:w w:val="95"/>
        </w:rPr>
        <w:t>years)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132</w:t>
      </w:r>
      <w:r>
        <w:rPr>
          <w:spacing w:val="-7"/>
          <w:w w:val="95"/>
        </w:rPr>
        <w:t> </w:t>
      </w:r>
      <w:r>
        <w:rPr>
          <w:w w:val="95"/>
        </w:rPr>
        <w:t>healthy</w:t>
      </w:r>
      <w:r>
        <w:rPr>
          <w:spacing w:val="-7"/>
          <w:w w:val="95"/>
        </w:rPr>
        <w:t> </w:t>
      </w:r>
      <w:r>
        <w:rPr>
          <w:w w:val="95"/>
        </w:rPr>
        <w:t>controls</w:t>
      </w:r>
      <w:r>
        <w:rPr>
          <w:spacing w:val="-6"/>
          <w:w w:val="95"/>
        </w:rPr>
        <w:t> </w:t>
      </w:r>
      <w:r>
        <w:rPr>
          <w:w w:val="95"/>
        </w:rPr>
        <w:t>(age</w:t>
      </w:r>
      <w:r>
        <w:rPr>
          <w:spacing w:val="-6"/>
          <w:w w:val="95"/>
        </w:rPr>
        <w:t> </w:t>
      </w:r>
      <w:r>
        <w:rPr>
          <w:w w:val="95"/>
        </w:rPr>
        <w:t>range</w:t>
      </w:r>
      <w:r>
        <w:rPr>
          <w:spacing w:val="-6"/>
          <w:w w:val="95"/>
        </w:rPr>
        <w:t> </w:t>
      </w:r>
      <w:r>
        <w:rPr>
          <w:w w:val="95"/>
        </w:rPr>
        <w:t>from</w:t>
      </w:r>
      <w:r>
        <w:rPr>
          <w:spacing w:val="-7"/>
          <w:w w:val="95"/>
        </w:rPr>
        <w:t> </w:t>
      </w:r>
      <w:r>
        <w:rPr>
          <w:w w:val="95"/>
        </w:rPr>
        <w:t>24</w:t>
      </w:r>
      <w:r>
        <w:rPr>
          <w:spacing w:val="-40"/>
          <w:w w:val="95"/>
        </w:rPr>
        <w:t> </w:t>
      </w:r>
      <w:r>
        <w:rPr>
          <w:spacing w:val="-1"/>
          <w:w w:val="95"/>
        </w:rPr>
        <w:t>to 52 years). No difference was observed between two groups </w:t>
      </w:r>
      <w:r>
        <w:rPr>
          <w:w w:val="95"/>
        </w:rPr>
        <w:t>according to age, gender, and eth-</w:t>
      </w:r>
      <w:r>
        <w:rPr>
          <w:spacing w:val="1"/>
          <w:w w:val="95"/>
        </w:rPr>
        <w:t> </w:t>
      </w:r>
      <w:r>
        <w:rPr>
          <w:w w:val="95"/>
        </w:rPr>
        <w:t>nicity. Nearly half of the participants had a university degree. More than half of the participants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-1"/>
          <w:w w:val="95"/>
        </w:rPr>
        <w:t> </w:t>
      </w:r>
      <w:r>
        <w:rPr>
          <w:w w:val="95"/>
        </w:rPr>
        <w:t>married, and the</w:t>
      </w:r>
      <w:r>
        <w:rPr>
          <w:spacing w:val="1"/>
          <w:w w:val="95"/>
        </w:rPr>
        <w:t> </w:t>
      </w:r>
      <w:r>
        <w:rPr>
          <w:w w:val="95"/>
        </w:rPr>
        <w:t>same</w:t>
      </w:r>
      <w:r>
        <w:rPr>
          <w:spacing w:val="-2"/>
          <w:w w:val="95"/>
        </w:rPr>
        <w:t> </w:t>
      </w:r>
      <w:r>
        <w:rPr>
          <w:w w:val="95"/>
        </w:rPr>
        <w:t>proportion</w:t>
      </w:r>
      <w:r>
        <w:rPr>
          <w:spacing w:val="2"/>
          <w:w w:val="95"/>
        </w:rPr>
        <w:t> </w:t>
      </w:r>
      <w:r>
        <w:rPr>
          <w:w w:val="95"/>
        </w:rPr>
        <w:t>had</w:t>
      </w:r>
      <w:r>
        <w:rPr>
          <w:spacing w:val="-1"/>
          <w:w w:val="95"/>
        </w:rPr>
        <w:t> </w:t>
      </w:r>
      <w:r>
        <w:rPr>
          <w:w w:val="95"/>
        </w:rPr>
        <w:t>both parents</w:t>
      </w:r>
      <w:r>
        <w:rPr>
          <w:spacing w:val="1"/>
          <w:w w:val="95"/>
        </w:rPr>
        <w:t> </w:t>
      </w:r>
      <w:r>
        <w:rPr>
          <w:w w:val="95"/>
        </w:rPr>
        <w:t>alive.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skin types II</w:t>
      </w:r>
      <w:r>
        <w:rPr>
          <w:spacing w:val="-1"/>
          <w:w w:val="95"/>
        </w:rPr>
        <w:t> </w:t>
      </w:r>
      <w:r>
        <w:rPr>
          <w:w w:val="95"/>
        </w:rPr>
        <w:t>and III prevailed</w:t>
      </w:r>
    </w:p>
    <w:p>
      <w:pPr>
        <w:pStyle w:val="BodyText"/>
        <w:spacing w:line="225" w:lineRule="auto" w:before="18"/>
        <w:ind w:left="3420" w:right="198"/>
        <w:jc w:val="both"/>
      </w:pPr>
      <w:r>
        <w:rPr/>
        <w:pict>
          <v:shape style="position:absolute;margin-left:249.845993pt;margin-top:36.893196pt;width:23.6pt;height:.1pt;mso-position-horizontal-relative:page;mso-position-vertical-relative:paragraph;z-index:15746048" coordorigin="4997,738" coordsize="472,0" path="m5469,738l4997,738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3.184021pt;margin-top:36.893196pt;width:32.9pt;height:.1pt;mso-position-horizontal-relative:page;mso-position-vertical-relative:paragraph;z-index:15746560" coordorigin="10264,738" coordsize="658,0" path="m10921,738l10264,738e" filled="true" fillcolor="#3e65ac" stroked="false">
            <v:path arrowok="t"/>
            <v:fill type="solid"/>
            <w10:wrap type="none"/>
          </v:shape>
        </w:pict>
      </w:r>
      <w:r>
        <w:rPr>
          <w:spacing w:val="-3"/>
        </w:rPr>
        <w:t>among</w:t>
      </w:r>
      <w:r>
        <w:rPr>
          <w:spacing w:val="-7"/>
        </w:rPr>
        <w:t> </w:t>
      </w:r>
      <w:r>
        <w:rPr>
          <w:spacing w:val="-3"/>
        </w:rPr>
        <w:t>both</w:t>
      </w:r>
      <w:r>
        <w:rPr>
          <w:spacing w:val="-8"/>
        </w:rPr>
        <w:t> </w:t>
      </w:r>
      <w:r>
        <w:rPr>
          <w:spacing w:val="-3"/>
        </w:rPr>
        <w:t>vitiligo</w:t>
      </w:r>
      <w:r>
        <w:rPr>
          <w:spacing w:val="-6"/>
        </w:rPr>
        <w:t> </w:t>
      </w:r>
      <w:r>
        <w:rPr>
          <w:spacing w:val="-3"/>
        </w:rPr>
        <w:t>patients</w:t>
      </w:r>
      <w:r>
        <w:rPr>
          <w:spacing w:val="-6"/>
        </w:rPr>
        <w:t> </w:t>
      </w:r>
      <w:r>
        <w:rPr>
          <w:spacing w:val="-3"/>
        </w:rPr>
        <w:t>and</w:t>
      </w:r>
      <w:r>
        <w:rPr>
          <w:spacing w:val="-7"/>
        </w:rPr>
        <w:t> </w:t>
      </w:r>
      <w:r>
        <w:rPr>
          <w:spacing w:val="-3"/>
        </w:rPr>
        <w:t>healthy</w:t>
      </w:r>
      <w:r>
        <w:rPr>
          <w:spacing w:val="-7"/>
        </w:rPr>
        <w:t> </w:t>
      </w:r>
      <w:r>
        <w:rPr>
          <w:spacing w:val="-3"/>
        </w:rPr>
        <w:t>controls.</w:t>
      </w:r>
      <w:r>
        <w:rPr>
          <w:spacing w:val="-6"/>
        </w:rPr>
        <w:t> </w:t>
      </w:r>
      <w:r>
        <w:rPr>
          <w:spacing w:val="-3"/>
        </w:rPr>
        <w:t>The</w:t>
      </w:r>
      <w:r>
        <w:rPr>
          <w:spacing w:val="-8"/>
        </w:rPr>
        <w:t> </w:t>
      </w:r>
      <w:r>
        <w:rPr>
          <w:spacing w:val="-3"/>
        </w:rPr>
        <w:t>GAD-7</w:t>
      </w:r>
      <w:r>
        <w:rPr>
          <w:spacing w:val="-7"/>
        </w:rPr>
        <w:t> </w:t>
      </w:r>
      <w:r>
        <w:rPr>
          <w:spacing w:val="-3"/>
        </w:rPr>
        <w:t>scores</w:t>
      </w:r>
      <w:r>
        <w:rPr>
          <w:spacing w:val="-6"/>
        </w:rPr>
        <w:t> </w:t>
      </w:r>
      <w:r>
        <w:rPr>
          <w:spacing w:val="-3"/>
        </w:rPr>
        <w:t>were</w:t>
      </w:r>
      <w:r>
        <w:rPr>
          <w:spacing w:val="-7"/>
        </w:rPr>
        <w:t> </w:t>
      </w:r>
      <w:r>
        <w:rPr>
          <w:spacing w:val="-3"/>
        </w:rPr>
        <w:t>significantly</w:t>
      </w:r>
      <w:r>
        <w:rPr>
          <w:spacing w:val="-6"/>
        </w:rPr>
        <w:t> </w:t>
      </w:r>
      <w:r>
        <w:rPr>
          <w:spacing w:val="-3"/>
        </w:rPr>
        <w:t>higher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43"/>
        </w:rPr>
        <w:t> </w:t>
      </w:r>
      <w:r>
        <w:rPr>
          <w:spacing w:val="-4"/>
        </w:rPr>
        <w:t>cases as compared with the healthy </w:t>
      </w:r>
      <w:r>
        <w:rPr>
          <w:spacing w:val="-3"/>
        </w:rPr>
        <w:t>controls (p</w:t>
      </w:r>
      <w:r>
        <w:rPr>
          <w:rFonts w:ascii="Lucida Sans Unicode"/>
          <w:spacing w:val="-3"/>
        </w:rPr>
        <w:t>&lt;</w:t>
      </w:r>
      <w:r>
        <w:rPr>
          <w:spacing w:val="-3"/>
        </w:rPr>
        <w:t>0.001). The serum levels of BDNF and CRH are</w:t>
      </w:r>
      <w:r>
        <w:rPr>
          <w:spacing w:val="-43"/>
        </w:rPr>
        <w:t> </w:t>
      </w:r>
      <w:r>
        <w:rPr>
          <w:spacing w:val="-1"/>
        </w:rPr>
        <w:t>presented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hyperlink w:history="true" w:anchor="_bookmark49">
        <w:r>
          <w:rPr>
            <w:color w:val="3E65AC"/>
            <w:spacing w:val="-1"/>
          </w:rPr>
          <w:t>S1</w:t>
        </w:r>
        <w:r>
          <w:rPr>
            <w:color w:val="3E65AC"/>
            <w:spacing w:val="-11"/>
          </w:rPr>
          <w:t> </w:t>
        </w:r>
        <w:r>
          <w:rPr>
            <w:color w:val="3E65AC"/>
            <w:spacing w:val="-1"/>
          </w:rPr>
          <w:t>Fig</w:t>
        </w:r>
      </w:hyperlink>
      <w:r>
        <w:rPr>
          <w:spacing w:val="-1"/>
        </w:rPr>
        <w:t>.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correlation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ELISA</w:t>
      </w:r>
      <w:r>
        <w:rPr>
          <w:spacing w:val="-9"/>
        </w:rPr>
        <w:t> </w:t>
      </w:r>
      <w:r>
        <w:rPr>
          <w:spacing w:val="-1"/>
        </w:rPr>
        <w:t>levels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VES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not</w:t>
      </w:r>
      <w:r>
        <w:rPr>
          <w:spacing w:val="-10"/>
        </w:rPr>
        <w:t> </w:t>
      </w:r>
      <w:r>
        <w:rPr/>
        <w:t>significant</w:t>
      </w:r>
      <w:r>
        <w:rPr>
          <w:spacing w:val="-9"/>
        </w:rPr>
        <w:t> </w:t>
      </w:r>
      <w:r>
        <w:rPr/>
        <w:t>(</w:t>
      </w:r>
      <w:hyperlink w:history="true" w:anchor="_bookmark50">
        <w:r>
          <w:rPr>
            <w:color w:val="3E65AC"/>
          </w:rPr>
          <w:t>S1</w:t>
        </w:r>
        <w:r>
          <w:rPr>
            <w:color w:val="3E65AC"/>
            <w:spacing w:val="-9"/>
          </w:rPr>
          <w:t> </w:t>
        </w:r>
        <w:r>
          <w:rPr>
            <w:color w:val="3E65AC"/>
          </w:rPr>
          <w:t>Table</w:t>
        </w:r>
      </w:hyperlink>
      <w:r>
        <w:rPr/>
        <w:t>).</w:t>
      </w:r>
    </w:p>
    <w:p>
      <w:pPr>
        <w:pStyle w:val="BodyText"/>
        <w:spacing w:before="3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3771" w:val="left" w:leader="none"/>
        </w:tabs>
        <w:spacing w:line="240" w:lineRule="auto" w:before="1" w:after="0"/>
        <w:ind w:left="3770" w:right="0" w:hanging="351"/>
        <w:jc w:val="left"/>
      </w:pPr>
      <w:r>
        <w:rPr/>
        <w:t>rs242924</w:t>
      </w:r>
      <w:r>
        <w:rPr>
          <w:spacing w:val="5"/>
        </w:rPr>
        <w:t> </w:t>
      </w:r>
      <w:r>
        <w:rPr/>
        <w:t>polymorphism</w:t>
      </w:r>
    </w:p>
    <w:p>
      <w:pPr>
        <w:pStyle w:val="BodyText"/>
        <w:spacing w:line="254" w:lineRule="auto" w:before="85"/>
        <w:ind w:left="3420" w:right="240"/>
        <w:jc w:val="both"/>
      </w:pPr>
      <w:r>
        <w:rPr/>
        <w:pict>
          <v:shape style="position:absolute;margin-left:210.330994pt;margin-top:27.830488pt;width:29.2pt;height:.1pt;mso-position-horizontal-relative:page;mso-position-vertical-relative:paragraph;z-index:-16721408" coordorigin="4207,557" coordsize="584,0" path="m4791,557l4207,557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4.667999pt;margin-top:27.830488pt;width:29.2pt;height:.1pt;mso-position-horizontal-relative:page;mso-position-vertical-relative:paragraph;z-index:-16720896" coordorigin="9693,557" coordsize="584,0" path="m10277,557l9693,557e" filled="true" fillcolor="#3e65ac" stroked="false">
            <v:path arrowok="t"/>
            <v:fill type="solid"/>
            <w10:wrap type="none"/>
          </v:shape>
        </w:pict>
      </w:r>
      <w:r>
        <w:rPr>
          <w:spacing w:val="-1"/>
        </w:rPr>
        <w:t>Both</w:t>
      </w:r>
      <w:r>
        <w:rPr>
          <w:spacing w:val="-11"/>
        </w:rPr>
        <w:t> </w:t>
      </w:r>
      <w:r>
        <w:rPr>
          <w:spacing w:val="-1"/>
        </w:rPr>
        <w:t>case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control</w:t>
      </w:r>
      <w:r>
        <w:rPr>
          <w:spacing w:val="-10"/>
        </w:rPr>
        <w:t> </w:t>
      </w:r>
      <w:r>
        <w:rPr>
          <w:spacing w:val="-1"/>
        </w:rPr>
        <w:t>groups</w:t>
      </w:r>
      <w:r>
        <w:rPr>
          <w:spacing w:val="-9"/>
        </w:rPr>
        <w:t> </w:t>
      </w:r>
      <w:r>
        <w:rPr>
          <w:spacing w:val="-1"/>
        </w:rPr>
        <w:t>were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HWE.</w:t>
      </w:r>
      <w:r>
        <w:rPr>
          <w:spacing w:val="-10"/>
        </w:rPr>
        <w:t> </w:t>
      </w:r>
      <w:r>
        <w:rPr/>
        <w:t>Genotype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allele</w:t>
      </w:r>
      <w:r>
        <w:rPr>
          <w:spacing w:val="-10"/>
        </w:rPr>
        <w:t> </w:t>
      </w:r>
      <w:r>
        <w:rPr/>
        <w:t>frequencies</w:t>
      </w:r>
      <w:r>
        <w:rPr>
          <w:spacing w:val="-9"/>
        </w:rPr>
        <w:t> </w:t>
      </w:r>
      <w:r>
        <w:rPr/>
        <w:t>are</w:t>
      </w:r>
      <w:r>
        <w:rPr>
          <w:spacing w:val="-11"/>
        </w:rPr>
        <w:t> </w:t>
      </w:r>
      <w:r>
        <w:rPr/>
        <w:t>summarized</w:t>
      </w:r>
      <w:r>
        <w:rPr>
          <w:spacing w:val="-43"/>
        </w:rPr>
        <w:t> </w:t>
      </w:r>
      <w:r>
        <w:rPr/>
        <w:t>in</w:t>
      </w:r>
      <w:r>
        <w:rPr>
          <w:spacing w:val="-4"/>
        </w:rPr>
        <w:t> </w:t>
      </w:r>
      <w:hyperlink w:history="true" w:anchor="_bookmark18">
        <w:r>
          <w:rPr>
            <w:color w:val="3E65AC"/>
          </w:rPr>
          <w:t>Table</w:t>
        </w:r>
        <w:r>
          <w:rPr>
            <w:color w:val="3E65AC"/>
            <w:spacing w:val="-1"/>
          </w:rPr>
          <w:t> </w:t>
        </w:r>
        <w:r>
          <w:rPr>
            <w:color w:val="3E65AC"/>
          </w:rPr>
          <w:t>2</w:t>
        </w:r>
      </w:hyperlink>
      <w:r>
        <w:rPr/>
        <w:t>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T-allele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TT</w:t>
      </w:r>
      <w:r>
        <w:rPr>
          <w:spacing w:val="-3"/>
        </w:rPr>
        <w:t> </w:t>
      </w:r>
      <w:r>
        <w:rPr/>
        <w:t>genotype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having</w:t>
      </w:r>
      <w:r>
        <w:rPr>
          <w:spacing w:val="-2"/>
        </w:rPr>
        <w:t> </w:t>
      </w:r>
      <w:r>
        <w:rPr/>
        <w:t>vitiligo</w:t>
      </w:r>
      <w:r>
        <w:rPr>
          <w:spacing w:val="-1"/>
        </w:rPr>
        <w:t> </w:t>
      </w:r>
      <w:r>
        <w:rPr/>
        <w:t>(</w:t>
      </w:r>
      <w:hyperlink w:history="true" w:anchor="_bookmark18">
        <w:r>
          <w:rPr>
            <w:color w:val="3E65AC"/>
          </w:rPr>
          <w:t>Table</w:t>
        </w:r>
        <w:r>
          <w:rPr>
            <w:color w:val="3E65AC"/>
            <w:spacing w:val="-1"/>
          </w:rPr>
          <w:t> </w:t>
        </w:r>
        <w:r>
          <w:rPr>
            <w:color w:val="3E65AC"/>
          </w:rPr>
          <w:t>2</w:t>
        </w:r>
      </w:hyperlink>
      <w:r>
        <w:rPr/>
        <w:t>).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3771" w:val="left" w:leader="none"/>
        </w:tabs>
        <w:spacing w:line="240" w:lineRule="auto" w:before="0" w:after="0"/>
        <w:ind w:left="3770" w:right="0" w:hanging="351"/>
        <w:jc w:val="left"/>
      </w:pPr>
      <w:r>
        <w:rPr/>
        <w:t>Association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rs242924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/>
        <w:t>serum</w:t>
      </w:r>
      <w:r>
        <w:rPr>
          <w:spacing w:val="7"/>
        </w:rPr>
        <w:t> </w:t>
      </w:r>
      <w:r>
        <w:rPr/>
        <w:t>CRH</w:t>
      </w:r>
      <w:r>
        <w:rPr>
          <w:spacing w:val="7"/>
        </w:rPr>
        <w:t> </w:t>
      </w:r>
      <w:r>
        <w:rPr/>
        <w:t>levels</w:t>
      </w:r>
    </w:p>
    <w:p>
      <w:pPr>
        <w:pStyle w:val="BodyText"/>
        <w:spacing w:line="256" w:lineRule="auto" w:before="85"/>
        <w:ind w:left="3420" w:right="125"/>
      </w:pPr>
      <w:r>
        <w:rPr/>
        <w:pict>
          <v:shape style="position:absolute;margin-left:325.473999pt;margin-top:53.853184pt;width:29.2pt;height:.1pt;mso-position-horizontal-relative:page;mso-position-vertical-relative:paragraph;z-index:-16720384" coordorigin="6509,1077" coordsize="584,0" path="m7093,1077l6509,1077e" filled="true" fillcolor="#3e65ac" stroked="false">
            <v:path arrowok="t"/>
            <v:fill type="solid"/>
            <w10:wrap type="none"/>
          </v:shape>
        </w:pict>
      </w:r>
      <w:r>
        <w:rPr>
          <w:spacing w:val="-1"/>
        </w:rPr>
        <w:t>Serum</w:t>
      </w:r>
      <w:r>
        <w:rPr>
          <w:spacing w:val="-11"/>
        </w:rPr>
        <w:t> </w:t>
      </w:r>
      <w:r>
        <w:rPr>
          <w:spacing w:val="-1"/>
        </w:rPr>
        <w:t>CRH</w:t>
      </w:r>
      <w:r>
        <w:rPr>
          <w:spacing w:val="-10"/>
        </w:rPr>
        <w:t> </w:t>
      </w:r>
      <w:r>
        <w:rPr>
          <w:spacing w:val="-1"/>
        </w:rPr>
        <w:t>levels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individual</w:t>
      </w:r>
      <w:r>
        <w:rPr>
          <w:spacing w:val="-9"/>
        </w:rPr>
        <w:t> </w:t>
      </w:r>
      <w:r>
        <w:rPr>
          <w:spacing w:val="-1"/>
        </w:rPr>
        <w:t>genotypes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SNP</w:t>
      </w:r>
      <w:r>
        <w:rPr>
          <w:spacing w:val="-9"/>
        </w:rPr>
        <w:t> </w:t>
      </w:r>
      <w:r>
        <w:rPr>
          <w:spacing w:val="-1"/>
        </w:rPr>
        <w:t>rs242924</w:t>
      </w:r>
      <w:r>
        <w:rPr>
          <w:spacing w:val="-10"/>
        </w:rPr>
        <w:t> </w:t>
      </w:r>
      <w:r>
        <w:rPr>
          <w:spacing w:val="-1"/>
        </w:rPr>
        <w:t>were</w:t>
      </w:r>
      <w:r>
        <w:rPr>
          <w:spacing w:val="-11"/>
        </w:rPr>
        <w:t> </w:t>
      </w:r>
      <w:r>
        <w:rPr>
          <w:spacing w:val="-1"/>
        </w:rPr>
        <w:t>evaluated</w:t>
      </w:r>
      <w:r>
        <w:rPr>
          <w:spacing w:val="-9"/>
        </w:rPr>
        <w:t> </w:t>
      </w:r>
      <w:r>
        <w:rPr>
          <w:spacing w:val="-1"/>
        </w:rPr>
        <w:t>between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case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control</w:t>
      </w:r>
      <w:r>
        <w:rPr>
          <w:spacing w:val="-2"/>
        </w:rPr>
        <w:t> </w:t>
      </w:r>
      <w:r>
        <w:rPr/>
        <w:t>groups.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found-out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CRH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significantly</w:t>
      </w:r>
      <w:r>
        <w:rPr>
          <w:spacing w:val="-2"/>
        </w:rPr>
        <w:t> </w:t>
      </w:r>
      <w:r>
        <w:rPr/>
        <w:t>higher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TT-genotype</w:t>
      </w:r>
      <w:r>
        <w:rPr>
          <w:spacing w:val="-42"/>
        </w:rPr>
        <w:t> </w:t>
      </w:r>
      <w:r>
        <w:rPr>
          <w:spacing w:val="-1"/>
        </w:rPr>
        <w:t>subgroup of cases as compared with the healthy controls: 7.30 (2.41–8.84) ng/mL vs. </w:t>
      </w:r>
      <w:r>
        <w:rPr/>
        <w:t>2.97</w:t>
      </w:r>
      <w:r>
        <w:rPr>
          <w:spacing w:val="1"/>
        </w:rPr>
        <w:t> </w:t>
      </w:r>
      <w:r>
        <w:rPr/>
        <w:t>(1.87–4.09)</w:t>
      </w:r>
      <w:r>
        <w:rPr>
          <w:spacing w:val="-2"/>
        </w:rPr>
        <w:t> </w:t>
      </w:r>
      <w:r>
        <w:rPr/>
        <w:t>ng/mL</w:t>
      </w:r>
      <w:r>
        <w:rPr>
          <w:spacing w:val="-2"/>
        </w:rPr>
        <w:t> </w:t>
      </w:r>
      <w:r>
        <w:rPr/>
        <w:t>(p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0.001)</w:t>
      </w:r>
      <w:r>
        <w:rPr>
          <w:spacing w:val="-2"/>
        </w:rPr>
        <w:t> </w:t>
      </w:r>
      <w:r>
        <w:rPr/>
        <w:t>(</w:t>
      </w:r>
      <w:hyperlink w:history="true" w:anchor="_bookmark19">
        <w:r>
          <w:rPr>
            <w:color w:val="3E65AC"/>
          </w:rPr>
          <w:t>Table</w:t>
        </w:r>
        <w:r>
          <w:rPr>
            <w:color w:val="3E65AC"/>
            <w:spacing w:val="-1"/>
          </w:rPr>
          <w:t> </w:t>
        </w:r>
        <w:r>
          <w:rPr>
            <w:color w:val="3E65AC"/>
          </w:rPr>
          <w:t>3</w:t>
        </w:r>
      </w:hyperlink>
      <w:r>
        <w:rPr/>
        <w:t>).</w:t>
      </w:r>
    </w:p>
    <w:p>
      <w:pPr>
        <w:spacing w:after="0" w:line="256" w:lineRule="auto"/>
        <w:sectPr>
          <w:pgSz w:w="12240" w:h="15840"/>
          <w:pgMar w:header="705" w:footer="680" w:top="1080" w:bottom="880" w:left="580" w:right="600"/>
        </w:sectPr>
      </w:pPr>
    </w:p>
    <w:p>
      <w:pPr>
        <w:pStyle w:val="BodyText"/>
        <w:spacing w:before="4"/>
        <w:rPr>
          <w:sz w:val="28"/>
        </w:rPr>
      </w:pPr>
    </w:p>
    <w:p>
      <w:pPr>
        <w:spacing w:before="69" w:after="54"/>
        <w:ind w:left="140" w:right="0" w:firstLine="0"/>
        <w:jc w:val="left"/>
        <w:rPr>
          <w:b/>
          <w:sz w:val="16"/>
        </w:rPr>
      </w:pPr>
      <w:bookmarkStart w:name="_bookmark17" w:id="19"/>
      <w:bookmarkEnd w:id="19"/>
      <w:r>
        <w:rPr/>
      </w:r>
      <w:hyperlink w:history="true" w:anchor="_bookmark15">
        <w:r>
          <w:rPr>
            <w:b/>
            <w:sz w:val="16"/>
          </w:rPr>
          <w:t>Table 1.</w:t>
        </w:r>
      </w:hyperlink>
      <w:r>
        <w:rPr>
          <w:b/>
          <w:spacing w:val="39"/>
          <w:sz w:val="16"/>
        </w:rPr>
        <w:t> </w:t>
      </w:r>
      <w:r>
        <w:rPr>
          <w:b/>
          <w:sz w:val="16"/>
        </w:rPr>
        <w:t>Demographic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clinical characteristics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study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participants.</w:t>
      </w:r>
    </w:p>
    <w:tbl>
      <w:tblPr>
        <w:tblW w:w="0" w:type="auto"/>
        <w:jc w:val="left"/>
        <w:tblInd w:w="142" w:type="dxa"/>
        <w:tblBorders>
          <w:top w:val="single" w:sz="4" w:space="0" w:color="949598"/>
          <w:left w:val="single" w:sz="4" w:space="0" w:color="949598"/>
          <w:bottom w:val="single" w:sz="4" w:space="0" w:color="949598"/>
          <w:right w:val="single" w:sz="4" w:space="0" w:color="949598"/>
          <w:insideH w:val="single" w:sz="4" w:space="0" w:color="949598"/>
          <w:insideV w:val="single" w:sz="4" w:space="0" w:color="94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2530"/>
        <w:gridCol w:w="788"/>
        <w:gridCol w:w="1024"/>
        <w:gridCol w:w="865"/>
        <w:gridCol w:w="1024"/>
        <w:gridCol w:w="1574"/>
        <w:gridCol w:w="1125"/>
      </w:tblGrid>
      <w:tr>
        <w:trPr>
          <w:trHeight w:val="240" w:hRule="atLeast"/>
        </w:trPr>
        <w:tc>
          <w:tcPr>
            <w:tcW w:w="4409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  <w:gridSpan w:val="2"/>
          </w:tcPr>
          <w:p>
            <w:pPr>
              <w:pStyle w:val="TableParagraph"/>
              <w:spacing w:before="38"/>
              <w:ind w:left="698" w:right="6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Cases</w:t>
            </w: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before="38"/>
              <w:ind w:left="626" w:right="62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Controls</w:t>
            </w:r>
          </w:p>
        </w:tc>
        <w:tc>
          <w:tcPr>
            <w:tcW w:w="269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409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ind w:left="43"/>
              <w:rPr>
                <w:b/>
                <w:sz w:val="16"/>
              </w:rPr>
            </w:pPr>
            <w:r>
              <w:rPr>
                <w:b/>
                <w:w w:val="112"/>
                <w:sz w:val="16"/>
              </w:rPr>
              <w:t>N</w:t>
            </w:r>
          </w:p>
        </w:tc>
        <w:tc>
          <w:tcPr>
            <w:tcW w:w="1024" w:type="dxa"/>
          </w:tcPr>
          <w:p>
            <w:pPr>
              <w:pStyle w:val="TableParagraph"/>
              <w:ind w:left="42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%</w:t>
            </w:r>
          </w:p>
        </w:tc>
        <w:tc>
          <w:tcPr>
            <w:tcW w:w="865" w:type="dxa"/>
          </w:tcPr>
          <w:p>
            <w:pPr>
              <w:pStyle w:val="TableParagraph"/>
              <w:ind w:left="41"/>
              <w:rPr>
                <w:b/>
                <w:sz w:val="16"/>
              </w:rPr>
            </w:pPr>
            <w:r>
              <w:rPr>
                <w:b/>
                <w:w w:val="112"/>
                <w:sz w:val="16"/>
              </w:rPr>
              <w:t>N</w:t>
            </w: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%</w:t>
            </w:r>
          </w:p>
        </w:tc>
        <w:tc>
          <w:tcPr>
            <w:tcW w:w="1574" w:type="dxa"/>
          </w:tcPr>
          <w:p>
            <w:pPr>
              <w:pStyle w:val="TableParagraph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Statistical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test</w:t>
            </w:r>
          </w:p>
        </w:tc>
        <w:tc>
          <w:tcPr>
            <w:tcW w:w="1125" w:type="dxa"/>
            <w:tcBorders>
              <w:right w:val="nil"/>
            </w:tcBorders>
          </w:tcPr>
          <w:p>
            <w:pPr>
              <w:pStyle w:val="TableParagraph"/>
              <w:ind w:left="308"/>
              <w:rPr>
                <w:b/>
                <w:sz w:val="16"/>
              </w:rPr>
            </w:pPr>
            <w:r>
              <w:rPr>
                <w:b/>
                <w:sz w:val="16"/>
              </w:rPr>
              <w:t>p-value</w:t>
            </w:r>
          </w:p>
        </w:tc>
      </w:tr>
      <w:tr>
        <w:trPr>
          <w:trHeight w:val="240" w:hRule="atLeast"/>
        </w:trPr>
        <w:tc>
          <w:tcPr>
            <w:tcW w:w="440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38"/>
              <w:ind w:left="5"/>
              <w:rPr>
                <w:sz w:val="16"/>
              </w:rPr>
            </w:pPr>
            <w:r>
              <w:rPr>
                <w:sz w:val="16"/>
              </w:rPr>
              <w:t>Age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(years), median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25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z w:val="16"/>
                <w:vertAlign w:val="baseline"/>
              </w:rPr>
              <w:t>-75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pacing w:val="-1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percentile</w:t>
            </w:r>
          </w:p>
        </w:tc>
        <w:tc>
          <w:tcPr>
            <w:tcW w:w="788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24" w:type="dxa"/>
          </w:tcPr>
          <w:p>
            <w:pPr>
              <w:pStyle w:val="TableParagraph"/>
              <w:spacing w:before="38"/>
              <w:ind w:left="62"/>
              <w:rPr>
                <w:sz w:val="16"/>
              </w:rPr>
            </w:pPr>
            <w:r>
              <w:rPr>
                <w:sz w:val="16"/>
              </w:rPr>
              <w:t>23–48</w:t>
            </w:r>
          </w:p>
        </w:tc>
        <w:tc>
          <w:tcPr>
            <w:tcW w:w="865" w:type="dxa"/>
          </w:tcPr>
          <w:p>
            <w:pPr>
              <w:pStyle w:val="TableParagraph"/>
              <w:spacing w:before="38"/>
              <w:ind w:left="61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024" w:type="dxa"/>
          </w:tcPr>
          <w:p>
            <w:pPr>
              <w:pStyle w:val="TableParagraph"/>
              <w:spacing w:before="38"/>
              <w:ind w:left="59"/>
              <w:rPr>
                <w:sz w:val="16"/>
              </w:rPr>
            </w:pPr>
            <w:r>
              <w:rPr>
                <w:sz w:val="16"/>
              </w:rPr>
              <w:t>24–52</w:t>
            </w:r>
          </w:p>
        </w:tc>
        <w:tc>
          <w:tcPr>
            <w:tcW w:w="1574" w:type="dxa"/>
          </w:tcPr>
          <w:p>
            <w:pPr>
              <w:pStyle w:val="TableParagraph"/>
              <w:spacing w:line="190" w:lineRule="exact" w:before="29"/>
              <w:ind w:left="58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0.752</w:t>
            </w:r>
            <w:r>
              <w:rPr>
                <w:rFonts w:ascii="Symbol" w:hAnsi="Symbol"/>
                <w:sz w:val="16"/>
                <w:vertAlign w:val="superscript"/>
              </w:rPr>
              <w:t>𝜔</w:t>
            </w:r>
          </w:p>
        </w:tc>
        <w:tc>
          <w:tcPr>
            <w:tcW w:w="1125" w:type="dxa"/>
            <w:tcBorders>
              <w:right w:val="nil"/>
            </w:tcBorders>
          </w:tcPr>
          <w:p>
            <w:pPr>
              <w:pStyle w:val="TableParagraph"/>
              <w:spacing w:before="38"/>
              <w:ind w:left="56"/>
              <w:rPr>
                <w:sz w:val="16"/>
              </w:rPr>
            </w:pPr>
            <w:r>
              <w:rPr>
                <w:sz w:val="16"/>
              </w:rPr>
              <w:t>0.453</w:t>
            </w:r>
          </w:p>
        </w:tc>
      </w:tr>
      <w:tr>
        <w:trPr>
          <w:trHeight w:val="239" w:hRule="atLeast"/>
        </w:trPr>
        <w:tc>
          <w:tcPr>
            <w:tcW w:w="1879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5"/>
              <w:rPr>
                <w:sz w:val="16"/>
              </w:rPr>
            </w:pPr>
            <w:r>
              <w:rPr>
                <w:sz w:val="16"/>
              </w:rPr>
              <w:t>Gender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Females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024" w:type="dxa"/>
          </w:tcPr>
          <w:p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57.0</w:t>
            </w:r>
          </w:p>
        </w:tc>
        <w:tc>
          <w:tcPr>
            <w:tcW w:w="865" w:type="dxa"/>
          </w:tcPr>
          <w:p>
            <w:pPr>
              <w:pStyle w:val="TableParagraph"/>
              <w:ind w:left="61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024" w:type="dxa"/>
          </w:tcPr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57.6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spacing w:line="240" w:lineRule="auto" w:before="29"/>
              <w:ind w:left="58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0.008</w:t>
            </w:r>
            <w:r>
              <w:rPr>
                <w:rFonts w:ascii="Symbol" w:hAnsi="Symbol"/>
                <w:sz w:val="16"/>
                <w:vertAlign w:val="superscript"/>
              </w:rPr>
              <w:t>𝜔𝜔</w:t>
            </w:r>
          </w:p>
        </w:tc>
        <w:tc>
          <w:tcPr>
            <w:tcW w:w="112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56"/>
              <w:rPr>
                <w:sz w:val="16"/>
              </w:rPr>
            </w:pPr>
            <w:r>
              <w:rPr>
                <w:sz w:val="16"/>
              </w:rPr>
              <w:t>0.930</w:t>
            </w:r>
          </w:p>
        </w:tc>
      </w:tr>
      <w:tr>
        <w:trPr>
          <w:trHeight w:val="240" w:hRule="atLeast"/>
        </w:trPr>
        <w:tc>
          <w:tcPr>
            <w:tcW w:w="187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Males</w:t>
            </w:r>
          </w:p>
        </w:tc>
        <w:tc>
          <w:tcPr>
            <w:tcW w:w="788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8"/>
              <w:ind w:left="62"/>
              <w:rPr>
                <w:sz w:val="16"/>
              </w:rPr>
            </w:pPr>
            <w:r>
              <w:rPr>
                <w:sz w:val="16"/>
              </w:rPr>
              <w:t>43.0</w:t>
            </w:r>
          </w:p>
        </w:tc>
        <w:tc>
          <w:tcPr>
            <w:tcW w:w="865" w:type="dxa"/>
          </w:tcPr>
          <w:p>
            <w:pPr>
              <w:pStyle w:val="TableParagraph"/>
              <w:spacing w:before="38"/>
              <w:ind w:left="61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024" w:type="dxa"/>
          </w:tcPr>
          <w:p>
            <w:pPr>
              <w:pStyle w:val="TableParagraph"/>
              <w:spacing w:before="38"/>
              <w:ind w:left="59"/>
              <w:rPr>
                <w:sz w:val="16"/>
              </w:rPr>
            </w:pPr>
            <w:r>
              <w:rPr>
                <w:sz w:val="16"/>
              </w:rPr>
              <w:t>42.4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879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Ethnicity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Kazakh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024" w:type="dxa"/>
          </w:tcPr>
          <w:p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89.2</w:t>
            </w:r>
          </w:p>
        </w:tc>
        <w:tc>
          <w:tcPr>
            <w:tcW w:w="865" w:type="dxa"/>
          </w:tcPr>
          <w:p>
            <w:pPr>
              <w:pStyle w:val="TableParagraph"/>
              <w:ind w:left="61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024" w:type="dxa"/>
          </w:tcPr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94.7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spacing w:line="240" w:lineRule="auto" w:before="29"/>
              <w:ind w:left="58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3.063</w:t>
            </w:r>
            <w:r>
              <w:rPr>
                <w:rFonts w:ascii="Symbol" w:hAnsi="Symbol"/>
                <w:sz w:val="16"/>
                <w:vertAlign w:val="superscript"/>
              </w:rPr>
              <w:t>𝜔𝜔</w:t>
            </w:r>
          </w:p>
        </w:tc>
        <w:tc>
          <w:tcPr>
            <w:tcW w:w="112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56"/>
              <w:rPr>
                <w:sz w:val="16"/>
              </w:rPr>
            </w:pPr>
            <w:r>
              <w:rPr>
                <w:sz w:val="16"/>
              </w:rPr>
              <w:t>0.216</w:t>
            </w:r>
          </w:p>
        </w:tc>
      </w:tr>
      <w:tr>
        <w:trPr>
          <w:trHeight w:val="240" w:hRule="atLeast"/>
        </w:trPr>
        <w:tc>
          <w:tcPr>
            <w:tcW w:w="187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Russian</w:t>
            </w:r>
          </w:p>
        </w:tc>
        <w:tc>
          <w:tcPr>
            <w:tcW w:w="788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94"/>
                <w:sz w:val="16"/>
              </w:rPr>
              <w:t>9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left="62"/>
              <w:rPr>
                <w:sz w:val="16"/>
              </w:rPr>
            </w:pPr>
            <w:r>
              <w:rPr>
                <w:sz w:val="16"/>
              </w:rPr>
              <w:t>9.7</w:t>
            </w:r>
          </w:p>
        </w:tc>
        <w:tc>
          <w:tcPr>
            <w:tcW w:w="865" w:type="dxa"/>
          </w:tcPr>
          <w:p>
            <w:pPr>
              <w:pStyle w:val="TableParagraph"/>
              <w:spacing w:line="183" w:lineRule="exact"/>
              <w:ind w:left="61"/>
              <w:rPr>
                <w:sz w:val="16"/>
              </w:rPr>
            </w:pPr>
            <w:r>
              <w:rPr>
                <w:w w:val="94"/>
                <w:sz w:val="16"/>
              </w:rPr>
              <w:t>7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left="59"/>
              <w:rPr>
                <w:sz w:val="16"/>
              </w:rPr>
            </w:pPr>
            <w:r>
              <w:rPr>
                <w:sz w:val="16"/>
              </w:rPr>
              <w:t>5.3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87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94"/>
                <w:sz w:val="16"/>
              </w:rPr>
              <w:t>1</w:t>
            </w:r>
          </w:p>
        </w:tc>
        <w:tc>
          <w:tcPr>
            <w:tcW w:w="1024" w:type="dxa"/>
          </w:tcPr>
          <w:p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865" w:type="dxa"/>
          </w:tcPr>
          <w:p>
            <w:pPr>
              <w:pStyle w:val="TableParagraph"/>
              <w:ind w:left="61"/>
              <w:rPr>
                <w:sz w:val="16"/>
              </w:rPr>
            </w:pPr>
            <w:r>
              <w:rPr>
                <w:w w:val="94"/>
                <w:sz w:val="16"/>
              </w:rPr>
              <w:t>0</w:t>
            </w:r>
          </w:p>
        </w:tc>
        <w:tc>
          <w:tcPr>
            <w:tcW w:w="1024" w:type="dxa"/>
          </w:tcPr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879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5"/>
              <w:rPr>
                <w:sz w:val="16"/>
              </w:rPr>
            </w:pPr>
            <w:r>
              <w:rPr>
                <w:sz w:val="16"/>
              </w:rPr>
              <w:t>Education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level</w:t>
            </w:r>
          </w:p>
        </w:tc>
        <w:tc>
          <w:tcPr>
            <w:tcW w:w="2530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05"/>
                <w:sz w:val="16"/>
              </w:rPr>
              <w:t>HS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less</w:t>
            </w:r>
          </w:p>
        </w:tc>
        <w:tc>
          <w:tcPr>
            <w:tcW w:w="788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94"/>
                <w:sz w:val="16"/>
              </w:rPr>
              <w:t>6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left="62"/>
              <w:rPr>
                <w:sz w:val="16"/>
              </w:rPr>
            </w:pPr>
            <w:r>
              <w:rPr>
                <w:sz w:val="16"/>
              </w:rPr>
              <w:t>6.5</w:t>
            </w:r>
          </w:p>
        </w:tc>
        <w:tc>
          <w:tcPr>
            <w:tcW w:w="865" w:type="dxa"/>
          </w:tcPr>
          <w:p>
            <w:pPr>
              <w:pStyle w:val="TableParagraph"/>
              <w:spacing w:line="183" w:lineRule="exact"/>
              <w:ind w:left="61"/>
              <w:rPr>
                <w:sz w:val="16"/>
              </w:rPr>
            </w:pPr>
            <w:r>
              <w:rPr>
                <w:w w:val="94"/>
                <w:sz w:val="16"/>
              </w:rPr>
              <w:t>8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left="59"/>
              <w:rPr>
                <w:sz w:val="16"/>
              </w:rPr>
            </w:pPr>
            <w:r>
              <w:rPr>
                <w:sz w:val="16"/>
              </w:rPr>
              <w:t>6.1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spacing w:line="240" w:lineRule="auto" w:before="28"/>
              <w:ind w:left="58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2.499</w:t>
            </w:r>
            <w:r>
              <w:rPr>
                <w:rFonts w:ascii="Symbol" w:hAnsi="Symbol"/>
                <w:sz w:val="16"/>
                <w:vertAlign w:val="superscript"/>
              </w:rPr>
              <w:t>𝜔𝜔</w:t>
            </w:r>
          </w:p>
        </w:tc>
        <w:tc>
          <w:tcPr>
            <w:tcW w:w="112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56"/>
              <w:rPr>
                <w:sz w:val="16"/>
              </w:rPr>
            </w:pPr>
            <w:r>
              <w:rPr>
                <w:sz w:val="16"/>
              </w:rPr>
              <w:t>0.287</w:t>
            </w:r>
          </w:p>
        </w:tc>
      </w:tr>
      <w:tr>
        <w:trPr>
          <w:trHeight w:val="240" w:hRule="atLeast"/>
        </w:trPr>
        <w:tc>
          <w:tcPr>
            <w:tcW w:w="187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College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less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24" w:type="dxa"/>
          </w:tcPr>
          <w:p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44.1</w:t>
            </w:r>
          </w:p>
        </w:tc>
        <w:tc>
          <w:tcPr>
            <w:tcW w:w="865" w:type="dxa"/>
          </w:tcPr>
          <w:p>
            <w:pPr>
              <w:pStyle w:val="TableParagraph"/>
              <w:ind w:left="61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024" w:type="dxa"/>
          </w:tcPr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34.1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87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05"/>
                <w:sz w:val="16"/>
              </w:rPr>
              <w:t>HE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less</w:t>
            </w:r>
          </w:p>
        </w:tc>
        <w:tc>
          <w:tcPr>
            <w:tcW w:w="788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left="62"/>
              <w:rPr>
                <w:sz w:val="16"/>
              </w:rPr>
            </w:pPr>
            <w:r>
              <w:rPr>
                <w:sz w:val="16"/>
              </w:rPr>
              <w:t>49.5</w:t>
            </w:r>
          </w:p>
        </w:tc>
        <w:tc>
          <w:tcPr>
            <w:tcW w:w="865" w:type="dxa"/>
          </w:tcPr>
          <w:p>
            <w:pPr>
              <w:pStyle w:val="TableParagraph"/>
              <w:spacing w:line="183" w:lineRule="exact"/>
              <w:ind w:left="61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left="59"/>
              <w:rPr>
                <w:sz w:val="16"/>
              </w:rPr>
            </w:pPr>
            <w:r>
              <w:rPr>
                <w:sz w:val="16"/>
              </w:rPr>
              <w:t>59.8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879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5"/>
              <w:rPr>
                <w:sz w:val="16"/>
              </w:rPr>
            </w:pPr>
            <w:r>
              <w:rPr>
                <w:w w:val="95"/>
                <w:sz w:val="16"/>
              </w:rPr>
              <w:t>Marital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status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Single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024" w:type="dxa"/>
          </w:tcPr>
          <w:p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30.1</w:t>
            </w:r>
          </w:p>
        </w:tc>
        <w:tc>
          <w:tcPr>
            <w:tcW w:w="865" w:type="dxa"/>
          </w:tcPr>
          <w:p>
            <w:pPr>
              <w:pStyle w:val="TableParagraph"/>
              <w:ind w:left="61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024" w:type="dxa"/>
          </w:tcPr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34.1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spacing w:line="240" w:lineRule="auto" w:before="29"/>
              <w:ind w:left="58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1.060</w:t>
            </w:r>
            <w:r>
              <w:rPr>
                <w:rFonts w:ascii="Symbol" w:hAnsi="Symbol"/>
                <w:sz w:val="16"/>
                <w:vertAlign w:val="superscript"/>
              </w:rPr>
              <w:t>𝜔𝜔</w:t>
            </w:r>
          </w:p>
        </w:tc>
        <w:tc>
          <w:tcPr>
            <w:tcW w:w="112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56"/>
              <w:rPr>
                <w:sz w:val="16"/>
              </w:rPr>
            </w:pPr>
            <w:r>
              <w:rPr>
                <w:sz w:val="16"/>
              </w:rPr>
              <w:t>0.787</w:t>
            </w:r>
          </w:p>
        </w:tc>
      </w:tr>
      <w:tr>
        <w:trPr>
          <w:trHeight w:val="240" w:hRule="atLeast"/>
        </w:trPr>
        <w:tc>
          <w:tcPr>
            <w:tcW w:w="187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Married</w:t>
            </w:r>
          </w:p>
        </w:tc>
        <w:tc>
          <w:tcPr>
            <w:tcW w:w="788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left="62"/>
              <w:rPr>
                <w:sz w:val="16"/>
              </w:rPr>
            </w:pPr>
            <w:r>
              <w:rPr>
                <w:sz w:val="16"/>
              </w:rPr>
              <w:t>57.0</w:t>
            </w:r>
          </w:p>
        </w:tc>
        <w:tc>
          <w:tcPr>
            <w:tcW w:w="865" w:type="dxa"/>
          </w:tcPr>
          <w:p>
            <w:pPr>
              <w:pStyle w:val="TableParagraph"/>
              <w:spacing w:line="183" w:lineRule="exact"/>
              <w:ind w:left="61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left="59"/>
              <w:rPr>
                <w:sz w:val="16"/>
              </w:rPr>
            </w:pPr>
            <w:r>
              <w:rPr>
                <w:sz w:val="16"/>
              </w:rPr>
              <w:t>50.8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87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w w:val="105"/>
                <w:sz w:val="16"/>
              </w:rPr>
              <w:t>Divorced</w:t>
            </w:r>
          </w:p>
        </w:tc>
        <w:tc>
          <w:tcPr>
            <w:tcW w:w="788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w w:val="94"/>
                <w:sz w:val="16"/>
              </w:rPr>
              <w:t>5</w:t>
            </w:r>
          </w:p>
        </w:tc>
        <w:tc>
          <w:tcPr>
            <w:tcW w:w="1024" w:type="dxa"/>
          </w:tcPr>
          <w:p>
            <w:pPr>
              <w:pStyle w:val="TableParagraph"/>
              <w:spacing w:before="38"/>
              <w:ind w:left="62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865" w:type="dxa"/>
          </w:tcPr>
          <w:p>
            <w:pPr>
              <w:pStyle w:val="TableParagraph"/>
              <w:spacing w:before="38"/>
              <w:ind w:left="6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8"/>
              <w:ind w:left="59"/>
              <w:rPr>
                <w:sz w:val="16"/>
              </w:rPr>
            </w:pPr>
            <w:r>
              <w:rPr>
                <w:sz w:val="16"/>
              </w:rPr>
              <w:t>7.6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87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05"/>
                <w:sz w:val="16"/>
              </w:rPr>
              <w:t>Widow</w:t>
            </w:r>
          </w:p>
        </w:tc>
        <w:tc>
          <w:tcPr>
            <w:tcW w:w="788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94"/>
                <w:sz w:val="16"/>
              </w:rPr>
              <w:t>7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left="62"/>
              <w:rPr>
                <w:sz w:val="16"/>
              </w:rPr>
            </w:pPr>
            <w:r>
              <w:rPr>
                <w:sz w:val="16"/>
              </w:rPr>
              <w:t>7.5</w:t>
            </w:r>
          </w:p>
        </w:tc>
        <w:tc>
          <w:tcPr>
            <w:tcW w:w="865" w:type="dxa"/>
          </w:tcPr>
          <w:p>
            <w:pPr>
              <w:pStyle w:val="TableParagraph"/>
              <w:spacing w:line="183" w:lineRule="exact"/>
              <w:ind w:left="6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left="59"/>
              <w:rPr>
                <w:sz w:val="16"/>
              </w:rPr>
            </w:pPr>
            <w:r>
              <w:rPr>
                <w:sz w:val="16"/>
              </w:rPr>
              <w:t>7.6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879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0" w:lineRule="auto" w:before="38"/>
              <w:ind w:left="5"/>
              <w:rPr>
                <w:sz w:val="16"/>
              </w:rPr>
            </w:pPr>
            <w:r>
              <w:rPr>
                <w:sz w:val="16"/>
              </w:rPr>
              <w:t>Having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parents</w:t>
            </w:r>
          </w:p>
        </w:tc>
        <w:tc>
          <w:tcPr>
            <w:tcW w:w="2530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w w:val="95"/>
                <w:sz w:val="16"/>
              </w:rPr>
              <w:t>Both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parents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are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alive</w:t>
            </w:r>
          </w:p>
        </w:tc>
        <w:tc>
          <w:tcPr>
            <w:tcW w:w="788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8"/>
              <w:ind w:left="62"/>
              <w:rPr>
                <w:sz w:val="16"/>
              </w:rPr>
            </w:pPr>
            <w:r>
              <w:rPr>
                <w:sz w:val="16"/>
              </w:rPr>
              <w:t>53.8</w:t>
            </w:r>
          </w:p>
        </w:tc>
        <w:tc>
          <w:tcPr>
            <w:tcW w:w="865" w:type="dxa"/>
          </w:tcPr>
          <w:p>
            <w:pPr>
              <w:pStyle w:val="TableParagraph"/>
              <w:spacing w:before="38"/>
              <w:ind w:left="61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024" w:type="dxa"/>
          </w:tcPr>
          <w:p>
            <w:pPr>
              <w:pStyle w:val="TableParagraph"/>
              <w:spacing w:before="38"/>
              <w:ind w:left="59"/>
              <w:rPr>
                <w:sz w:val="16"/>
              </w:rPr>
            </w:pPr>
            <w:r>
              <w:rPr>
                <w:sz w:val="16"/>
              </w:rPr>
              <w:t>61.4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spacing w:line="240" w:lineRule="auto" w:before="29"/>
              <w:ind w:left="58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1.572</w:t>
            </w:r>
            <w:r>
              <w:rPr>
                <w:rFonts w:ascii="Symbol" w:hAnsi="Symbol"/>
                <w:sz w:val="16"/>
                <w:vertAlign w:val="superscript"/>
              </w:rPr>
              <w:t>𝜔𝜔</w:t>
            </w:r>
          </w:p>
        </w:tc>
        <w:tc>
          <w:tcPr>
            <w:tcW w:w="112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38"/>
              <w:ind w:left="56"/>
              <w:rPr>
                <w:sz w:val="16"/>
              </w:rPr>
            </w:pPr>
            <w:r>
              <w:rPr>
                <w:sz w:val="16"/>
              </w:rPr>
              <w:t>0.456</w:t>
            </w:r>
          </w:p>
        </w:tc>
      </w:tr>
      <w:tr>
        <w:trPr>
          <w:trHeight w:val="240" w:hRule="atLeast"/>
        </w:trPr>
        <w:tc>
          <w:tcPr>
            <w:tcW w:w="187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There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only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alive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parent</w:t>
            </w:r>
          </w:p>
        </w:tc>
        <w:tc>
          <w:tcPr>
            <w:tcW w:w="788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left="62"/>
              <w:rPr>
                <w:sz w:val="16"/>
              </w:rPr>
            </w:pPr>
            <w:r>
              <w:rPr>
                <w:sz w:val="16"/>
              </w:rPr>
              <w:t>24.7</w:t>
            </w:r>
          </w:p>
        </w:tc>
        <w:tc>
          <w:tcPr>
            <w:tcW w:w="865" w:type="dxa"/>
          </w:tcPr>
          <w:p>
            <w:pPr>
              <w:pStyle w:val="TableParagraph"/>
              <w:spacing w:line="183" w:lineRule="exact"/>
              <w:ind w:left="61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left="59"/>
              <w:rPr>
                <w:sz w:val="16"/>
              </w:rPr>
            </w:pPr>
            <w:r>
              <w:rPr>
                <w:sz w:val="16"/>
              </w:rPr>
              <w:t>22.7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87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parents</w:t>
            </w:r>
          </w:p>
        </w:tc>
        <w:tc>
          <w:tcPr>
            <w:tcW w:w="788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8"/>
              <w:ind w:left="62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  <w:tc>
          <w:tcPr>
            <w:tcW w:w="865" w:type="dxa"/>
          </w:tcPr>
          <w:p>
            <w:pPr>
              <w:pStyle w:val="TableParagraph"/>
              <w:spacing w:before="38"/>
              <w:ind w:left="6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24" w:type="dxa"/>
          </w:tcPr>
          <w:p>
            <w:pPr>
              <w:pStyle w:val="TableParagraph"/>
              <w:spacing w:before="38"/>
              <w:ind w:left="59"/>
              <w:rPr>
                <w:sz w:val="16"/>
              </w:rPr>
            </w:pPr>
            <w:r>
              <w:rPr>
                <w:sz w:val="16"/>
              </w:rPr>
              <w:t>15.9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879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5"/>
              <w:rPr>
                <w:sz w:val="16"/>
              </w:rPr>
            </w:pPr>
            <w:r>
              <w:rPr>
                <w:sz w:val="16"/>
              </w:rPr>
              <w:t>Fitzpatrick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skin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type</w:t>
            </w:r>
          </w:p>
        </w:tc>
        <w:tc>
          <w:tcPr>
            <w:tcW w:w="2530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94"/>
                <w:sz w:val="16"/>
              </w:rPr>
              <w:t>1</w:t>
            </w:r>
          </w:p>
        </w:tc>
        <w:tc>
          <w:tcPr>
            <w:tcW w:w="788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94"/>
                <w:sz w:val="16"/>
              </w:rPr>
              <w:t>9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left="62"/>
              <w:rPr>
                <w:sz w:val="16"/>
              </w:rPr>
            </w:pPr>
            <w:r>
              <w:rPr>
                <w:sz w:val="16"/>
              </w:rPr>
              <w:t>9.7</w:t>
            </w:r>
          </w:p>
        </w:tc>
        <w:tc>
          <w:tcPr>
            <w:tcW w:w="865" w:type="dxa"/>
          </w:tcPr>
          <w:p>
            <w:pPr>
              <w:pStyle w:val="TableParagraph"/>
              <w:spacing w:line="183" w:lineRule="exact"/>
              <w:ind w:left="61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left="59"/>
              <w:rPr>
                <w:sz w:val="16"/>
              </w:rPr>
            </w:pPr>
            <w:r>
              <w:rPr>
                <w:sz w:val="16"/>
              </w:rPr>
              <w:t>12.1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spacing w:line="240" w:lineRule="auto" w:before="28"/>
              <w:ind w:left="58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1.392</w:t>
            </w:r>
            <w:r>
              <w:rPr>
                <w:rFonts w:ascii="Symbol" w:hAnsi="Symbol"/>
                <w:sz w:val="16"/>
                <w:vertAlign w:val="superscript"/>
              </w:rPr>
              <w:t>𝜔𝜔</w:t>
            </w:r>
          </w:p>
        </w:tc>
        <w:tc>
          <w:tcPr>
            <w:tcW w:w="112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56"/>
              <w:rPr>
                <w:sz w:val="16"/>
              </w:rPr>
            </w:pPr>
            <w:r>
              <w:rPr>
                <w:sz w:val="16"/>
              </w:rPr>
              <w:t>0.707</w:t>
            </w:r>
          </w:p>
        </w:tc>
      </w:tr>
      <w:tr>
        <w:trPr>
          <w:trHeight w:val="239" w:hRule="atLeast"/>
        </w:trPr>
        <w:tc>
          <w:tcPr>
            <w:tcW w:w="187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w w:val="94"/>
                <w:sz w:val="16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024" w:type="dxa"/>
          </w:tcPr>
          <w:p>
            <w:pPr>
              <w:pStyle w:val="TableParagraph"/>
              <w:spacing w:before="38"/>
              <w:ind w:left="62"/>
              <w:rPr>
                <w:sz w:val="16"/>
              </w:rPr>
            </w:pPr>
            <w:r>
              <w:rPr>
                <w:sz w:val="16"/>
              </w:rPr>
              <w:t>47.3</w:t>
            </w:r>
          </w:p>
        </w:tc>
        <w:tc>
          <w:tcPr>
            <w:tcW w:w="865" w:type="dxa"/>
          </w:tcPr>
          <w:p>
            <w:pPr>
              <w:pStyle w:val="TableParagraph"/>
              <w:spacing w:before="38"/>
              <w:ind w:left="61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024" w:type="dxa"/>
          </w:tcPr>
          <w:p>
            <w:pPr>
              <w:pStyle w:val="TableParagraph"/>
              <w:spacing w:before="38"/>
              <w:ind w:left="59"/>
              <w:rPr>
                <w:sz w:val="16"/>
              </w:rPr>
            </w:pPr>
            <w:r>
              <w:rPr>
                <w:sz w:val="16"/>
              </w:rPr>
              <w:t>49.2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87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94"/>
                <w:sz w:val="16"/>
              </w:rPr>
              <w:t>3</w:t>
            </w:r>
          </w:p>
        </w:tc>
        <w:tc>
          <w:tcPr>
            <w:tcW w:w="788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left="62"/>
              <w:rPr>
                <w:sz w:val="16"/>
              </w:rPr>
            </w:pPr>
            <w:r>
              <w:rPr>
                <w:sz w:val="16"/>
              </w:rPr>
              <w:t>31.2</w:t>
            </w:r>
          </w:p>
        </w:tc>
        <w:tc>
          <w:tcPr>
            <w:tcW w:w="865" w:type="dxa"/>
          </w:tcPr>
          <w:p>
            <w:pPr>
              <w:pStyle w:val="TableParagraph"/>
              <w:spacing w:line="183" w:lineRule="exact"/>
              <w:ind w:left="6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left="59"/>
              <w:rPr>
                <w:sz w:val="16"/>
              </w:rPr>
            </w:pPr>
            <w:r>
              <w:rPr>
                <w:sz w:val="16"/>
              </w:rPr>
              <w:t>31.1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87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w w:val="94"/>
                <w:sz w:val="16"/>
              </w:rPr>
              <w:t>4</w:t>
            </w:r>
          </w:p>
        </w:tc>
        <w:tc>
          <w:tcPr>
            <w:tcW w:w="788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24" w:type="dxa"/>
          </w:tcPr>
          <w:p>
            <w:pPr>
              <w:pStyle w:val="TableParagraph"/>
              <w:spacing w:before="38"/>
              <w:ind w:left="62"/>
              <w:rPr>
                <w:sz w:val="16"/>
              </w:rPr>
            </w:pPr>
            <w:r>
              <w:rPr>
                <w:sz w:val="16"/>
              </w:rPr>
              <w:t>11.8</w:t>
            </w:r>
          </w:p>
        </w:tc>
        <w:tc>
          <w:tcPr>
            <w:tcW w:w="865" w:type="dxa"/>
          </w:tcPr>
          <w:p>
            <w:pPr>
              <w:pStyle w:val="TableParagraph"/>
              <w:spacing w:before="38"/>
              <w:ind w:left="6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8"/>
              <w:ind w:left="59"/>
              <w:rPr>
                <w:sz w:val="16"/>
              </w:rPr>
            </w:pPr>
            <w:r>
              <w:rPr>
                <w:sz w:val="16"/>
              </w:rPr>
              <w:t>7.6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879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5"/>
              <w:rPr>
                <w:sz w:val="16"/>
              </w:rPr>
            </w:pPr>
            <w:bookmarkStart w:name="_bookmark18" w:id="20"/>
            <w:bookmarkEnd w:id="20"/>
            <w:r>
              <w:rPr/>
            </w:r>
            <w:r>
              <w:rPr>
                <w:w w:val="105"/>
                <w:sz w:val="16"/>
              </w:rPr>
              <w:t>GAD-7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groups</w:t>
            </w:r>
          </w:p>
        </w:tc>
        <w:tc>
          <w:tcPr>
            <w:tcW w:w="2530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788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left="62"/>
              <w:rPr>
                <w:sz w:val="16"/>
              </w:rPr>
            </w:pPr>
            <w:r>
              <w:rPr>
                <w:sz w:val="16"/>
              </w:rPr>
              <w:t>53.80</w:t>
            </w:r>
          </w:p>
        </w:tc>
        <w:tc>
          <w:tcPr>
            <w:tcW w:w="865" w:type="dxa"/>
          </w:tcPr>
          <w:p>
            <w:pPr>
              <w:pStyle w:val="TableParagraph"/>
              <w:spacing w:line="183" w:lineRule="exact"/>
              <w:ind w:left="61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left="59"/>
              <w:rPr>
                <w:sz w:val="16"/>
              </w:rPr>
            </w:pPr>
            <w:r>
              <w:rPr>
                <w:sz w:val="16"/>
              </w:rPr>
              <w:t>82.60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spacing w:line="240" w:lineRule="auto" w:before="29"/>
              <w:ind w:left="58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27.639</w:t>
            </w:r>
            <w:r>
              <w:rPr>
                <w:rFonts w:ascii="Symbol" w:hAnsi="Symbol"/>
                <w:sz w:val="16"/>
                <w:vertAlign w:val="superscript"/>
              </w:rPr>
              <w:t>𝜔𝜔</w:t>
            </w:r>
          </w:p>
        </w:tc>
        <w:tc>
          <w:tcPr>
            <w:tcW w:w="112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14"/>
              <w:ind w:left="56"/>
              <w:rPr>
                <w:sz w:val="16"/>
              </w:rPr>
            </w:pPr>
            <w:r>
              <w:rPr>
                <w:rFonts w:ascii="Lucida Sans Unicode"/>
                <w:sz w:val="16"/>
              </w:rPr>
              <w:t>&lt;</w:t>
            </w:r>
            <w:r>
              <w:rPr>
                <w:sz w:val="16"/>
              </w:rPr>
              <w:t>0.001</w:t>
            </w:r>
          </w:p>
        </w:tc>
      </w:tr>
      <w:tr>
        <w:trPr>
          <w:trHeight w:val="240" w:hRule="atLeast"/>
        </w:trPr>
        <w:tc>
          <w:tcPr>
            <w:tcW w:w="187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w w:val="105"/>
                <w:sz w:val="16"/>
              </w:rPr>
              <w:t>Mild</w:t>
            </w:r>
          </w:p>
        </w:tc>
        <w:tc>
          <w:tcPr>
            <w:tcW w:w="788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8"/>
              <w:ind w:left="62"/>
              <w:rPr>
                <w:sz w:val="16"/>
              </w:rPr>
            </w:pPr>
            <w:r>
              <w:rPr>
                <w:sz w:val="16"/>
              </w:rPr>
              <w:t>32.30</w:t>
            </w:r>
          </w:p>
        </w:tc>
        <w:tc>
          <w:tcPr>
            <w:tcW w:w="865" w:type="dxa"/>
          </w:tcPr>
          <w:p>
            <w:pPr>
              <w:pStyle w:val="TableParagraph"/>
              <w:spacing w:before="38"/>
              <w:ind w:left="61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24" w:type="dxa"/>
          </w:tcPr>
          <w:p>
            <w:pPr>
              <w:pStyle w:val="TableParagraph"/>
              <w:spacing w:before="38"/>
              <w:ind w:left="59"/>
              <w:rPr>
                <w:sz w:val="16"/>
              </w:rPr>
            </w:pPr>
            <w:r>
              <w:rPr>
                <w:sz w:val="16"/>
              </w:rPr>
              <w:t>16.70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87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Moderate</w:t>
            </w:r>
          </w:p>
        </w:tc>
        <w:tc>
          <w:tcPr>
            <w:tcW w:w="788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94"/>
                <w:sz w:val="16"/>
              </w:rPr>
              <w:t>8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left="62"/>
              <w:rPr>
                <w:sz w:val="16"/>
              </w:rPr>
            </w:pPr>
            <w:r>
              <w:rPr>
                <w:sz w:val="16"/>
              </w:rPr>
              <w:t>8.60</w:t>
            </w:r>
          </w:p>
        </w:tc>
        <w:tc>
          <w:tcPr>
            <w:tcW w:w="865" w:type="dxa"/>
          </w:tcPr>
          <w:p>
            <w:pPr>
              <w:pStyle w:val="TableParagraph"/>
              <w:spacing w:line="183" w:lineRule="exact"/>
              <w:ind w:left="61"/>
              <w:rPr>
                <w:sz w:val="16"/>
              </w:rPr>
            </w:pPr>
            <w:r>
              <w:rPr>
                <w:w w:val="94"/>
                <w:sz w:val="16"/>
              </w:rPr>
              <w:t>1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left="59"/>
              <w:rPr>
                <w:sz w:val="16"/>
              </w:rPr>
            </w:pPr>
            <w:r>
              <w:rPr>
                <w:sz w:val="16"/>
              </w:rPr>
              <w:t>0.80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87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Severe</w:t>
            </w:r>
          </w:p>
        </w:tc>
        <w:tc>
          <w:tcPr>
            <w:tcW w:w="788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w w:val="94"/>
                <w:sz w:val="16"/>
              </w:rPr>
              <w:t>5</w:t>
            </w:r>
          </w:p>
        </w:tc>
        <w:tc>
          <w:tcPr>
            <w:tcW w:w="1024" w:type="dxa"/>
          </w:tcPr>
          <w:p>
            <w:pPr>
              <w:pStyle w:val="TableParagraph"/>
              <w:spacing w:before="38"/>
              <w:ind w:left="62"/>
              <w:rPr>
                <w:sz w:val="16"/>
              </w:rPr>
            </w:pPr>
            <w:r>
              <w:rPr>
                <w:sz w:val="16"/>
              </w:rPr>
              <w:t>5.40</w:t>
            </w:r>
          </w:p>
        </w:tc>
        <w:tc>
          <w:tcPr>
            <w:tcW w:w="865" w:type="dxa"/>
          </w:tcPr>
          <w:p>
            <w:pPr>
              <w:pStyle w:val="TableParagraph"/>
              <w:spacing w:before="38"/>
              <w:ind w:left="61"/>
              <w:rPr>
                <w:sz w:val="16"/>
              </w:rPr>
            </w:pPr>
            <w:r>
              <w:rPr>
                <w:w w:val="94"/>
                <w:sz w:val="16"/>
              </w:rPr>
              <w:t>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8"/>
              <w:ind w:left="59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44"/>
        <w:ind w:left="140" w:right="0" w:firstLine="0"/>
        <w:jc w:val="left"/>
        <w:rPr>
          <w:sz w:val="16"/>
        </w:rPr>
      </w:pPr>
      <w:r>
        <w:rPr>
          <w:rFonts w:ascii="Symbol" w:hAnsi="Symbol"/>
          <w:w w:val="95"/>
          <w:position w:val="6"/>
          <w:sz w:val="11"/>
        </w:rPr>
        <w:t>𝜔</w:t>
      </w:r>
      <w:r>
        <w:rPr>
          <w:w w:val="95"/>
          <w:sz w:val="16"/>
        </w:rPr>
        <w:t>–test</w:t>
      </w:r>
      <w:r>
        <w:rPr>
          <w:spacing w:val="13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14"/>
          <w:w w:val="95"/>
          <w:sz w:val="16"/>
        </w:rPr>
        <w:t> </w:t>
      </w:r>
      <w:r>
        <w:rPr>
          <w:w w:val="95"/>
          <w:sz w:val="16"/>
        </w:rPr>
        <w:t>difference</w:t>
      </w:r>
      <w:r>
        <w:rPr>
          <w:spacing w:val="13"/>
          <w:w w:val="95"/>
          <w:sz w:val="16"/>
        </w:rPr>
        <w:t> </w:t>
      </w:r>
      <w:r>
        <w:rPr>
          <w:w w:val="95"/>
          <w:sz w:val="16"/>
        </w:rPr>
        <w:t>was</w:t>
      </w:r>
      <w:r>
        <w:rPr>
          <w:spacing w:val="14"/>
          <w:w w:val="95"/>
          <w:sz w:val="16"/>
        </w:rPr>
        <w:t> </w:t>
      </w:r>
      <w:r>
        <w:rPr>
          <w:w w:val="95"/>
          <w:sz w:val="16"/>
        </w:rPr>
        <w:t>Mann</w:t>
      </w:r>
      <w:r>
        <w:rPr>
          <w:spacing w:val="15"/>
          <w:w w:val="95"/>
          <w:sz w:val="16"/>
        </w:rPr>
        <w:t> </w:t>
      </w:r>
      <w:r>
        <w:rPr>
          <w:w w:val="95"/>
          <w:sz w:val="16"/>
        </w:rPr>
        <w:t>Whitney</w:t>
      </w:r>
      <w:r>
        <w:rPr>
          <w:spacing w:val="11"/>
          <w:w w:val="95"/>
          <w:sz w:val="16"/>
        </w:rPr>
        <w:t> </w:t>
      </w:r>
      <w:r>
        <w:rPr>
          <w:w w:val="95"/>
          <w:sz w:val="16"/>
        </w:rPr>
        <w:t>U-test</w:t>
      </w:r>
    </w:p>
    <w:p>
      <w:pPr>
        <w:spacing w:line="295" w:lineRule="auto" w:before="26" w:after="23"/>
        <w:ind w:left="140" w:right="7719" w:firstLine="0"/>
        <w:jc w:val="left"/>
        <w:rPr>
          <w:sz w:val="16"/>
        </w:rPr>
      </w:pPr>
      <w:r>
        <w:rPr>
          <w:rFonts w:ascii="Symbol" w:hAnsi="Symbol"/>
          <w:w w:val="95"/>
          <w:position w:val="6"/>
          <w:sz w:val="11"/>
        </w:rPr>
        <w:t>𝜔𝜔</w:t>
      </w:r>
      <w:r>
        <w:rPr>
          <w:w w:val="95"/>
          <w:sz w:val="16"/>
        </w:rPr>
        <w:t>–test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difference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was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Chi-square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test</w:t>
      </w:r>
      <w:r>
        <w:rPr>
          <w:spacing w:val="1"/>
          <w:w w:val="95"/>
          <w:sz w:val="16"/>
        </w:rPr>
        <w:t> </w:t>
      </w:r>
      <w:r>
        <w:rPr>
          <w:sz w:val="16"/>
        </w:rPr>
        <w:t>HS–Higher</w:t>
      </w:r>
      <w:r>
        <w:rPr>
          <w:spacing w:val="32"/>
          <w:sz w:val="16"/>
        </w:rPr>
        <w:t> </w:t>
      </w:r>
      <w:r>
        <w:rPr>
          <w:sz w:val="16"/>
        </w:rPr>
        <w:t>School;</w:t>
      </w:r>
      <w:r>
        <w:rPr>
          <w:spacing w:val="27"/>
          <w:sz w:val="16"/>
        </w:rPr>
        <w:t> </w:t>
      </w:r>
      <w:r>
        <w:rPr>
          <w:sz w:val="16"/>
        </w:rPr>
        <w:t>HE–Higher</w:t>
      </w:r>
      <w:r>
        <w:rPr>
          <w:spacing w:val="28"/>
          <w:sz w:val="16"/>
        </w:rPr>
        <w:t> </w:t>
      </w:r>
      <w:r>
        <w:rPr>
          <w:sz w:val="16"/>
        </w:rPr>
        <w:t>Education</w:t>
      </w: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w:pict>
          <v:group style="width:540pt;height:.5pt;mso-position-horizontal-relative:char;mso-position-vertical-relative:line" coordorigin="0,0" coordsize="10800,10">
            <v:rect style="position:absolute;left:0;top:0;width:10800;height:10" filled="true" fillcolor="#949598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9"/>
        <w:ind w:left="140" w:right="0" w:firstLine="0"/>
        <w:jc w:val="left"/>
        <w:rPr>
          <w:rFonts w:ascii="Arial MT"/>
          <w:sz w:val="16"/>
        </w:rPr>
      </w:pPr>
      <w:hyperlink r:id="rId18">
        <w:r>
          <w:rPr>
            <w:rFonts w:ascii="Arial MT"/>
            <w:color w:val="3E65AC"/>
            <w:sz w:val="16"/>
          </w:rPr>
          <w:t>https://doi.org/10.1371/journal.pone.0271719.t001</w:t>
        </w:r>
      </w:hyperlink>
    </w:p>
    <w:p>
      <w:pPr>
        <w:pStyle w:val="BodyText"/>
        <w:spacing w:line="20" w:lineRule="exact"/>
        <w:ind w:left="14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50.75pt;height:.1pt;mso-position-horizontal-relative:char;mso-position-vertical-relative:line" coordorigin="0,0" coordsize="3015,2">
            <v:shape style="position:absolute;left:0;top:0;width:3015;height:2" coordorigin="0,0" coordsize="3015,0" path="m3015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5"/>
        <w:rPr>
          <w:rFonts w:ascii="Arial MT"/>
          <w:sz w:val="24"/>
        </w:rPr>
      </w:pPr>
    </w:p>
    <w:p>
      <w:pPr>
        <w:spacing w:before="94" w:after="55"/>
        <w:ind w:left="3420" w:right="0" w:firstLine="0"/>
        <w:jc w:val="left"/>
        <w:rPr>
          <w:b/>
          <w:sz w:val="16"/>
        </w:rPr>
      </w:pPr>
      <w:hyperlink w:history="true" w:anchor="_bookmark16">
        <w:r>
          <w:rPr>
            <w:b/>
            <w:spacing w:val="-1"/>
            <w:sz w:val="16"/>
          </w:rPr>
          <w:t>Table</w:t>
        </w:r>
        <w:r>
          <w:rPr>
            <w:b/>
            <w:spacing w:val="-7"/>
            <w:sz w:val="16"/>
          </w:rPr>
          <w:t> </w:t>
        </w:r>
        <w:r>
          <w:rPr>
            <w:b/>
            <w:spacing w:val="-1"/>
            <w:sz w:val="16"/>
          </w:rPr>
          <w:t>2.</w:t>
        </w:r>
      </w:hyperlink>
      <w:r>
        <w:rPr>
          <w:b/>
          <w:spacing w:val="26"/>
          <w:sz w:val="16"/>
        </w:rPr>
        <w:t> </w:t>
      </w:r>
      <w:r>
        <w:rPr>
          <w:b/>
          <w:spacing w:val="-1"/>
          <w:sz w:val="16"/>
        </w:rPr>
        <w:t>Genotype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distribution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allele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frequencies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rFonts w:ascii="Times New Roman"/>
          <w:b/>
          <w:i/>
          <w:sz w:val="16"/>
        </w:rPr>
        <w:t>CRH-R1</w:t>
      </w:r>
      <w:r>
        <w:rPr>
          <w:rFonts w:ascii="Times New Roman"/>
          <w:b/>
          <w:i/>
          <w:spacing w:val="-10"/>
          <w:sz w:val="16"/>
        </w:rPr>
        <w:t> </w:t>
      </w:r>
      <w:r>
        <w:rPr>
          <w:b/>
          <w:sz w:val="16"/>
        </w:rPr>
        <w:t>rs242924.</w:t>
      </w:r>
    </w:p>
    <w:tbl>
      <w:tblPr>
        <w:tblW w:w="0" w:type="auto"/>
        <w:jc w:val="left"/>
        <w:tblInd w:w="3422" w:type="dxa"/>
        <w:tblBorders>
          <w:top w:val="single" w:sz="4" w:space="0" w:color="949598"/>
          <w:left w:val="single" w:sz="4" w:space="0" w:color="949598"/>
          <w:bottom w:val="single" w:sz="4" w:space="0" w:color="949598"/>
          <w:right w:val="single" w:sz="4" w:space="0" w:color="949598"/>
          <w:insideH w:val="single" w:sz="4" w:space="0" w:color="949598"/>
          <w:insideV w:val="single" w:sz="4" w:space="0" w:color="94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9"/>
        <w:gridCol w:w="1771"/>
        <w:gridCol w:w="2065"/>
        <w:gridCol w:w="987"/>
        <w:gridCol w:w="1667"/>
      </w:tblGrid>
      <w:tr>
        <w:trPr>
          <w:trHeight w:val="240" w:hRule="atLeast"/>
        </w:trPr>
        <w:tc>
          <w:tcPr>
            <w:tcW w:w="1029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Alleles</w:t>
            </w:r>
          </w:p>
        </w:tc>
        <w:tc>
          <w:tcPr>
            <w:tcW w:w="1771" w:type="dxa"/>
          </w:tcPr>
          <w:p>
            <w:pPr>
              <w:pStyle w:val="TableParagraph"/>
              <w:spacing w:before="38"/>
              <w:ind w:left="4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Cases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=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93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(%)</w:t>
            </w:r>
          </w:p>
        </w:tc>
        <w:tc>
          <w:tcPr>
            <w:tcW w:w="2065" w:type="dxa"/>
          </w:tcPr>
          <w:p>
            <w:pPr>
              <w:pStyle w:val="TableParagraph"/>
              <w:spacing w:before="38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Controls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=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132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(%)</w:t>
            </w:r>
          </w:p>
        </w:tc>
        <w:tc>
          <w:tcPr>
            <w:tcW w:w="987" w:type="dxa"/>
          </w:tcPr>
          <w:p>
            <w:pPr>
              <w:pStyle w:val="TableParagraph"/>
              <w:spacing w:before="38"/>
              <w:ind w:left="44"/>
              <w:rPr>
                <w:b/>
                <w:sz w:val="16"/>
              </w:rPr>
            </w:pPr>
            <w:r>
              <w:rPr>
                <w:b/>
                <w:w w:val="113"/>
                <w:sz w:val="16"/>
              </w:rPr>
              <w:t>P</w:t>
            </w:r>
          </w:p>
        </w:tc>
        <w:tc>
          <w:tcPr>
            <w:tcW w:w="1667" w:type="dxa"/>
            <w:tcBorders>
              <w:right w:val="nil"/>
            </w:tcBorders>
          </w:tcPr>
          <w:p>
            <w:pPr>
              <w:pStyle w:val="TableParagraph"/>
              <w:spacing w:before="38"/>
              <w:ind w:left="45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OR (95% CI)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left w:val="nil"/>
            </w:tcBorders>
          </w:tcPr>
          <w:p>
            <w:pPr>
              <w:pStyle w:val="TableParagraph"/>
              <w:spacing w:line="183" w:lineRule="exact"/>
              <w:ind w:left="5"/>
              <w:rPr>
                <w:sz w:val="16"/>
              </w:rPr>
            </w:pPr>
            <w:r>
              <w:rPr>
                <w:w w:val="113"/>
                <w:sz w:val="16"/>
              </w:rPr>
              <w:t>G</w:t>
            </w:r>
          </w:p>
        </w:tc>
        <w:tc>
          <w:tcPr>
            <w:tcW w:w="1771" w:type="dxa"/>
          </w:tcPr>
          <w:p>
            <w:pPr>
              <w:pStyle w:val="TableParagraph"/>
              <w:spacing w:line="183" w:lineRule="exact"/>
              <w:ind w:left="6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(25.3%)</w:t>
            </w:r>
          </w:p>
        </w:tc>
        <w:tc>
          <w:tcPr>
            <w:tcW w:w="2065" w:type="dxa"/>
          </w:tcPr>
          <w:p>
            <w:pPr>
              <w:pStyle w:val="TableParagraph"/>
              <w:spacing w:line="183" w:lineRule="exact"/>
              <w:ind w:left="65"/>
              <w:rPr>
                <w:sz w:val="16"/>
              </w:rPr>
            </w:pPr>
            <w:r>
              <w:rPr>
                <w:sz w:val="16"/>
              </w:rPr>
              <w:t>52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(39.4%)</w:t>
            </w:r>
          </w:p>
        </w:tc>
        <w:tc>
          <w:tcPr>
            <w:tcW w:w="987" w:type="dxa"/>
            <w:vMerge w:val="restart"/>
          </w:tcPr>
          <w:p>
            <w:pPr>
              <w:pStyle w:val="TableParagraph"/>
              <w:spacing w:line="240" w:lineRule="auto"/>
              <w:ind w:left="65"/>
              <w:rPr>
                <w:sz w:val="16"/>
              </w:rPr>
            </w:pPr>
            <w:r>
              <w:rPr>
                <w:sz w:val="16"/>
              </w:rPr>
              <w:t>0.002</w:t>
            </w:r>
          </w:p>
        </w:tc>
        <w:tc>
          <w:tcPr>
            <w:tcW w:w="1667" w:type="dxa"/>
            <w:tcBorders>
              <w:right w:val="nil"/>
            </w:tcBorders>
          </w:tcPr>
          <w:p>
            <w:pPr>
              <w:pStyle w:val="TableParagraph"/>
              <w:spacing w:line="183" w:lineRule="exact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0.52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(0.34–0.79)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5"/>
              <w:rPr>
                <w:sz w:val="16"/>
              </w:rPr>
            </w:pPr>
            <w:r>
              <w:rPr>
                <w:w w:val="125"/>
                <w:sz w:val="16"/>
              </w:rPr>
              <w:t>T</w:t>
            </w:r>
          </w:p>
        </w:tc>
        <w:tc>
          <w:tcPr>
            <w:tcW w:w="1771" w:type="dxa"/>
          </w:tcPr>
          <w:p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sz w:val="16"/>
              </w:rPr>
              <w:t>69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(74.7%)</w:t>
            </w:r>
          </w:p>
        </w:tc>
        <w:tc>
          <w:tcPr>
            <w:tcW w:w="2065" w:type="dxa"/>
          </w:tcPr>
          <w:p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sz w:val="16"/>
              </w:rPr>
              <w:t>80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(60.6%)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right w:val="nil"/>
            </w:tcBorders>
          </w:tcPr>
          <w:p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1.92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(1.27–2.90)</w:t>
            </w:r>
          </w:p>
        </w:tc>
      </w:tr>
    </w:tbl>
    <w:p>
      <w:pPr>
        <w:spacing w:before="37" w:after="8"/>
        <w:ind w:left="3420" w:right="0" w:firstLine="0"/>
        <w:jc w:val="left"/>
        <w:rPr>
          <w:sz w:val="16"/>
        </w:rPr>
      </w:pPr>
      <w:r>
        <w:rPr>
          <w:sz w:val="16"/>
        </w:rPr>
        <w:t>Genotypes</w:t>
      </w:r>
    </w:p>
    <w:tbl>
      <w:tblPr>
        <w:tblW w:w="0" w:type="auto"/>
        <w:jc w:val="left"/>
        <w:tblInd w:w="3422" w:type="dxa"/>
        <w:tblBorders>
          <w:top w:val="single" w:sz="4" w:space="0" w:color="949598"/>
          <w:left w:val="single" w:sz="4" w:space="0" w:color="949598"/>
          <w:bottom w:val="single" w:sz="4" w:space="0" w:color="949598"/>
          <w:right w:val="single" w:sz="4" w:space="0" w:color="949598"/>
          <w:insideH w:val="single" w:sz="4" w:space="0" w:color="949598"/>
          <w:insideV w:val="single" w:sz="4" w:space="0" w:color="94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9"/>
        <w:gridCol w:w="1771"/>
        <w:gridCol w:w="2065"/>
        <w:gridCol w:w="987"/>
        <w:gridCol w:w="1667"/>
      </w:tblGrid>
      <w:tr>
        <w:trPr>
          <w:trHeight w:val="240" w:hRule="atLeast"/>
        </w:trPr>
        <w:tc>
          <w:tcPr>
            <w:tcW w:w="1029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5"/>
              <w:rPr>
                <w:sz w:val="16"/>
              </w:rPr>
            </w:pPr>
            <w:r>
              <w:rPr>
                <w:w w:val="115"/>
                <w:sz w:val="16"/>
              </w:rPr>
              <w:t>GG</w:t>
            </w:r>
          </w:p>
        </w:tc>
        <w:tc>
          <w:tcPr>
            <w:tcW w:w="1771" w:type="dxa"/>
          </w:tcPr>
          <w:p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sz w:val="16"/>
              </w:rPr>
              <w:t>6 (6.5%)</w:t>
            </w:r>
          </w:p>
        </w:tc>
        <w:tc>
          <w:tcPr>
            <w:tcW w:w="2065" w:type="dxa"/>
          </w:tcPr>
          <w:p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(21.2%)</w:t>
            </w:r>
          </w:p>
        </w:tc>
        <w:tc>
          <w:tcPr>
            <w:tcW w:w="987" w:type="dxa"/>
            <w:vMerge w:val="restart"/>
          </w:tcPr>
          <w:p>
            <w:pPr>
              <w:pStyle w:val="TableParagraph"/>
              <w:spacing w:line="240" w:lineRule="auto" w:before="38"/>
              <w:ind w:left="65"/>
              <w:rPr>
                <w:sz w:val="16"/>
              </w:rPr>
            </w:pPr>
            <w:r>
              <w:rPr>
                <w:sz w:val="16"/>
              </w:rPr>
              <w:t>0.007</w:t>
            </w:r>
          </w:p>
        </w:tc>
        <w:tc>
          <w:tcPr>
            <w:tcW w:w="1667" w:type="dxa"/>
            <w:tcBorders>
              <w:right w:val="nil"/>
            </w:tcBorders>
          </w:tcPr>
          <w:p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0.26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(0.10–0.65)</w:t>
            </w:r>
          </w:p>
        </w:tc>
      </w:tr>
      <w:tr>
        <w:trPr>
          <w:trHeight w:val="237" w:hRule="atLeast"/>
        </w:trPr>
        <w:tc>
          <w:tcPr>
            <w:tcW w:w="1029" w:type="dxa"/>
            <w:tcBorders>
              <w:left w:val="nil"/>
              <w:bottom w:val="single" w:sz="6" w:space="0" w:color="949598"/>
            </w:tcBorders>
          </w:tcPr>
          <w:p>
            <w:pPr>
              <w:pStyle w:val="TableParagraph"/>
              <w:spacing w:line="180" w:lineRule="exact"/>
              <w:ind w:left="5"/>
              <w:rPr>
                <w:sz w:val="16"/>
              </w:rPr>
            </w:pPr>
            <w:r>
              <w:rPr>
                <w:w w:val="120"/>
                <w:sz w:val="16"/>
              </w:rPr>
              <w:t>GT</w:t>
            </w:r>
          </w:p>
        </w:tc>
        <w:tc>
          <w:tcPr>
            <w:tcW w:w="1771" w:type="dxa"/>
            <w:tcBorders>
              <w:bottom w:val="single" w:sz="6" w:space="0" w:color="949598"/>
            </w:tcBorders>
          </w:tcPr>
          <w:p>
            <w:pPr>
              <w:pStyle w:val="TableParagraph"/>
              <w:spacing w:line="180" w:lineRule="exact"/>
              <w:ind w:left="65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(37.6%)</w:t>
            </w:r>
          </w:p>
        </w:tc>
        <w:tc>
          <w:tcPr>
            <w:tcW w:w="2065" w:type="dxa"/>
            <w:tcBorders>
              <w:bottom w:val="single" w:sz="6" w:space="0" w:color="949598"/>
            </w:tcBorders>
          </w:tcPr>
          <w:p>
            <w:pPr>
              <w:pStyle w:val="TableParagraph"/>
              <w:spacing w:line="180" w:lineRule="exact"/>
              <w:ind w:left="6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(36.4%)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bottom w:val="single" w:sz="6" w:space="0" w:color="949598"/>
              <w:right w:val="nil"/>
            </w:tcBorders>
          </w:tcPr>
          <w:p>
            <w:pPr>
              <w:pStyle w:val="TableParagraph"/>
              <w:spacing w:line="180" w:lineRule="exact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1.06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(0.61–1.83)</w:t>
            </w:r>
          </w:p>
        </w:tc>
      </w:tr>
      <w:tr>
        <w:trPr>
          <w:trHeight w:val="237" w:hRule="atLeast"/>
        </w:trPr>
        <w:tc>
          <w:tcPr>
            <w:tcW w:w="1029" w:type="dxa"/>
            <w:tcBorders>
              <w:top w:val="single" w:sz="6" w:space="0" w:color="949598"/>
              <w:left w:val="nil"/>
            </w:tcBorders>
          </w:tcPr>
          <w:p>
            <w:pPr>
              <w:pStyle w:val="TableParagraph"/>
              <w:spacing w:before="35"/>
              <w:ind w:left="5"/>
              <w:rPr>
                <w:sz w:val="16"/>
              </w:rPr>
            </w:pPr>
            <w:r>
              <w:rPr>
                <w:w w:val="125"/>
                <w:sz w:val="16"/>
              </w:rPr>
              <w:t>TT</w:t>
            </w:r>
          </w:p>
        </w:tc>
        <w:tc>
          <w:tcPr>
            <w:tcW w:w="1771" w:type="dxa"/>
            <w:tcBorders>
              <w:top w:val="single" w:sz="6" w:space="0" w:color="949598"/>
            </w:tcBorders>
          </w:tcPr>
          <w:p>
            <w:pPr>
              <w:pStyle w:val="TableParagraph"/>
              <w:spacing w:before="35"/>
              <w:ind w:left="65"/>
              <w:rPr>
                <w:sz w:val="16"/>
              </w:rPr>
            </w:pPr>
            <w:r>
              <w:rPr>
                <w:sz w:val="16"/>
              </w:rPr>
              <w:t>52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(55.9%)</w:t>
            </w:r>
          </w:p>
        </w:tc>
        <w:tc>
          <w:tcPr>
            <w:tcW w:w="2065" w:type="dxa"/>
            <w:tcBorders>
              <w:top w:val="single" w:sz="6" w:space="0" w:color="949598"/>
            </w:tcBorders>
          </w:tcPr>
          <w:p>
            <w:pPr>
              <w:pStyle w:val="TableParagraph"/>
              <w:spacing w:before="35"/>
              <w:ind w:left="65"/>
              <w:rPr>
                <w:sz w:val="16"/>
              </w:rPr>
            </w:pPr>
            <w:r>
              <w:rPr>
                <w:sz w:val="16"/>
              </w:rPr>
              <w:t>56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(42.4%)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single" w:sz="6" w:space="0" w:color="949598"/>
              <w:right w:val="nil"/>
            </w:tcBorders>
          </w:tcPr>
          <w:p>
            <w:pPr>
              <w:pStyle w:val="TableParagraph"/>
              <w:spacing w:before="35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1.72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(1.01–2.94)</w:t>
            </w:r>
          </w:p>
        </w:tc>
      </w:tr>
    </w:tbl>
    <w:p>
      <w:pPr>
        <w:spacing w:before="139"/>
        <w:ind w:left="3420" w:right="0" w:firstLine="0"/>
        <w:jc w:val="left"/>
        <w:rPr>
          <w:sz w:val="16"/>
        </w:rPr>
      </w:pPr>
      <w:r>
        <w:rPr>
          <w:spacing w:val="-1"/>
          <w:sz w:val="16"/>
        </w:rPr>
        <w:t>P </w:t>
      </w:r>
      <w:r>
        <w:rPr>
          <w:rFonts w:ascii="Lucida Sans Unicode"/>
          <w:spacing w:val="-1"/>
          <w:sz w:val="16"/>
        </w:rPr>
        <w:t>&lt;</w:t>
      </w:r>
      <w:r>
        <w:rPr>
          <w:rFonts w:ascii="Lucida Sans Unicode"/>
          <w:spacing w:val="-14"/>
          <w:sz w:val="16"/>
        </w:rPr>
        <w:t> </w:t>
      </w:r>
      <w:r>
        <w:rPr>
          <w:spacing w:val="-1"/>
          <w:sz w:val="16"/>
        </w:rPr>
        <w:t>0.05</w:t>
      </w:r>
      <w:r>
        <w:rPr>
          <w:spacing w:val="1"/>
          <w:sz w:val="16"/>
        </w:rPr>
        <w:t> </w:t>
      </w:r>
      <w:r>
        <w:rPr>
          <w:sz w:val="16"/>
        </w:rPr>
        <w:t>is significant</w:t>
      </w:r>
    </w:p>
    <w:p>
      <w:pPr>
        <w:spacing w:before="17"/>
        <w:ind w:left="3420" w:right="0" w:firstLine="0"/>
        <w:jc w:val="left"/>
        <w:rPr>
          <w:sz w:val="16"/>
        </w:rPr>
      </w:pPr>
      <w:r>
        <w:rPr>
          <w:sz w:val="16"/>
        </w:rPr>
        <w:t>OR–Odds</w:t>
      </w:r>
      <w:r>
        <w:rPr>
          <w:spacing w:val="16"/>
          <w:sz w:val="16"/>
        </w:rPr>
        <w:t> </w:t>
      </w:r>
      <w:r>
        <w:rPr>
          <w:sz w:val="16"/>
        </w:rPr>
        <w:t>Ratio</w:t>
      </w:r>
      <w:r>
        <w:rPr>
          <w:spacing w:val="16"/>
          <w:sz w:val="16"/>
        </w:rPr>
        <w:t> </w:t>
      </w:r>
      <w:r>
        <w:rPr>
          <w:sz w:val="16"/>
        </w:rPr>
        <w:t>(95%</w:t>
      </w:r>
      <w:r>
        <w:rPr>
          <w:spacing w:val="16"/>
          <w:sz w:val="16"/>
        </w:rPr>
        <w:t> </w:t>
      </w:r>
      <w:r>
        <w:rPr>
          <w:sz w:val="16"/>
        </w:rPr>
        <w:t>CI—95%</w:t>
      </w:r>
      <w:r>
        <w:rPr>
          <w:spacing w:val="16"/>
          <w:sz w:val="16"/>
        </w:rPr>
        <w:t> </w:t>
      </w:r>
      <w:r>
        <w:rPr>
          <w:sz w:val="16"/>
        </w:rPr>
        <w:t>Confidence</w:t>
      </w:r>
      <w:r>
        <w:rPr>
          <w:spacing w:val="14"/>
          <w:sz w:val="16"/>
        </w:rPr>
        <w:t> </w:t>
      </w:r>
      <w:r>
        <w:rPr>
          <w:sz w:val="16"/>
        </w:rPr>
        <w:t>Interval)</w:t>
      </w:r>
    </w:p>
    <w:p>
      <w:pPr>
        <w:spacing w:before="45"/>
        <w:ind w:left="3420" w:right="0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multiplicative</w:t>
      </w:r>
      <w:r>
        <w:rPr>
          <w:spacing w:val="-7"/>
          <w:sz w:val="16"/>
        </w:rPr>
        <w:t> </w:t>
      </w:r>
      <w:r>
        <w:rPr>
          <w:sz w:val="16"/>
        </w:rPr>
        <w:t>model</w:t>
      </w:r>
      <w:r>
        <w:rPr>
          <w:spacing w:val="-7"/>
          <w:sz w:val="16"/>
        </w:rPr>
        <w:t> </w:t>
      </w:r>
      <w:r>
        <w:rPr>
          <w:sz w:val="16"/>
        </w:rPr>
        <w:t>(df</w:t>
      </w:r>
      <w:r>
        <w:rPr>
          <w:spacing w:val="-7"/>
          <w:sz w:val="16"/>
        </w:rPr>
        <w:t> </w:t>
      </w:r>
      <w:r>
        <w:rPr>
          <w:sz w:val="16"/>
        </w:rPr>
        <w:t>=</w:t>
      </w:r>
      <w:r>
        <w:rPr>
          <w:spacing w:val="-7"/>
          <w:sz w:val="16"/>
        </w:rPr>
        <w:t> </w:t>
      </w:r>
      <w:r>
        <w:rPr>
          <w:sz w:val="16"/>
        </w:rPr>
        <w:t>1)</w:t>
      </w:r>
      <w:r>
        <w:rPr>
          <w:spacing w:val="-6"/>
          <w:sz w:val="16"/>
        </w:rPr>
        <w:t> </w:t>
      </w:r>
      <w:r>
        <w:rPr>
          <w:sz w:val="16"/>
        </w:rPr>
        <w:t>was</w:t>
      </w:r>
      <w:r>
        <w:rPr>
          <w:spacing w:val="-7"/>
          <w:sz w:val="16"/>
        </w:rPr>
        <w:t> </w:t>
      </w:r>
      <w:r>
        <w:rPr>
          <w:sz w:val="16"/>
        </w:rPr>
        <w:t>used</w:t>
      </w:r>
      <w:r>
        <w:rPr>
          <w:spacing w:val="-7"/>
          <w:sz w:val="16"/>
        </w:rPr>
        <w:t> </w:t>
      </w:r>
      <w:r>
        <w:rPr>
          <w:sz w:val="16"/>
        </w:rPr>
        <w:t>to</w:t>
      </w:r>
      <w:r>
        <w:rPr>
          <w:spacing w:val="-7"/>
          <w:sz w:val="16"/>
        </w:rPr>
        <w:t> </w:t>
      </w:r>
      <w:r>
        <w:rPr>
          <w:sz w:val="16"/>
        </w:rPr>
        <w:t>identify</w:t>
      </w:r>
      <w:r>
        <w:rPr>
          <w:spacing w:val="-7"/>
          <w:sz w:val="16"/>
        </w:rPr>
        <w:t> </w:t>
      </w:r>
      <w:r>
        <w:rPr>
          <w:sz w:val="16"/>
        </w:rPr>
        <w:t>the</w:t>
      </w:r>
      <w:r>
        <w:rPr>
          <w:spacing w:val="-7"/>
          <w:sz w:val="16"/>
        </w:rPr>
        <w:t> </w:t>
      </w:r>
      <w:r>
        <w:rPr>
          <w:sz w:val="16"/>
        </w:rPr>
        <w:t>association</w:t>
      </w:r>
      <w:r>
        <w:rPr>
          <w:spacing w:val="-7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z w:val="16"/>
        </w:rPr>
        <w:t>alleles</w:t>
      </w:r>
      <w:r>
        <w:rPr>
          <w:spacing w:val="-8"/>
          <w:sz w:val="16"/>
        </w:rPr>
        <w:t> </w:t>
      </w:r>
      <w:r>
        <w:rPr>
          <w:sz w:val="16"/>
        </w:rPr>
        <w:t>with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7"/>
          <w:sz w:val="16"/>
        </w:rPr>
        <w:t> </w:t>
      </w:r>
      <w:r>
        <w:rPr>
          <w:sz w:val="16"/>
        </w:rPr>
        <w:t>disease</w:t>
      </w:r>
    </w:p>
    <w:p>
      <w:pPr>
        <w:spacing w:before="44"/>
        <w:ind w:left="3420" w:right="0" w:firstLine="0"/>
        <w:jc w:val="left"/>
        <w:rPr>
          <w:sz w:val="16"/>
        </w:rPr>
      </w:pPr>
      <w:r>
        <w:rPr/>
        <w:pict>
          <v:rect style="position:absolute;margin-left:200pt;margin-top:15.342397pt;width:376pt;height:.5pt;mso-position-horizontal-relative:page;mso-position-vertical-relative:paragraph;z-index:-15707648;mso-wrap-distance-left:0;mso-wrap-distance-right:0" filled="true" fillcolor="#949598" stroked="false">
            <v:fill type="solid"/>
            <w10:wrap type="topAndBottom"/>
          </v:rect>
        </w:pict>
      </w:r>
      <w:r>
        <w:rPr>
          <w:w w:val="95"/>
          <w:sz w:val="16"/>
        </w:rPr>
        <w:t>A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general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inheritance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model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(df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=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2)</w:t>
      </w:r>
      <w:r>
        <w:rPr>
          <w:spacing w:val="12"/>
          <w:w w:val="95"/>
          <w:sz w:val="16"/>
        </w:rPr>
        <w:t> </w:t>
      </w:r>
      <w:r>
        <w:rPr>
          <w:w w:val="95"/>
          <w:sz w:val="16"/>
        </w:rPr>
        <w:t>was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used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to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identify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the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association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genotypes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with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the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disease</w:t>
      </w:r>
    </w:p>
    <w:p>
      <w:pPr>
        <w:spacing w:before="61"/>
        <w:ind w:left="3420" w:right="0" w:firstLine="0"/>
        <w:jc w:val="left"/>
        <w:rPr>
          <w:rFonts w:ascii="Arial MT"/>
          <w:sz w:val="16"/>
        </w:rPr>
      </w:pPr>
      <w:hyperlink r:id="rId19">
        <w:r>
          <w:rPr>
            <w:rFonts w:ascii="Arial MT"/>
            <w:color w:val="3E65AC"/>
            <w:sz w:val="16"/>
          </w:rPr>
          <w:t>https://doi.org/10.1371/journal.pone.0271719.t002</w:t>
        </w:r>
      </w:hyperlink>
    </w:p>
    <w:p>
      <w:pPr>
        <w:pStyle w:val="BodyText"/>
        <w:spacing w:line="20" w:lineRule="exact"/>
        <w:ind w:left="342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50.75pt;height:.1pt;mso-position-horizontal-relative:char;mso-position-vertical-relative:line" coordorigin="0,0" coordsize="3015,2">
            <v:shape style="position:absolute;left:0;top:0;width:3015;height:2" coordorigin="0,0" coordsize="3015,0" path="m3015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spacing w:after="0" w:line="20" w:lineRule="exact"/>
        <w:rPr>
          <w:rFonts w:ascii="Arial MT"/>
          <w:sz w:val="2"/>
        </w:rPr>
        <w:sectPr>
          <w:pgSz w:w="12240" w:h="15840"/>
          <w:pgMar w:header="705" w:footer="680" w:top="1080" w:bottom="880" w:left="580" w:right="600"/>
        </w:sectPr>
      </w:pPr>
    </w:p>
    <w:p>
      <w:pPr>
        <w:pStyle w:val="BodyText"/>
        <w:spacing w:before="10"/>
        <w:rPr>
          <w:rFonts w:ascii="Arial MT"/>
          <w:sz w:val="27"/>
        </w:rPr>
      </w:pPr>
    </w:p>
    <w:p>
      <w:pPr>
        <w:spacing w:line="235" w:lineRule="auto" w:before="98" w:after="53"/>
        <w:ind w:left="3420" w:right="125" w:firstLine="0"/>
        <w:jc w:val="left"/>
        <w:rPr>
          <w:b/>
          <w:sz w:val="16"/>
        </w:rPr>
      </w:pPr>
      <w:bookmarkStart w:name="_bookmark19" w:id="21"/>
      <w:bookmarkEnd w:id="21"/>
      <w:r>
        <w:rPr/>
      </w:r>
      <w:bookmarkStart w:name="_bookmark20" w:id="22"/>
      <w:bookmarkEnd w:id="22"/>
      <w:r>
        <w:rPr/>
      </w:r>
      <w:hyperlink w:history="true" w:anchor="_bookmark20">
        <w:r>
          <w:rPr>
            <w:b/>
            <w:spacing w:val="-1"/>
            <w:sz w:val="16"/>
          </w:rPr>
          <w:t>Table</w:t>
        </w:r>
        <w:r>
          <w:rPr>
            <w:b/>
            <w:spacing w:val="-7"/>
            <w:sz w:val="16"/>
          </w:rPr>
          <w:t> </w:t>
        </w:r>
        <w:r>
          <w:rPr>
            <w:b/>
            <w:sz w:val="16"/>
          </w:rPr>
          <w:t>3.</w:t>
        </w:r>
      </w:hyperlink>
      <w:r>
        <w:rPr>
          <w:b/>
          <w:spacing w:val="24"/>
          <w:sz w:val="16"/>
        </w:rPr>
        <w:t> </w:t>
      </w:r>
      <w:r>
        <w:rPr>
          <w:b/>
          <w:sz w:val="16"/>
        </w:rPr>
        <w:t>Statistical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association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between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serum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CRH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levels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rFonts w:ascii="Times New Roman"/>
          <w:b/>
          <w:i/>
          <w:sz w:val="16"/>
        </w:rPr>
        <w:t>CRH-R1</w:t>
      </w:r>
      <w:r>
        <w:rPr>
          <w:rFonts w:ascii="Times New Roman"/>
          <w:b/>
          <w:i/>
          <w:spacing w:val="-10"/>
          <w:sz w:val="16"/>
        </w:rPr>
        <w:t> </w:t>
      </w:r>
      <w:r>
        <w:rPr>
          <w:b/>
          <w:sz w:val="16"/>
        </w:rPr>
        <w:t>rs242924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genotypes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case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con-</w:t>
      </w:r>
      <w:r>
        <w:rPr>
          <w:b/>
          <w:spacing w:val="-33"/>
          <w:sz w:val="16"/>
        </w:rPr>
        <w:t> </w:t>
      </w:r>
      <w:r>
        <w:rPr>
          <w:b/>
          <w:sz w:val="16"/>
        </w:rPr>
        <w:t>trol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groups.</w:t>
      </w:r>
    </w:p>
    <w:tbl>
      <w:tblPr>
        <w:tblW w:w="0" w:type="auto"/>
        <w:jc w:val="left"/>
        <w:tblInd w:w="3422" w:type="dxa"/>
        <w:tblBorders>
          <w:top w:val="single" w:sz="4" w:space="0" w:color="949598"/>
          <w:left w:val="single" w:sz="4" w:space="0" w:color="949598"/>
          <w:bottom w:val="single" w:sz="4" w:space="0" w:color="949598"/>
          <w:right w:val="single" w:sz="4" w:space="0" w:color="949598"/>
          <w:insideH w:val="single" w:sz="4" w:space="0" w:color="949598"/>
          <w:insideV w:val="single" w:sz="4" w:space="0" w:color="94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5"/>
        <w:gridCol w:w="1653"/>
        <w:gridCol w:w="1653"/>
        <w:gridCol w:w="1653"/>
        <w:gridCol w:w="887"/>
      </w:tblGrid>
      <w:tr>
        <w:trPr>
          <w:trHeight w:val="240" w:hRule="atLeast"/>
        </w:trPr>
        <w:tc>
          <w:tcPr>
            <w:tcW w:w="1675" w:type="dxa"/>
            <w:tcBorders>
              <w:left w:val="nil"/>
            </w:tcBorders>
          </w:tcPr>
          <w:p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bookmarkStart w:name="_bookmark21" w:id="23"/>
            <w:bookmarkEnd w:id="23"/>
            <w:r>
              <w:rPr/>
            </w:r>
            <w:r>
              <w:rPr>
                <w:b/>
                <w:sz w:val="16"/>
              </w:rPr>
              <w:t>Study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z w:val="16"/>
              </w:rPr>
              <w:t>group</w:t>
            </w:r>
          </w:p>
        </w:tc>
        <w:tc>
          <w:tcPr>
            <w:tcW w:w="1653" w:type="dxa"/>
            <w:tcBorders>
              <w:right w:val="single" w:sz="6" w:space="0" w:color="949598"/>
            </w:tcBorders>
          </w:tcPr>
          <w:p>
            <w:pPr>
              <w:pStyle w:val="TableParagraph"/>
              <w:spacing w:line="183" w:lineRule="exact"/>
              <w:ind w:left="45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GG</w:t>
            </w:r>
          </w:p>
        </w:tc>
        <w:tc>
          <w:tcPr>
            <w:tcW w:w="1653" w:type="dxa"/>
            <w:tcBorders>
              <w:left w:val="single" w:sz="6" w:space="0" w:color="949598"/>
            </w:tcBorders>
          </w:tcPr>
          <w:p>
            <w:pPr>
              <w:pStyle w:val="TableParagraph"/>
              <w:spacing w:line="183" w:lineRule="exact"/>
              <w:ind w:left="41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GT</w:t>
            </w:r>
          </w:p>
        </w:tc>
        <w:tc>
          <w:tcPr>
            <w:tcW w:w="1653" w:type="dxa"/>
          </w:tcPr>
          <w:p>
            <w:pPr>
              <w:pStyle w:val="TableParagraph"/>
              <w:spacing w:line="183" w:lineRule="exact"/>
              <w:ind w:left="44"/>
              <w:rPr>
                <w:b/>
                <w:sz w:val="16"/>
              </w:rPr>
            </w:pPr>
            <w:r>
              <w:rPr>
                <w:b/>
                <w:w w:val="130"/>
                <w:sz w:val="16"/>
              </w:rPr>
              <w:t>TT</w:t>
            </w:r>
          </w:p>
        </w:tc>
        <w:tc>
          <w:tcPr>
            <w:tcW w:w="887" w:type="dxa"/>
            <w:tcBorders>
              <w:right w:val="nil"/>
            </w:tcBorders>
          </w:tcPr>
          <w:p>
            <w:pPr>
              <w:pStyle w:val="TableParagraph"/>
              <w:spacing w:line="172" w:lineRule="auto" w:before="46"/>
              <w:ind w:left="44"/>
              <w:rPr>
                <w:rFonts w:ascii="Symbol" w:hAnsi="Symbol"/>
                <w:sz w:val="11"/>
              </w:rPr>
            </w:pPr>
            <w:r>
              <w:rPr>
                <w:b/>
                <w:position w:val="-5"/>
                <w:sz w:val="16"/>
              </w:rPr>
              <w:t>p</w:t>
            </w:r>
            <w:r>
              <w:rPr>
                <w:rFonts w:ascii="Symbol" w:hAnsi="Symbol"/>
                <w:sz w:val="11"/>
              </w:rPr>
              <w:t>𝜔</w:t>
            </w:r>
          </w:p>
        </w:tc>
      </w:tr>
      <w:tr>
        <w:trPr>
          <w:trHeight w:val="240" w:hRule="atLeast"/>
        </w:trPr>
        <w:tc>
          <w:tcPr>
            <w:tcW w:w="1675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Cases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93</w:t>
            </w:r>
          </w:p>
        </w:tc>
        <w:tc>
          <w:tcPr>
            <w:tcW w:w="1653" w:type="dxa"/>
            <w:tcBorders>
              <w:right w:val="single" w:sz="6" w:space="0" w:color="949598"/>
            </w:tcBorders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w w:val="95"/>
                <w:sz w:val="16"/>
              </w:rPr>
              <w:t>5.91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(2.66–7.36)</w:t>
            </w:r>
          </w:p>
        </w:tc>
        <w:tc>
          <w:tcPr>
            <w:tcW w:w="1653" w:type="dxa"/>
            <w:tcBorders>
              <w:left w:val="single" w:sz="6" w:space="0" w:color="949598"/>
            </w:tcBorders>
          </w:tcPr>
          <w:p>
            <w:pPr>
              <w:pStyle w:val="TableParagraph"/>
              <w:spacing w:before="38"/>
              <w:ind w:left="62"/>
              <w:rPr>
                <w:sz w:val="16"/>
              </w:rPr>
            </w:pPr>
            <w:r>
              <w:rPr>
                <w:w w:val="95"/>
                <w:sz w:val="16"/>
              </w:rPr>
              <w:t>5.91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(2.48–7.71)</w:t>
            </w:r>
          </w:p>
        </w:tc>
        <w:tc>
          <w:tcPr>
            <w:tcW w:w="1653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w w:val="95"/>
                <w:sz w:val="16"/>
              </w:rPr>
              <w:t>7.30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(2.41–8.84)</w:t>
            </w:r>
          </w:p>
        </w:tc>
        <w:tc>
          <w:tcPr>
            <w:tcW w:w="887" w:type="dxa"/>
            <w:tcBorders>
              <w:right w:val="nil"/>
            </w:tcBorders>
          </w:tcPr>
          <w:p>
            <w:pPr>
              <w:pStyle w:val="TableParagraph"/>
              <w:spacing w:before="38"/>
              <w:ind w:left="63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</w:tr>
      <w:tr>
        <w:trPr>
          <w:trHeight w:val="240" w:hRule="atLeast"/>
        </w:trPr>
        <w:tc>
          <w:tcPr>
            <w:tcW w:w="1675" w:type="dxa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Controls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132</w:t>
            </w:r>
          </w:p>
        </w:tc>
        <w:tc>
          <w:tcPr>
            <w:tcW w:w="1653" w:type="dxa"/>
            <w:tcBorders>
              <w:right w:val="single" w:sz="6" w:space="0" w:color="949598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3.19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(2.40–3.84)</w:t>
            </w:r>
          </w:p>
        </w:tc>
        <w:tc>
          <w:tcPr>
            <w:tcW w:w="1653" w:type="dxa"/>
            <w:tcBorders>
              <w:left w:val="single" w:sz="6" w:space="0" w:color="949598"/>
            </w:tcBorders>
          </w:tcPr>
          <w:p>
            <w:pPr>
              <w:pStyle w:val="TableParagraph"/>
              <w:ind w:left="62"/>
              <w:rPr>
                <w:sz w:val="16"/>
              </w:rPr>
            </w:pPr>
            <w:r>
              <w:rPr>
                <w:w w:val="95"/>
                <w:sz w:val="16"/>
              </w:rPr>
              <w:t>3.47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(2.91–3.95)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2.97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(1.87–4.09)</w:t>
            </w:r>
          </w:p>
        </w:tc>
        <w:tc>
          <w:tcPr>
            <w:tcW w:w="887" w:type="dxa"/>
            <w:tcBorders>
              <w:right w:val="nil"/>
            </w:tcBorders>
          </w:tcPr>
          <w:p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</w:tr>
      <w:tr>
        <w:trPr>
          <w:trHeight w:val="237" w:hRule="atLeast"/>
        </w:trPr>
        <w:tc>
          <w:tcPr>
            <w:tcW w:w="1675" w:type="dxa"/>
            <w:tcBorders>
              <w:left w:val="nil"/>
              <w:bottom w:val="single" w:sz="6" w:space="0" w:color="949598"/>
            </w:tcBorders>
          </w:tcPr>
          <w:p>
            <w:pPr>
              <w:pStyle w:val="TableParagraph"/>
              <w:spacing w:line="172" w:lineRule="auto" w:before="46"/>
              <w:ind w:left="5"/>
              <w:rPr>
                <w:rFonts w:ascii="Symbol" w:hAnsi="Symbol"/>
                <w:sz w:val="11"/>
              </w:rPr>
            </w:pPr>
            <w:r>
              <w:rPr>
                <w:position w:val="-5"/>
                <w:sz w:val="16"/>
              </w:rPr>
              <w:t>p</w:t>
            </w:r>
            <w:r>
              <w:rPr>
                <w:rFonts w:ascii="Symbol" w:hAnsi="Symbol"/>
                <w:sz w:val="11"/>
              </w:rPr>
              <w:t>𝜔𝜔</w:t>
            </w:r>
          </w:p>
        </w:tc>
        <w:tc>
          <w:tcPr>
            <w:tcW w:w="1653" w:type="dxa"/>
            <w:tcBorders>
              <w:bottom w:val="single" w:sz="6" w:space="0" w:color="949598"/>
              <w:right w:val="single" w:sz="6" w:space="0" w:color="949598"/>
            </w:tcBorders>
          </w:tcPr>
          <w:p>
            <w:pPr>
              <w:pStyle w:val="TableParagraph"/>
              <w:spacing w:line="179" w:lineRule="exact" w:before="38"/>
              <w:rPr>
                <w:sz w:val="16"/>
              </w:rPr>
            </w:pPr>
            <w:r>
              <w:rPr>
                <w:sz w:val="16"/>
              </w:rPr>
              <w:t>0.09</w:t>
            </w:r>
          </w:p>
        </w:tc>
        <w:tc>
          <w:tcPr>
            <w:tcW w:w="1653" w:type="dxa"/>
            <w:tcBorders>
              <w:left w:val="single" w:sz="6" w:space="0" w:color="949598"/>
              <w:bottom w:val="single" w:sz="6" w:space="0" w:color="949598"/>
            </w:tcBorders>
          </w:tcPr>
          <w:p>
            <w:pPr>
              <w:pStyle w:val="TableParagraph"/>
              <w:spacing w:line="179" w:lineRule="exact" w:before="38"/>
              <w:ind w:left="62"/>
              <w:rPr>
                <w:sz w:val="16"/>
              </w:rPr>
            </w:pPr>
            <w:r>
              <w:rPr>
                <w:sz w:val="16"/>
              </w:rPr>
              <w:t>0.08</w:t>
            </w:r>
          </w:p>
        </w:tc>
        <w:tc>
          <w:tcPr>
            <w:tcW w:w="1653" w:type="dxa"/>
            <w:tcBorders>
              <w:bottom w:val="single" w:sz="6" w:space="0" w:color="949598"/>
            </w:tcBorders>
          </w:tcPr>
          <w:p>
            <w:pPr>
              <w:pStyle w:val="TableParagraph"/>
              <w:spacing w:line="179" w:lineRule="exact" w:before="38"/>
              <w:rPr>
                <w:sz w:val="16"/>
              </w:rPr>
            </w:pPr>
            <w:r>
              <w:rPr>
                <w:sz w:val="16"/>
              </w:rPr>
              <w:t>0.001</w:t>
            </w:r>
          </w:p>
        </w:tc>
        <w:tc>
          <w:tcPr>
            <w:tcW w:w="887" w:type="dxa"/>
            <w:tcBorders>
              <w:bottom w:val="single" w:sz="6" w:space="0" w:color="949598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  <w:rPr>
          <w:b/>
          <w:sz w:val="13"/>
        </w:rPr>
      </w:pPr>
    </w:p>
    <w:p>
      <w:pPr>
        <w:spacing w:before="0"/>
        <w:ind w:left="3420" w:right="0" w:firstLine="0"/>
        <w:jc w:val="left"/>
        <w:rPr>
          <w:sz w:val="16"/>
        </w:rPr>
      </w:pPr>
      <w:bookmarkStart w:name="_bookmark22" w:id="24"/>
      <w:bookmarkEnd w:id="24"/>
      <w:r>
        <w:rPr/>
      </w:r>
      <w:r>
        <w:rPr>
          <w:sz w:val="16"/>
        </w:rPr>
        <w:t>Data</w:t>
      </w:r>
      <w:r>
        <w:rPr>
          <w:spacing w:val="6"/>
          <w:sz w:val="16"/>
        </w:rPr>
        <w:t> </w:t>
      </w:r>
      <w:r>
        <w:rPr>
          <w:sz w:val="16"/>
        </w:rPr>
        <w:t>are</w:t>
      </w:r>
      <w:r>
        <w:rPr>
          <w:spacing w:val="7"/>
          <w:sz w:val="16"/>
        </w:rPr>
        <w:t> </w:t>
      </w:r>
      <w:r>
        <w:rPr>
          <w:sz w:val="16"/>
        </w:rPr>
        <w:t>given</w:t>
      </w:r>
      <w:r>
        <w:rPr>
          <w:spacing w:val="6"/>
          <w:sz w:val="16"/>
        </w:rPr>
        <w:t> </w:t>
      </w:r>
      <w:r>
        <w:rPr>
          <w:sz w:val="16"/>
        </w:rPr>
        <w:t>as</w:t>
      </w:r>
      <w:r>
        <w:rPr>
          <w:spacing w:val="8"/>
          <w:sz w:val="16"/>
        </w:rPr>
        <w:t> </w:t>
      </w:r>
      <w:r>
        <w:rPr>
          <w:sz w:val="16"/>
        </w:rPr>
        <w:t>Me</w:t>
      </w:r>
      <w:r>
        <w:rPr>
          <w:spacing w:val="6"/>
          <w:sz w:val="16"/>
        </w:rPr>
        <w:t> </w:t>
      </w:r>
      <w:r>
        <w:rPr>
          <w:sz w:val="16"/>
        </w:rPr>
        <w:t>(Q</w:t>
      </w:r>
      <w:r>
        <w:rPr>
          <w:sz w:val="16"/>
          <w:vertAlign w:val="subscript"/>
        </w:rPr>
        <w:t>1</w:t>
      </w:r>
      <w:r>
        <w:rPr>
          <w:sz w:val="16"/>
          <w:vertAlign w:val="baseline"/>
        </w:rPr>
        <w:t>-Q</w:t>
      </w:r>
      <w:r>
        <w:rPr>
          <w:sz w:val="16"/>
          <w:vertAlign w:val="subscript"/>
        </w:rPr>
        <w:t>3</w:t>
      </w:r>
      <w:r>
        <w:rPr>
          <w:sz w:val="16"/>
          <w:vertAlign w:val="baseline"/>
        </w:rPr>
        <w:t>)</w:t>
      </w:r>
    </w:p>
    <w:p>
      <w:pPr>
        <w:spacing w:line="283" w:lineRule="auto" w:before="37"/>
        <w:ind w:left="3420" w:right="1290" w:firstLine="0"/>
        <w:jc w:val="left"/>
        <w:rPr>
          <w:sz w:val="16"/>
        </w:rPr>
      </w:pPr>
      <w:r>
        <w:rPr/>
        <w:pict>
          <v:rect style="position:absolute;margin-left:200pt;margin-top:27.392702pt;width:376pt;height:.5pt;mso-position-horizontal-relative:page;mso-position-vertical-relative:paragraph;z-index:-15706624;mso-wrap-distance-left:0;mso-wrap-distance-right:0" filled="true" fillcolor="#949598" stroked="false">
            <v:fill type="solid"/>
            <w10:wrap type="topAndBottom"/>
          </v:rect>
        </w:pict>
      </w:r>
      <w:r>
        <w:rPr>
          <w:sz w:val="16"/>
        </w:rPr>
        <w:t>p</w:t>
      </w:r>
      <w:r>
        <w:rPr>
          <w:rFonts w:ascii="Symbol" w:hAnsi="Symbol"/>
          <w:sz w:val="16"/>
          <w:vertAlign w:val="superscript"/>
        </w:rPr>
        <w:t>𝜔</w:t>
      </w:r>
      <w:r>
        <w:rPr>
          <w:sz w:val="16"/>
          <w:vertAlign w:val="baseline"/>
        </w:rPr>
        <w:t>–P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value of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CRH levels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between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GG,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GT,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genotypes in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both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control groups</w:t>
      </w:r>
      <w:r>
        <w:rPr>
          <w:spacing w:val="-33"/>
          <w:sz w:val="16"/>
          <w:vertAlign w:val="baseline"/>
        </w:rPr>
        <w:t> </w:t>
      </w:r>
      <w:r>
        <w:rPr>
          <w:sz w:val="16"/>
          <w:vertAlign w:val="baseline"/>
        </w:rPr>
        <w:t>p</w:t>
      </w:r>
      <w:r>
        <w:rPr>
          <w:rFonts w:ascii="Symbol" w:hAnsi="Symbol"/>
          <w:sz w:val="16"/>
          <w:vertAlign w:val="superscript"/>
        </w:rPr>
        <w:t>𝜔𝜔</w:t>
      </w:r>
      <w:r>
        <w:rPr>
          <w:sz w:val="16"/>
          <w:vertAlign w:val="baseline"/>
        </w:rPr>
        <w:t>–P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value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between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CRH levels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within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genotype subgroup</w:t>
      </w:r>
    </w:p>
    <w:p>
      <w:pPr>
        <w:spacing w:before="60"/>
        <w:ind w:left="3420" w:right="0" w:firstLine="0"/>
        <w:jc w:val="left"/>
        <w:rPr>
          <w:rFonts w:ascii="Arial MT"/>
          <w:sz w:val="16"/>
        </w:rPr>
      </w:pPr>
      <w:hyperlink r:id="rId20">
        <w:r>
          <w:rPr>
            <w:rFonts w:ascii="Arial MT"/>
            <w:color w:val="3E65AC"/>
            <w:sz w:val="16"/>
          </w:rPr>
          <w:t>https://doi.org/10.1371/journal.pone.0271719.t003</w:t>
        </w:r>
      </w:hyperlink>
    </w:p>
    <w:p>
      <w:pPr>
        <w:pStyle w:val="BodyText"/>
        <w:spacing w:line="20" w:lineRule="exact"/>
        <w:ind w:left="342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50.75pt;height:.1pt;mso-position-horizontal-relative:char;mso-position-vertical-relative:line" coordorigin="0,0" coordsize="3015,2">
            <v:shape style="position:absolute;left:0;top:0;width:3015;height:2" coordorigin="0,0" coordsize="3015,0" path="m3015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BodyText"/>
        <w:spacing w:before="10"/>
        <w:rPr>
          <w:rFonts w:ascii="Arial MT"/>
          <w:sz w:val="15"/>
        </w:rPr>
      </w:pPr>
    </w:p>
    <w:p>
      <w:pPr>
        <w:pStyle w:val="Heading1"/>
        <w:numPr>
          <w:ilvl w:val="1"/>
          <w:numId w:val="1"/>
        </w:numPr>
        <w:tabs>
          <w:tab w:pos="3771" w:val="left" w:leader="none"/>
        </w:tabs>
        <w:spacing w:line="240" w:lineRule="auto" w:before="54" w:after="0"/>
        <w:ind w:left="3770" w:right="0" w:hanging="351"/>
        <w:jc w:val="left"/>
      </w:pPr>
      <w:r>
        <w:rPr/>
        <w:t>rs11030094</w:t>
      </w:r>
      <w:r>
        <w:rPr>
          <w:spacing w:val="1"/>
        </w:rPr>
        <w:t> </w:t>
      </w:r>
      <w:r>
        <w:rPr/>
        <w:t>polymorphism</w:t>
      </w:r>
    </w:p>
    <w:p>
      <w:pPr>
        <w:pStyle w:val="BodyText"/>
        <w:spacing w:line="256" w:lineRule="auto" w:before="85"/>
        <w:ind w:left="3420" w:right="125"/>
      </w:pPr>
      <w:r>
        <w:rPr/>
        <w:pict>
          <v:shape style="position:absolute;margin-left:476.901001pt;margin-top:14.848502pt;width:29.2pt;height:.1pt;mso-position-horizontal-relative:page;mso-position-vertical-relative:paragraph;z-index:-16715776" coordorigin="9538,297" coordsize="584,0" path="m10122,297l9538,297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5.023987pt;margin-top:53.852501pt;width:29.2pt;height:.1pt;mso-position-horizontal-relative:page;mso-position-vertical-relative:paragraph;z-index:-16715264" coordorigin="7500,1077" coordsize="584,0" path="m8084,1077l7500,1077e" filled="true" fillcolor="#3e65ac" stroked="false">
            <v:path arrowok="t"/>
            <v:fill type="solid"/>
            <w10:wrap type="none"/>
          </v:shape>
        </w:pict>
      </w:r>
      <w:r>
        <w:rPr/>
        <w:t>Genotype distribution was in HWE for both case and control groups. </w:t>
      </w:r>
      <w:hyperlink w:history="true" w:anchor="_bookmark19">
        <w:r>
          <w:rPr>
            <w:color w:val="3E65AC"/>
          </w:rPr>
          <w:t>Table 3 </w:t>
        </w:r>
      </w:hyperlink>
      <w:r>
        <w:rPr/>
        <w:t>demonstrates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distribution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alleles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genotypes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vitiligo</w:t>
      </w:r>
      <w:r>
        <w:rPr>
          <w:spacing w:val="-10"/>
        </w:rPr>
        <w:t> </w:t>
      </w:r>
      <w:r>
        <w:rPr/>
        <w:t>patients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healthy</w:t>
      </w:r>
      <w:r>
        <w:rPr>
          <w:spacing w:val="-9"/>
        </w:rPr>
        <w:t> </w:t>
      </w:r>
      <w:r>
        <w:rPr/>
        <w:t>controls.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G-allele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11"/>
        </w:rPr>
        <w:t> </w:t>
      </w:r>
      <w:r>
        <w:rPr>
          <w:spacing w:val="-1"/>
        </w:rPr>
        <w:t>significantly</w:t>
      </w:r>
      <w:r>
        <w:rPr>
          <w:spacing w:val="-7"/>
        </w:rPr>
        <w:t> </w:t>
      </w:r>
      <w:r>
        <w:rPr>
          <w:spacing w:val="-1"/>
        </w:rPr>
        <w:t>associated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risk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vitiligo,</w:t>
      </w:r>
      <w:r>
        <w:rPr>
          <w:spacing w:val="-9"/>
        </w:rPr>
        <w:t> </w:t>
      </w:r>
      <w:r>
        <w:rPr>
          <w:spacing w:val="-1"/>
        </w:rPr>
        <w:t>whereas</w:t>
      </w:r>
      <w:r>
        <w:rPr>
          <w:spacing w:val="-8"/>
        </w:rPr>
        <w:t> </w:t>
      </w:r>
      <w:r>
        <w:rPr>
          <w:spacing w:val="-1"/>
        </w:rPr>
        <w:t>AA-genotype</w:t>
      </w:r>
      <w:r>
        <w:rPr>
          <w:spacing w:val="-9"/>
        </w:rPr>
        <w:t> </w:t>
      </w:r>
      <w:r>
        <w:rPr>
          <w:spacing w:val="-1"/>
        </w:rPr>
        <w:t>was</w:t>
      </w:r>
      <w:r>
        <w:rPr>
          <w:spacing w:val="-9"/>
        </w:rPr>
        <w:t> </w:t>
      </w:r>
      <w:r>
        <w:rPr>
          <w:spacing w:val="-1"/>
        </w:rPr>
        <w:t>found-out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42"/>
        </w:rPr>
        <w:t> </w:t>
      </w:r>
      <w:r>
        <w:rPr/>
        <w:t>the</w:t>
      </w:r>
      <w:r>
        <w:rPr>
          <w:spacing w:val="-4"/>
        </w:rPr>
        <w:t> </w:t>
      </w:r>
      <w:r>
        <w:rPr/>
        <w:t>factor</w:t>
      </w:r>
      <w:r>
        <w:rPr>
          <w:spacing w:val="-4"/>
        </w:rPr>
        <w:t> </w:t>
      </w:r>
      <w:r>
        <w:rPr/>
        <w:t>decreasing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risk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disease</w:t>
      </w:r>
      <w:r>
        <w:rPr>
          <w:spacing w:val="-4"/>
        </w:rPr>
        <w:t> </w:t>
      </w:r>
      <w:r>
        <w:rPr/>
        <w:t>(</w:t>
      </w:r>
      <w:hyperlink w:history="true" w:anchor="_bookmark23">
        <w:r>
          <w:rPr>
            <w:color w:val="3E65AC"/>
          </w:rPr>
          <w:t>Table</w:t>
        </w:r>
        <w:r>
          <w:rPr>
            <w:color w:val="3E65AC"/>
            <w:spacing w:val="-3"/>
          </w:rPr>
          <w:t> </w:t>
        </w:r>
        <w:r>
          <w:rPr>
            <w:color w:val="3E65AC"/>
          </w:rPr>
          <w:t>4</w:t>
        </w:r>
      </w:hyperlink>
      <w:r>
        <w:rPr/>
        <w:t>).</w:t>
      </w:r>
    </w:p>
    <w:p>
      <w:pPr>
        <w:pStyle w:val="BodyText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3771" w:val="left" w:leader="none"/>
        </w:tabs>
        <w:spacing w:line="240" w:lineRule="auto" w:before="0" w:after="0"/>
        <w:ind w:left="3770" w:right="0" w:hanging="351"/>
        <w:jc w:val="left"/>
      </w:pPr>
      <w:r>
        <w:rPr/>
        <w:t>Association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rs11030094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serum</w:t>
      </w:r>
      <w:r>
        <w:rPr>
          <w:spacing w:val="5"/>
        </w:rPr>
        <w:t> </w:t>
      </w:r>
      <w:r>
        <w:rPr/>
        <w:t>BDNF</w:t>
      </w:r>
      <w:r>
        <w:rPr>
          <w:spacing w:val="6"/>
        </w:rPr>
        <w:t> </w:t>
      </w:r>
      <w:r>
        <w:rPr/>
        <w:t>levels</w:t>
      </w:r>
    </w:p>
    <w:p>
      <w:pPr>
        <w:pStyle w:val="BodyText"/>
        <w:spacing w:line="254" w:lineRule="auto" w:before="86"/>
        <w:ind w:left="3420" w:right="316"/>
      </w:pPr>
      <w:r>
        <w:rPr/>
        <w:pict>
          <v:shape style="position:absolute;margin-left:281.593994pt;margin-top:27.881487pt;width:29.2pt;height:.1pt;mso-position-horizontal-relative:page;mso-position-vertical-relative:paragraph;z-index:-16714752" coordorigin="5632,558" coordsize="584,0" path="m6216,558l5632,558e" filled="true" fillcolor="#3e65ac" stroked="false">
            <v:path arrowok="t"/>
            <v:fill type="solid"/>
            <w10:wrap type="none"/>
          </v:shape>
        </w:pict>
      </w:r>
      <w:r>
        <w:rPr>
          <w:spacing w:val="-1"/>
        </w:rPr>
        <w:t>There was no significant difference </w:t>
      </w:r>
      <w:r>
        <w:rPr/>
        <w:t>in serum BDNF levels among the genotypes of the case</w:t>
      </w:r>
      <w:r>
        <w:rPr>
          <w:spacing w:val="-43"/>
        </w:rPr>
        <w:t> </w:t>
      </w:r>
      <w:r>
        <w:rPr/>
        <w:t>and</w:t>
      </w:r>
      <w:r>
        <w:rPr>
          <w:spacing w:val="-5"/>
        </w:rPr>
        <w:t> </w:t>
      </w:r>
      <w:r>
        <w:rPr/>
        <w:t>control</w:t>
      </w:r>
      <w:r>
        <w:rPr>
          <w:spacing w:val="-3"/>
        </w:rPr>
        <w:t> </w:t>
      </w:r>
      <w:r>
        <w:rPr/>
        <w:t>groups</w:t>
      </w:r>
      <w:r>
        <w:rPr>
          <w:spacing w:val="-4"/>
        </w:rPr>
        <w:t> </w:t>
      </w:r>
      <w:r>
        <w:rPr/>
        <w:t>(</w:t>
      </w:r>
      <w:hyperlink w:history="true" w:anchor="_bookmark24">
        <w:r>
          <w:rPr>
            <w:color w:val="3E65AC"/>
          </w:rPr>
          <w:t>Table</w:t>
        </w:r>
        <w:r>
          <w:rPr>
            <w:color w:val="3E65AC"/>
            <w:spacing w:val="-3"/>
          </w:rPr>
          <w:t> </w:t>
        </w:r>
        <w:r>
          <w:rPr>
            <w:color w:val="3E65AC"/>
          </w:rPr>
          <w:t>5</w:t>
        </w:r>
      </w:hyperlink>
      <w:r>
        <w:rPr/>
        <w:t>).</w:t>
      </w:r>
      <w:r>
        <w:rPr>
          <w:spacing w:val="-3"/>
        </w:rPr>
        <w:t> </w:t>
      </w:r>
      <w:r>
        <w:rPr/>
        <w:t>Healthy</w:t>
      </w:r>
      <w:r>
        <w:rPr>
          <w:spacing w:val="-4"/>
        </w:rPr>
        <w:t> </w:t>
      </w:r>
      <w:r>
        <w:rPr/>
        <w:t>controls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both</w:t>
      </w:r>
      <w:r>
        <w:rPr>
          <w:spacing w:val="-3"/>
        </w:rPr>
        <w:t> </w:t>
      </w:r>
      <w:r>
        <w:rPr/>
        <w:t>GG-genotype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GA-genotype</w:t>
      </w:r>
      <w:r>
        <w:rPr>
          <w:spacing w:val="-3"/>
        </w:rPr>
        <w:t> </w:t>
      </w:r>
      <w:r>
        <w:rPr/>
        <w:t>sub-</w:t>
      </w:r>
      <w:r>
        <w:rPr>
          <w:spacing w:val="-42"/>
        </w:rPr>
        <w:t> </w:t>
      </w:r>
      <w:r>
        <w:rPr/>
        <w:t>groups</w:t>
      </w:r>
      <w:r>
        <w:rPr>
          <w:spacing w:val="-7"/>
        </w:rPr>
        <w:t> </w:t>
      </w:r>
      <w:r>
        <w:rPr/>
        <w:t>had</w:t>
      </w:r>
      <w:r>
        <w:rPr>
          <w:spacing w:val="-9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lower</w:t>
      </w:r>
      <w:r>
        <w:rPr>
          <w:spacing w:val="-8"/>
        </w:rPr>
        <w:t> </w:t>
      </w:r>
      <w:r>
        <w:rPr/>
        <w:t>serum</w:t>
      </w:r>
      <w:r>
        <w:rPr>
          <w:spacing w:val="-7"/>
        </w:rPr>
        <w:t> </w:t>
      </w:r>
      <w:r>
        <w:rPr/>
        <w:t>BDNF</w:t>
      </w:r>
      <w:r>
        <w:rPr>
          <w:spacing w:val="-7"/>
        </w:rPr>
        <w:t> </w:t>
      </w:r>
      <w:r>
        <w:rPr/>
        <w:t>levels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compared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vitiligo</w:t>
      </w:r>
      <w:r>
        <w:rPr>
          <w:spacing w:val="-7"/>
        </w:rPr>
        <w:t> </w:t>
      </w:r>
      <w:r>
        <w:rPr/>
        <w:t>patients.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3420" w:firstLine="0"/>
        <w:rPr>
          <w:rFonts w:ascii="Arial"/>
        </w:rPr>
      </w:pPr>
      <w:bookmarkStart w:name="_bookmark23" w:id="25"/>
      <w:bookmarkEnd w:id="25"/>
      <w:r>
        <w:rPr>
          <w:b w:val="0"/>
        </w:rPr>
      </w:r>
      <w:r>
        <w:rPr>
          <w:rFonts w:ascii="Arial"/>
        </w:rPr>
        <w:t>Discussion</w:t>
      </w:r>
    </w:p>
    <w:p>
      <w:pPr>
        <w:pStyle w:val="BodyText"/>
        <w:spacing w:line="256" w:lineRule="auto" w:before="99"/>
        <w:ind w:left="3420" w:right="175"/>
      </w:pPr>
      <w:r>
        <w:rPr/>
        <w:t>The aim of our study was to investigate the serum levels of BDNF and CRH, as well as their</w:t>
      </w:r>
      <w:r>
        <w:rPr>
          <w:spacing w:val="1"/>
        </w:rPr>
        <w:t> </w:t>
      </w:r>
      <w:r>
        <w:rPr/>
        <w:t>individual</w:t>
      </w:r>
      <w:r>
        <w:rPr>
          <w:spacing w:val="-8"/>
        </w:rPr>
        <w:t> </w:t>
      </w:r>
      <w:r>
        <w:rPr/>
        <w:t>SNPs,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patients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vitiligo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healthy</w:t>
      </w:r>
      <w:r>
        <w:rPr>
          <w:spacing w:val="-8"/>
        </w:rPr>
        <w:t> </w:t>
      </w:r>
      <w:r>
        <w:rPr/>
        <w:t>comparators.</w:t>
      </w:r>
      <w:r>
        <w:rPr>
          <w:spacing w:val="-6"/>
        </w:rPr>
        <w:t> </w:t>
      </w:r>
      <w:r>
        <w:rPr/>
        <w:t>After</w:t>
      </w:r>
      <w:r>
        <w:rPr>
          <w:spacing w:val="-8"/>
        </w:rPr>
        <w:t> </w:t>
      </w:r>
      <w:r>
        <w:rPr/>
        <w:t>analyzing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labora-</w:t>
      </w:r>
      <w:r>
        <w:rPr>
          <w:spacing w:val="-42"/>
        </w:rPr>
        <w:t> </w:t>
      </w:r>
      <w:r>
        <w:rPr>
          <w:w w:val="95"/>
        </w:rPr>
        <w:t>tory data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two</w:t>
      </w:r>
      <w:r>
        <w:rPr>
          <w:spacing w:val="2"/>
          <w:w w:val="95"/>
        </w:rPr>
        <w:t> </w:t>
      </w:r>
      <w:r>
        <w:rPr>
          <w:w w:val="95"/>
        </w:rPr>
        <w:t>groups,</w:t>
      </w:r>
      <w:r>
        <w:rPr>
          <w:spacing w:val="1"/>
          <w:w w:val="95"/>
        </w:rPr>
        <w:t> </w:t>
      </w:r>
      <w:r>
        <w:rPr>
          <w:w w:val="95"/>
        </w:rPr>
        <w:t>we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2"/>
          <w:w w:val="95"/>
        </w:rPr>
        <w:t> </w:t>
      </w:r>
      <w:r>
        <w:rPr>
          <w:w w:val="95"/>
        </w:rPr>
        <w:t>able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establish</w:t>
      </w:r>
      <w:r>
        <w:rPr>
          <w:spacing w:val="3"/>
          <w:w w:val="95"/>
        </w:rPr>
        <w:t> </w:t>
      </w:r>
      <w:r>
        <w:rPr>
          <w:w w:val="95"/>
        </w:rPr>
        <w:t>a significant</w:t>
      </w:r>
      <w:r>
        <w:rPr>
          <w:spacing w:val="2"/>
          <w:w w:val="95"/>
        </w:rPr>
        <w:t> </w:t>
      </w:r>
      <w:r>
        <w:rPr>
          <w:w w:val="95"/>
        </w:rPr>
        <w:t>relationship</w:t>
      </w:r>
      <w:r>
        <w:rPr>
          <w:spacing w:val="2"/>
          <w:w w:val="95"/>
        </w:rPr>
        <w:t> </w:t>
      </w:r>
      <w:r>
        <w:rPr>
          <w:w w:val="95"/>
        </w:rPr>
        <w:t>between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rFonts w:ascii="Times New Roman"/>
          <w:i/>
          <w:w w:val="95"/>
        </w:rPr>
        <w:t>CRH-R1</w:t>
      </w:r>
      <w:r>
        <w:rPr>
          <w:rFonts w:ascii="Times New Roman"/>
          <w:i/>
          <w:spacing w:val="10"/>
          <w:w w:val="95"/>
        </w:rPr>
        <w:t> </w:t>
      </w:r>
      <w:r>
        <w:rPr>
          <w:w w:val="95"/>
        </w:rPr>
        <w:t>rs242924</w:t>
      </w:r>
      <w:r>
        <w:rPr>
          <w:spacing w:val="14"/>
          <w:w w:val="95"/>
        </w:rPr>
        <w:t> </w:t>
      </w:r>
      <w:r>
        <w:rPr>
          <w:w w:val="95"/>
        </w:rPr>
        <w:t>and</w:t>
      </w:r>
      <w:r>
        <w:rPr>
          <w:spacing w:val="15"/>
          <w:w w:val="95"/>
        </w:rPr>
        <w:t> </w:t>
      </w:r>
      <w:r>
        <w:rPr>
          <w:rFonts w:ascii="Times New Roman"/>
          <w:i/>
          <w:w w:val="95"/>
        </w:rPr>
        <w:t>BDNF</w:t>
      </w:r>
      <w:r>
        <w:rPr>
          <w:rFonts w:ascii="Times New Roman"/>
          <w:i/>
          <w:spacing w:val="9"/>
          <w:w w:val="95"/>
        </w:rPr>
        <w:t> </w:t>
      </w:r>
      <w:r>
        <w:rPr>
          <w:w w:val="95"/>
        </w:rPr>
        <w:t>rs11030094</w:t>
      </w:r>
      <w:r>
        <w:rPr>
          <w:spacing w:val="17"/>
          <w:w w:val="95"/>
        </w:rPr>
        <w:t> </w:t>
      </w:r>
      <w:r>
        <w:rPr>
          <w:w w:val="95"/>
        </w:rPr>
        <w:t>polymorphisms</w:t>
      </w:r>
      <w:r>
        <w:rPr>
          <w:spacing w:val="18"/>
          <w:w w:val="95"/>
        </w:rPr>
        <w:t> </w:t>
      </w:r>
      <w:r>
        <w:rPr>
          <w:w w:val="95"/>
        </w:rPr>
        <w:t>and</w:t>
      </w:r>
      <w:r>
        <w:rPr>
          <w:spacing w:val="15"/>
          <w:w w:val="95"/>
        </w:rPr>
        <w:t> </w:t>
      </w:r>
      <w:r>
        <w:rPr>
          <w:w w:val="95"/>
        </w:rPr>
        <w:t>vitiligo.</w:t>
      </w:r>
      <w:r>
        <w:rPr>
          <w:spacing w:val="15"/>
          <w:w w:val="95"/>
        </w:rPr>
        <w:t> </w:t>
      </w:r>
      <w:r>
        <w:rPr>
          <w:w w:val="95"/>
        </w:rPr>
        <w:t>Moreover,</w:t>
      </w:r>
      <w:r>
        <w:rPr>
          <w:spacing w:val="16"/>
          <w:w w:val="95"/>
        </w:rPr>
        <w:t> </w:t>
      </w:r>
      <w:r>
        <w:rPr>
          <w:w w:val="95"/>
        </w:rPr>
        <w:t>serum</w:t>
      </w:r>
      <w:r>
        <w:rPr>
          <w:spacing w:val="15"/>
          <w:w w:val="95"/>
        </w:rPr>
        <w:t> </w:t>
      </w:r>
      <w:r>
        <w:rPr>
          <w:w w:val="95"/>
        </w:rPr>
        <w:t>levels</w:t>
      </w:r>
      <w:r>
        <w:rPr>
          <w:spacing w:val="-40"/>
          <w:w w:val="95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neurotransmitters</w:t>
      </w:r>
      <w:r>
        <w:rPr>
          <w:spacing w:val="16"/>
          <w:w w:val="95"/>
        </w:rPr>
        <w:t> </w:t>
      </w:r>
      <w:r>
        <w:rPr>
          <w:w w:val="95"/>
        </w:rPr>
        <w:t>differed</w:t>
      </w:r>
      <w:r>
        <w:rPr>
          <w:spacing w:val="14"/>
          <w:w w:val="95"/>
        </w:rPr>
        <w:t> </w:t>
      </w:r>
      <w:r>
        <w:rPr>
          <w:w w:val="95"/>
        </w:rPr>
        <w:t>significantly</w:t>
      </w:r>
      <w:r>
        <w:rPr>
          <w:spacing w:val="15"/>
          <w:w w:val="95"/>
        </w:rPr>
        <w:t> </w:t>
      </w:r>
      <w:r>
        <w:rPr>
          <w:w w:val="95"/>
        </w:rPr>
        <w:t>between</w:t>
      </w:r>
      <w:r>
        <w:rPr>
          <w:spacing w:val="14"/>
          <w:w w:val="95"/>
        </w:rPr>
        <w:t> </w:t>
      </w:r>
      <w:r>
        <w:rPr>
          <w:w w:val="95"/>
        </w:rPr>
        <w:t>vitiligo</w:t>
      </w:r>
      <w:r>
        <w:rPr>
          <w:spacing w:val="15"/>
          <w:w w:val="95"/>
        </w:rPr>
        <w:t> </w:t>
      </w:r>
      <w:r>
        <w:rPr>
          <w:w w:val="95"/>
        </w:rPr>
        <w:t>and</w:t>
      </w:r>
      <w:r>
        <w:rPr>
          <w:spacing w:val="13"/>
          <w:w w:val="95"/>
        </w:rPr>
        <w:t> </w:t>
      </w:r>
      <w:r>
        <w:rPr>
          <w:w w:val="95"/>
        </w:rPr>
        <w:t>control</w:t>
      </w:r>
      <w:r>
        <w:rPr>
          <w:spacing w:val="14"/>
          <w:w w:val="95"/>
        </w:rPr>
        <w:t> </w:t>
      </w:r>
      <w:r>
        <w:rPr>
          <w:w w:val="95"/>
        </w:rPr>
        <w:t>groups</w:t>
      </w:r>
      <w:r>
        <w:rPr>
          <w:spacing w:val="14"/>
          <w:w w:val="95"/>
        </w:rPr>
        <w:t> </w:t>
      </w:r>
      <w:r>
        <w:rPr>
          <w:w w:val="95"/>
        </w:rPr>
        <w:t>and</w:t>
      </w:r>
      <w:r>
        <w:rPr>
          <w:spacing w:val="13"/>
          <w:w w:val="95"/>
        </w:rPr>
        <w:t> </w:t>
      </w:r>
      <w:r>
        <w:rPr>
          <w:w w:val="95"/>
        </w:rPr>
        <w:t>were</w:t>
      </w:r>
      <w:r>
        <w:rPr>
          <w:spacing w:val="15"/>
          <w:w w:val="95"/>
        </w:rPr>
        <w:t> </w:t>
      </w:r>
      <w:r>
        <w:rPr>
          <w:w w:val="95"/>
        </w:rPr>
        <w:t>asso-</w:t>
      </w:r>
      <w:r>
        <w:rPr>
          <w:spacing w:val="1"/>
          <w:w w:val="95"/>
        </w:rPr>
        <w:t> </w:t>
      </w:r>
      <w:r>
        <w:rPr>
          <w:w w:val="95"/>
        </w:rPr>
        <w:t>ciated</w:t>
      </w:r>
      <w:r>
        <w:rPr>
          <w:spacing w:val="10"/>
          <w:w w:val="95"/>
        </w:rPr>
        <w:t> </w:t>
      </w:r>
      <w:r>
        <w:rPr>
          <w:w w:val="95"/>
        </w:rPr>
        <w:t>with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rFonts w:ascii="Times New Roman"/>
          <w:i/>
          <w:w w:val="95"/>
        </w:rPr>
        <w:t>CRH-R1</w:t>
      </w:r>
      <w:r>
        <w:rPr>
          <w:rFonts w:ascii="Times New Roman"/>
          <w:i/>
          <w:spacing w:val="5"/>
          <w:w w:val="95"/>
        </w:rPr>
        <w:t> </w:t>
      </w:r>
      <w:r>
        <w:rPr>
          <w:w w:val="95"/>
        </w:rPr>
        <w:t>rs242924</w:t>
      </w:r>
      <w:r>
        <w:rPr>
          <w:spacing w:val="10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rFonts w:ascii="Times New Roman"/>
          <w:i/>
          <w:w w:val="95"/>
        </w:rPr>
        <w:t>BDNF</w:t>
      </w:r>
      <w:r>
        <w:rPr>
          <w:rFonts w:ascii="Times New Roman"/>
          <w:i/>
          <w:spacing w:val="6"/>
          <w:w w:val="95"/>
        </w:rPr>
        <w:t> </w:t>
      </w:r>
      <w:r>
        <w:rPr>
          <w:w w:val="95"/>
        </w:rPr>
        <w:t>rs11030094</w:t>
      </w:r>
      <w:r>
        <w:rPr>
          <w:spacing w:val="12"/>
          <w:w w:val="95"/>
        </w:rPr>
        <w:t> </w:t>
      </w:r>
      <w:r>
        <w:rPr>
          <w:w w:val="95"/>
        </w:rPr>
        <w:t>SNPs.</w:t>
      </w:r>
      <w:r>
        <w:rPr>
          <w:spacing w:val="10"/>
          <w:w w:val="95"/>
        </w:rPr>
        <w:t> </w:t>
      </w:r>
      <w:r>
        <w:rPr>
          <w:w w:val="95"/>
        </w:rPr>
        <w:t>These</w:t>
      </w:r>
      <w:r>
        <w:rPr>
          <w:spacing w:val="11"/>
          <w:w w:val="95"/>
        </w:rPr>
        <w:t> </w:t>
      </w:r>
      <w:r>
        <w:rPr>
          <w:w w:val="95"/>
        </w:rPr>
        <w:t>findings</w:t>
      </w:r>
      <w:r>
        <w:rPr>
          <w:spacing w:val="11"/>
          <w:w w:val="95"/>
        </w:rPr>
        <w:t> </w:t>
      </w:r>
      <w:r>
        <w:rPr>
          <w:w w:val="95"/>
        </w:rPr>
        <w:t>may</w:t>
      </w:r>
      <w:r>
        <w:rPr>
          <w:spacing w:val="10"/>
          <w:w w:val="95"/>
        </w:rPr>
        <w:t> </w:t>
      </w:r>
      <w:r>
        <w:rPr>
          <w:w w:val="95"/>
        </w:rPr>
        <w:t>point</w:t>
      </w:r>
      <w:r>
        <w:rPr>
          <w:spacing w:val="10"/>
          <w:w w:val="95"/>
        </w:rPr>
        <w:t> </w:t>
      </w:r>
      <w:r>
        <w:rPr>
          <w:w w:val="95"/>
        </w:rPr>
        <w:t>to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potential</w:t>
      </w:r>
      <w:r>
        <w:rPr>
          <w:spacing w:val="7"/>
          <w:w w:val="95"/>
        </w:rPr>
        <w:t> </w:t>
      </w:r>
      <w:r>
        <w:rPr>
          <w:w w:val="95"/>
        </w:rPr>
        <w:t>role</w:t>
      </w:r>
      <w:r>
        <w:rPr>
          <w:spacing w:val="8"/>
          <w:w w:val="95"/>
        </w:rPr>
        <w:t> </w:t>
      </w:r>
      <w:r>
        <w:rPr>
          <w:w w:val="95"/>
        </w:rPr>
        <w:t>played</w:t>
      </w:r>
      <w:r>
        <w:rPr>
          <w:spacing w:val="8"/>
          <w:w w:val="95"/>
        </w:rPr>
        <w:t> </w:t>
      </w:r>
      <w:r>
        <w:rPr>
          <w:w w:val="95"/>
        </w:rPr>
        <w:t>by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aforementioned</w:t>
      </w:r>
      <w:r>
        <w:rPr>
          <w:spacing w:val="9"/>
          <w:w w:val="95"/>
        </w:rPr>
        <w:t> </w:t>
      </w:r>
      <w:r>
        <w:rPr>
          <w:w w:val="95"/>
        </w:rPr>
        <w:t>genetic</w:t>
      </w:r>
      <w:r>
        <w:rPr>
          <w:spacing w:val="9"/>
          <w:w w:val="95"/>
        </w:rPr>
        <w:t> </w:t>
      </w:r>
      <w:r>
        <w:rPr>
          <w:w w:val="95"/>
        </w:rPr>
        <w:t>variations</w:t>
      </w:r>
      <w:r>
        <w:rPr>
          <w:spacing w:val="9"/>
          <w:w w:val="95"/>
        </w:rPr>
        <w:t> </w:t>
      </w:r>
      <w:r>
        <w:rPr>
          <w:w w:val="95"/>
        </w:rPr>
        <w:t>in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development</w:t>
      </w:r>
      <w:r>
        <w:rPr>
          <w:spacing w:val="9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</w:rPr>
        <w:t>vitiligo.</w:t>
      </w:r>
    </w:p>
    <w:p>
      <w:pPr>
        <w:pStyle w:val="BodyText"/>
        <w:spacing w:line="256" w:lineRule="auto"/>
        <w:ind w:left="3420" w:right="235" w:firstLine="239"/>
      </w:pPr>
      <w:r>
        <w:rPr>
          <w:w w:val="95"/>
        </w:rPr>
        <w:t>There</w:t>
      </w:r>
      <w:r>
        <w:rPr>
          <w:spacing w:val="5"/>
          <w:w w:val="95"/>
        </w:rPr>
        <w:t> </w:t>
      </w:r>
      <w:r>
        <w:rPr>
          <w:w w:val="95"/>
        </w:rPr>
        <w:t>is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wide</w:t>
      </w:r>
      <w:r>
        <w:rPr>
          <w:spacing w:val="4"/>
          <w:w w:val="95"/>
        </w:rPr>
        <w:t> </w:t>
      </w:r>
      <w:r>
        <w:rPr>
          <w:w w:val="95"/>
        </w:rPr>
        <w:t>spectrum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w w:val="95"/>
        </w:rPr>
        <w:t>studies</w:t>
      </w:r>
      <w:r>
        <w:rPr>
          <w:spacing w:val="6"/>
          <w:w w:val="95"/>
        </w:rPr>
        <w:t> </w:t>
      </w:r>
      <w:r>
        <w:rPr>
          <w:w w:val="95"/>
        </w:rPr>
        <w:t>related</w:t>
      </w:r>
      <w:r>
        <w:rPr>
          <w:spacing w:val="4"/>
          <w:w w:val="95"/>
        </w:rPr>
        <w:t> </w:t>
      </w:r>
      <w:r>
        <w:rPr>
          <w:w w:val="95"/>
        </w:rPr>
        <w:t>to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investigation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rFonts w:ascii="Times New Roman"/>
          <w:i/>
          <w:w w:val="95"/>
        </w:rPr>
        <w:t>CRH-R1 </w:t>
      </w:r>
      <w:r>
        <w:rPr>
          <w:w w:val="95"/>
        </w:rPr>
        <w:t>gene</w:t>
      </w:r>
      <w:r>
        <w:rPr>
          <w:spacing w:val="5"/>
          <w:w w:val="95"/>
        </w:rPr>
        <w:t> </w:t>
      </w:r>
      <w:r>
        <w:rPr>
          <w:w w:val="95"/>
        </w:rPr>
        <w:t>rs242924</w:t>
      </w:r>
      <w:r>
        <w:rPr>
          <w:spacing w:val="1"/>
          <w:w w:val="95"/>
        </w:rPr>
        <w:t> </w:t>
      </w:r>
      <w:r>
        <w:rPr>
          <w:spacing w:val="-1"/>
        </w:rPr>
        <w:t>polymorphism.</w:t>
      </w:r>
      <w:r>
        <w:rPr>
          <w:spacing w:val="-9"/>
        </w:rPr>
        <w:t> </w:t>
      </w:r>
      <w:r>
        <w:rPr>
          <w:spacing w:val="-1"/>
        </w:rPr>
        <w:t>Most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them</w:t>
      </w:r>
      <w:r>
        <w:rPr>
          <w:spacing w:val="-10"/>
        </w:rPr>
        <w:t> </w:t>
      </w:r>
      <w:r>
        <w:rPr>
          <w:spacing w:val="-1"/>
        </w:rPr>
        <w:t>focus</w:t>
      </w:r>
      <w:r>
        <w:rPr>
          <w:spacing w:val="-10"/>
        </w:rPr>
        <w:t> </w:t>
      </w:r>
      <w:r>
        <w:rPr>
          <w:spacing w:val="-1"/>
        </w:rPr>
        <w:t>on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abovementioned</w:t>
      </w:r>
      <w:r>
        <w:rPr>
          <w:spacing w:val="-8"/>
        </w:rPr>
        <w:t> </w:t>
      </w:r>
      <w:r>
        <w:rPr>
          <w:spacing w:val="-1"/>
        </w:rPr>
        <w:t>SNPs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elucidate</w:t>
      </w:r>
      <w:r>
        <w:rPr>
          <w:spacing w:val="-9"/>
        </w:rPr>
        <w:t> </w:t>
      </w:r>
      <w:r>
        <w:rPr/>
        <w:t>their</w:t>
      </w:r>
      <w:r>
        <w:rPr>
          <w:spacing w:val="-11"/>
        </w:rPr>
        <w:t> </w:t>
      </w:r>
      <w:r>
        <w:rPr/>
        <w:t>contribu-</w:t>
      </w:r>
      <w:r>
        <w:rPr>
          <w:spacing w:val="-43"/>
        </w:rPr>
        <w:t> </w:t>
      </w:r>
      <w:r>
        <w:rPr/>
        <w:t>tion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pathogenesis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neuropsychological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behavioral</w:t>
      </w:r>
      <w:r>
        <w:rPr>
          <w:spacing w:val="-9"/>
        </w:rPr>
        <w:t> </w:t>
      </w:r>
      <w:r>
        <w:rPr/>
        <w:t>impairments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different</w:t>
      </w:r>
    </w:p>
    <w:p>
      <w:pPr>
        <w:pStyle w:val="BodyText"/>
        <w:spacing w:before="2"/>
        <w:rPr>
          <w:sz w:val="11"/>
        </w:rPr>
      </w:pPr>
    </w:p>
    <w:p>
      <w:pPr>
        <w:spacing w:before="94" w:after="55"/>
        <w:ind w:left="3420" w:right="0" w:firstLine="0"/>
        <w:jc w:val="left"/>
        <w:rPr>
          <w:b/>
          <w:sz w:val="16"/>
        </w:rPr>
      </w:pPr>
      <w:hyperlink w:history="true" w:anchor="_bookmark21">
        <w:r>
          <w:rPr>
            <w:b/>
            <w:spacing w:val="-1"/>
            <w:sz w:val="16"/>
          </w:rPr>
          <w:t>Table</w:t>
        </w:r>
        <w:r>
          <w:rPr>
            <w:b/>
            <w:spacing w:val="-7"/>
            <w:sz w:val="16"/>
          </w:rPr>
          <w:t> </w:t>
        </w:r>
        <w:r>
          <w:rPr>
            <w:b/>
            <w:spacing w:val="-1"/>
            <w:sz w:val="16"/>
          </w:rPr>
          <w:t>4.</w:t>
        </w:r>
      </w:hyperlink>
      <w:r>
        <w:rPr>
          <w:b/>
          <w:spacing w:val="24"/>
          <w:sz w:val="16"/>
        </w:rPr>
        <w:t> </w:t>
      </w:r>
      <w:r>
        <w:rPr>
          <w:b/>
          <w:spacing w:val="-1"/>
          <w:sz w:val="16"/>
        </w:rPr>
        <w:t>Genotype</w:t>
      </w:r>
      <w:r>
        <w:rPr>
          <w:b/>
          <w:spacing w:val="-7"/>
          <w:sz w:val="16"/>
        </w:rPr>
        <w:t> </w:t>
      </w:r>
      <w:r>
        <w:rPr>
          <w:b/>
          <w:spacing w:val="-1"/>
          <w:sz w:val="16"/>
        </w:rPr>
        <w:t>distribution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allele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frequencies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7"/>
          <w:sz w:val="16"/>
        </w:rPr>
        <w:t> </w:t>
      </w:r>
      <w:r>
        <w:rPr>
          <w:rFonts w:ascii="Times New Roman"/>
          <w:b/>
          <w:i/>
          <w:sz w:val="16"/>
        </w:rPr>
        <w:t>BDNF</w:t>
      </w:r>
      <w:r>
        <w:rPr>
          <w:rFonts w:ascii="Times New Roman"/>
          <w:b/>
          <w:i/>
          <w:spacing w:val="-9"/>
          <w:sz w:val="16"/>
        </w:rPr>
        <w:t> </w:t>
      </w:r>
      <w:r>
        <w:rPr>
          <w:b/>
          <w:sz w:val="16"/>
        </w:rPr>
        <w:t>rs11030094.</w:t>
      </w:r>
    </w:p>
    <w:tbl>
      <w:tblPr>
        <w:tblW w:w="0" w:type="auto"/>
        <w:jc w:val="left"/>
        <w:tblInd w:w="3422" w:type="dxa"/>
        <w:tblBorders>
          <w:top w:val="single" w:sz="4" w:space="0" w:color="949598"/>
          <w:left w:val="single" w:sz="4" w:space="0" w:color="949598"/>
          <w:bottom w:val="single" w:sz="4" w:space="0" w:color="949598"/>
          <w:right w:val="single" w:sz="4" w:space="0" w:color="949598"/>
          <w:insideH w:val="single" w:sz="4" w:space="0" w:color="949598"/>
          <w:insideV w:val="single" w:sz="4" w:space="0" w:color="94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1566"/>
        <w:gridCol w:w="1566"/>
        <w:gridCol w:w="1222"/>
        <w:gridCol w:w="1902"/>
      </w:tblGrid>
      <w:tr>
        <w:trPr>
          <w:trHeight w:val="240" w:hRule="atLeast"/>
        </w:trPr>
        <w:tc>
          <w:tcPr>
            <w:tcW w:w="1263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Alleles</w:t>
            </w:r>
          </w:p>
        </w:tc>
        <w:tc>
          <w:tcPr>
            <w:tcW w:w="1566" w:type="dxa"/>
          </w:tcPr>
          <w:p>
            <w:pPr>
              <w:pStyle w:val="TableParagraph"/>
              <w:spacing w:before="38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Case</w:t>
            </w:r>
          </w:p>
        </w:tc>
        <w:tc>
          <w:tcPr>
            <w:tcW w:w="1566" w:type="dxa"/>
          </w:tcPr>
          <w:p>
            <w:pPr>
              <w:pStyle w:val="TableParagraph"/>
              <w:spacing w:before="38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Control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right w:val="nil"/>
            </w:tcBorders>
          </w:tcPr>
          <w:p>
            <w:pPr>
              <w:pStyle w:val="TableParagraph"/>
              <w:spacing w:before="38"/>
              <w:ind w:left="45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OR</w:t>
            </w:r>
            <w:r>
              <w:rPr>
                <w:b/>
                <w:spacing w:val="2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(95%</w:t>
            </w:r>
            <w:r>
              <w:rPr>
                <w:b/>
                <w:spacing w:val="-1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CI)</w:t>
            </w:r>
          </w:p>
        </w:tc>
      </w:tr>
      <w:tr>
        <w:trPr>
          <w:trHeight w:val="240" w:hRule="atLeast"/>
        </w:trPr>
        <w:tc>
          <w:tcPr>
            <w:tcW w:w="1263" w:type="dxa"/>
            <w:tcBorders>
              <w:left w:val="nil"/>
            </w:tcBorders>
          </w:tcPr>
          <w:p>
            <w:pPr>
              <w:pStyle w:val="TableParagraph"/>
              <w:spacing w:line="183" w:lineRule="exact"/>
              <w:ind w:left="5"/>
              <w:rPr>
                <w:sz w:val="16"/>
              </w:rPr>
            </w:pPr>
            <w:r>
              <w:rPr>
                <w:w w:val="113"/>
                <w:sz w:val="16"/>
              </w:rPr>
              <w:t>G</w:t>
            </w:r>
          </w:p>
        </w:tc>
        <w:tc>
          <w:tcPr>
            <w:tcW w:w="1566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53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(57.5%)</w:t>
            </w:r>
          </w:p>
        </w:tc>
        <w:tc>
          <w:tcPr>
            <w:tcW w:w="1566" w:type="dxa"/>
          </w:tcPr>
          <w:p>
            <w:pPr>
              <w:pStyle w:val="TableParagraph"/>
              <w:spacing w:line="183" w:lineRule="exact"/>
              <w:ind w:left="65"/>
              <w:rPr>
                <w:sz w:val="16"/>
              </w:rPr>
            </w:pPr>
            <w:r>
              <w:rPr>
                <w:sz w:val="16"/>
              </w:rPr>
              <w:t>61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(46.2%)</w:t>
            </w:r>
          </w:p>
        </w:tc>
        <w:tc>
          <w:tcPr>
            <w:tcW w:w="1222" w:type="dxa"/>
            <w:vMerge w:val="restart"/>
          </w:tcPr>
          <w:p>
            <w:pPr>
              <w:pStyle w:val="TableParagraph"/>
              <w:spacing w:line="240" w:lineRule="auto"/>
              <w:ind w:left="65"/>
              <w:rPr>
                <w:sz w:val="16"/>
              </w:rPr>
            </w:pPr>
            <w:r>
              <w:rPr>
                <w:sz w:val="16"/>
              </w:rPr>
              <w:t>0.002</w:t>
            </w:r>
          </w:p>
        </w:tc>
        <w:tc>
          <w:tcPr>
            <w:tcW w:w="1902" w:type="dxa"/>
            <w:tcBorders>
              <w:right w:val="nil"/>
            </w:tcBorders>
          </w:tcPr>
          <w:p>
            <w:pPr>
              <w:pStyle w:val="TableParagraph"/>
              <w:spacing w:line="183" w:lineRule="exact"/>
              <w:ind w:left="66"/>
              <w:rPr>
                <w:sz w:val="16"/>
              </w:rPr>
            </w:pPr>
            <w:r>
              <w:rPr>
                <w:w w:val="95"/>
                <w:sz w:val="16"/>
              </w:rPr>
              <w:t>1.58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(1.08–2.30)</w:t>
            </w:r>
          </w:p>
        </w:tc>
      </w:tr>
      <w:tr>
        <w:trPr>
          <w:trHeight w:val="240" w:hRule="atLeast"/>
        </w:trPr>
        <w:tc>
          <w:tcPr>
            <w:tcW w:w="1263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5"/>
              <w:rPr>
                <w:sz w:val="16"/>
              </w:rPr>
            </w:pPr>
            <w:r>
              <w:rPr>
                <w:w w:val="118"/>
                <w:sz w:val="16"/>
              </w:rPr>
              <w:t>A</w:t>
            </w:r>
          </w:p>
        </w:tc>
        <w:tc>
          <w:tcPr>
            <w:tcW w:w="1566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(42.5%)</w:t>
            </w:r>
          </w:p>
        </w:tc>
        <w:tc>
          <w:tcPr>
            <w:tcW w:w="1566" w:type="dxa"/>
          </w:tcPr>
          <w:p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sz w:val="16"/>
              </w:rPr>
              <w:t>71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(53.8%)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tcBorders>
              <w:right w:val="nil"/>
            </w:tcBorders>
          </w:tcPr>
          <w:p>
            <w:pPr>
              <w:pStyle w:val="TableParagraph"/>
              <w:spacing w:before="38"/>
              <w:ind w:left="66"/>
              <w:rPr>
                <w:sz w:val="16"/>
              </w:rPr>
            </w:pPr>
            <w:r>
              <w:rPr>
                <w:w w:val="95"/>
                <w:sz w:val="16"/>
              </w:rPr>
              <w:t>0.63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(0.43–0.93)</w:t>
            </w:r>
          </w:p>
        </w:tc>
      </w:tr>
    </w:tbl>
    <w:p>
      <w:pPr>
        <w:spacing w:before="37" w:after="8"/>
        <w:ind w:left="3420" w:right="0" w:firstLine="0"/>
        <w:jc w:val="left"/>
        <w:rPr>
          <w:sz w:val="16"/>
        </w:rPr>
      </w:pPr>
      <w:r>
        <w:rPr>
          <w:sz w:val="16"/>
        </w:rPr>
        <w:t>Genotypes</w:t>
      </w:r>
    </w:p>
    <w:tbl>
      <w:tblPr>
        <w:tblW w:w="0" w:type="auto"/>
        <w:jc w:val="left"/>
        <w:tblInd w:w="3422" w:type="dxa"/>
        <w:tblBorders>
          <w:top w:val="single" w:sz="4" w:space="0" w:color="949598"/>
          <w:left w:val="single" w:sz="4" w:space="0" w:color="949598"/>
          <w:bottom w:val="single" w:sz="4" w:space="0" w:color="949598"/>
          <w:right w:val="single" w:sz="4" w:space="0" w:color="949598"/>
          <w:insideH w:val="single" w:sz="4" w:space="0" w:color="949598"/>
          <w:insideV w:val="single" w:sz="4" w:space="0" w:color="94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1566"/>
        <w:gridCol w:w="1566"/>
        <w:gridCol w:w="1222"/>
        <w:gridCol w:w="1902"/>
      </w:tblGrid>
      <w:tr>
        <w:trPr>
          <w:trHeight w:val="240" w:hRule="atLeast"/>
        </w:trPr>
        <w:tc>
          <w:tcPr>
            <w:tcW w:w="1263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5"/>
              <w:rPr>
                <w:sz w:val="16"/>
              </w:rPr>
            </w:pPr>
            <w:r>
              <w:rPr>
                <w:w w:val="115"/>
                <w:sz w:val="16"/>
              </w:rPr>
              <w:t>GG</w:t>
            </w:r>
          </w:p>
        </w:tc>
        <w:tc>
          <w:tcPr>
            <w:tcW w:w="1566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(30.1%)</w:t>
            </w:r>
          </w:p>
        </w:tc>
        <w:tc>
          <w:tcPr>
            <w:tcW w:w="1566" w:type="dxa"/>
          </w:tcPr>
          <w:p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sz w:val="16"/>
              </w:rPr>
              <w:t>33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(25.0%)</w:t>
            </w:r>
          </w:p>
        </w:tc>
        <w:tc>
          <w:tcPr>
            <w:tcW w:w="1222" w:type="dxa"/>
            <w:vMerge w:val="restart"/>
          </w:tcPr>
          <w:p>
            <w:pPr>
              <w:pStyle w:val="TableParagraph"/>
              <w:spacing w:line="240" w:lineRule="auto" w:before="38"/>
              <w:ind w:left="65"/>
              <w:rPr>
                <w:sz w:val="16"/>
              </w:rPr>
            </w:pPr>
            <w:r>
              <w:rPr>
                <w:sz w:val="16"/>
              </w:rPr>
              <w:t>0.01</w:t>
            </w:r>
          </w:p>
        </w:tc>
        <w:tc>
          <w:tcPr>
            <w:tcW w:w="1902" w:type="dxa"/>
            <w:tcBorders>
              <w:right w:val="nil"/>
            </w:tcBorders>
          </w:tcPr>
          <w:p>
            <w:pPr>
              <w:pStyle w:val="TableParagraph"/>
              <w:spacing w:before="38"/>
              <w:ind w:left="66"/>
              <w:rPr>
                <w:sz w:val="16"/>
              </w:rPr>
            </w:pPr>
            <w:r>
              <w:rPr>
                <w:w w:val="95"/>
                <w:sz w:val="16"/>
              </w:rPr>
              <w:t>1.29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(0.71–2.34)</w:t>
            </w:r>
          </w:p>
        </w:tc>
      </w:tr>
      <w:tr>
        <w:trPr>
          <w:trHeight w:val="237" w:hRule="atLeast"/>
        </w:trPr>
        <w:tc>
          <w:tcPr>
            <w:tcW w:w="1263" w:type="dxa"/>
            <w:tcBorders>
              <w:left w:val="nil"/>
              <w:bottom w:val="single" w:sz="6" w:space="0" w:color="949598"/>
            </w:tcBorders>
          </w:tcPr>
          <w:p>
            <w:pPr>
              <w:pStyle w:val="TableParagraph"/>
              <w:spacing w:line="180" w:lineRule="exact"/>
              <w:ind w:left="5"/>
              <w:rPr>
                <w:sz w:val="16"/>
              </w:rPr>
            </w:pPr>
            <w:r>
              <w:rPr>
                <w:w w:val="115"/>
                <w:sz w:val="16"/>
              </w:rPr>
              <w:t>GA</w:t>
            </w:r>
          </w:p>
        </w:tc>
        <w:tc>
          <w:tcPr>
            <w:tcW w:w="1566" w:type="dxa"/>
            <w:tcBorders>
              <w:bottom w:val="single" w:sz="6" w:space="0" w:color="949598"/>
            </w:tcBorders>
          </w:tcPr>
          <w:p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51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(54.8%)</w:t>
            </w:r>
          </w:p>
        </w:tc>
        <w:tc>
          <w:tcPr>
            <w:tcW w:w="1566" w:type="dxa"/>
            <w:tcBorders>
              <w:bottom w:val="single" w:sz="6" w:space="0" w:color="949598"/>
            </w:tcBorders>
          </w:tcPr>
          <w:p>
            <w:pPr>
              <w:pStyle w:val="TableParagraph"/>
              <w:spacing w:line="180" w:lineRule="exact"/>
              <w:ind w:left="65"/>
              <w:rPr>
                <w:sz w:val="16"/>
              </w:rPr>
            </w:pPr>
            <w:r>
              <w:rPr>
                <w:sz w:val="16"/>
              </w:rPr>
              <w:t>56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(42.4%)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tcBorders>
              <w:bottom w:val="single" w:sz="6" w:space="0" w:color="949598"/>
              <w:right w:val="nil"/>
            </w:tcBorders>
          </w:tcPr>
          <w:p>
            <w:pPr>
              <w:pStyle w:val="TableParagraph"/>
              <w:spacing w:line="180" w:lineRule="exact"/>
              <w:ind w:left="66"/>
              <w:rPr>
                <w:sz w:val="16"/>
              </w:rPr>
            </w:pPr>
            <w:r>
              <w:rPr>
                <w:sz w:val="16"/>
              </w:rPr>
              <w:t>1.65(0.97–2.81)</w:t>
            </w:r>
          </w:p>
        </w:tc>
      </w:tr>
      <w:tr>
        <w:trPr>
          <w:trHeight w:val="237" w:hRule="atLeast"/>
        </w:trPr>
        <w:tc>
          <w:tcPr>
            <w:tcW w:w="1263" w:type="dxa"/>
            <w:tcBorders>
              <w:top w:val="single" w:sz="6" w:space="0" w:color="949598"/>
              <w:left w:val="nil"/>
            </w:tcBorders>
          </w:tcPr>
          <w:p>
            <w:pPr>
              <w:pStyle w:val="TableParagraph"/>
              <w:spacing w:before="35"/>
              <w:ind w:left="5"/>
              <w:rPr>
                <w:sz w:val="16"/>
              </w:rPr>
            </w:pPr>
            <w:r>
              <w:rPr>
                <w:w w:val="120"/>
                <w:sz w:val="16"/>
              </w:rPr>
              <w:t>AA</w:t>
            </w:r>
          </w:p>
        </w:tc>
        <w:tc>
          <w:tcPr>
            <w:tcW w:w="1566" w:type="dxa"/>
            <w:tcBorders>
              <w:top w:val="single" w:sz="6" w:space="0" w:color="949598"/>
            </w:tcBorders>
          </w:tcPr>
          <w:p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(15.1%)</w:t>
            </w:r>
          </w:p>
        </w:tc>
        <w:tc>
          <w:tcPr>
            <w:tcW w:w="1566" w:type="dxa"/>
            <w:tcBorders>
              <w:top w:val="single" w:sz="6" w:space="0" w:color="949598"/>
            </w:tcBorders>
          </w:tcPr>
          <w:p>
            <w:pPr>
              <w:pStyle w:val="TableParagraph"/>
              <w:spacing w:before="35"/>
              <w:ind w:left="65"/>
              <w:rPr>
                <w:sz w:val="16"/>
              </w:rPr>
            </w:pPr>
            <w:r>
              <w:rPr>
                <w:sz w:val="16"/>
              </w:rPr>
              <w:t>43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(32.6%)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tcBorders>
              <w:top w:val="single" w:sz="6" w:space="0" w:color="949598"/>
              <w:right w:val="nil"/>
            </w:tcBorders>
          </w:tcPr>
          <w:p>
            <w:pPr>
              <w:pStyle w:val="TableParagraph"/>
              <w:spacing w:before="35"/>
              <w:ind w:left="66"/>
              <w:rPr>
                <w:sz w:val="16"/>
              </w:rPr>
            </w:pPr>
            <w:r>
              <w:rPr>
                <w:sz w:val="16"/>
              </w:rPr>
              <w:t>0.37(0.19–0.72)</w:t>
            </w:r>
          </w:p>
        </w:tc>
      </w:tr>
    </w:tbl>
    <w:p>
      <w:pPr>
        <w:spacing w:before="139"/>
        <w:ind w:left="3420" w:right="0" w:firstLine="0"/>
        <w:jc w:val="left"/>
        <w:rPr>
          <w:sz w:val="16"/>
        </w:rPr>
      </w:pPr>
      <w:r>
        <w:rPr>
          <w:spacing w:val="-1"/>
          <w:sz w:val="16"/>
        </w:rPr>
        <w:t>P </w:t>
      </w:r>
      <w:r>
        <w:rPr>
          <w:rFonts w:ascii="Lucida Sans Unicode"/>
          <w:spacing w:val="-1"/>
          <w:sz w:val="16"/>
        </w:rPr>
        <w:t>&lt;</w:t>
      </w:r>
      <w:r>
        <w:rPr>
          <w:rFonts w:ascii="Lucida Sans Unicode"/>
          <w:spacing w:val="-14"/>
          <w:sz w:val="16"/>
        </w:rPr>
        <w:t> </w:t>
      </w:r>
      <w:r>
        <w:rPr>
          <w:spacing w:val="-1"/>
          <w:sz w:val="16"/>
        </w:rPr>
        <w:t>0.05</w:t>
      </w:r>
      <w:r>
        <w:rPr>
          <w:spacing w:val="1"/>
          <w:sz w:val="16"/>
        </w:rPr>
        <w:t> </w:t>
      </w:r>
      <w:r>
        <w:rPr>
          <w:sz w:val="16"/>
        </w:rPr>
        <w:t>is significant</w:t>
      </w:r>
    </w:p>
    <w:p>
      <w:pPr>
        <w:spacing w:before="17"/>
        <w:ind w:left="3420" w:right="0" w:firstLine="0"/>
        <w:jc w:val="left"/>
        <w:rPr>
          <w:sz w:val="16"/>
        </w:rPr>
      </w:pPr>
      <w:r>
        <w:rPr>
          <w:sz w:val="16"/>
        </w:rPr>
        <w:t>OR–Odds</w:t>
      </w:r>
      <w:r>
        <w:rPr>
          <w:spacing w:val="16"/>
          <w:sz w:val="16"/>
        </w:rPr>
        <w:t> </w:t>
      </w:r>
      <w:r>
        <w:rPr>
          <w:sz w:val="16"/>
        </w:rPr>
        <w:t>Ratio</w:t>
      </w:r>
      <w:r>
        <w:rPr>
          <w:spacing w:val="16"/>
          <w:sz w:val="16"/>
        </w:rPr>
        <w:t> </w:t>
      </w:r>
      <w:r>
        <w:rPr>
          <w:sz w:val="16"/>
        </w:rPr>
        <w:t>(95%</w:t>
      </w:r>
      <w:r>
        <w:rPr>
          <w:spacing w:val="16"/>
          <w:sz w:val="16"/>
        </w:rPr>
        <w:t> </w:t>
      </w:r>
      <w:r>
        <w:rPr>
          <w:sz w:val="16"/>
        </w:rPr>
        <w:t>CI—95%</w:t>
      </w:r>
      <w:r>
        <w:rPr>
          <w:spacing w:val="16"/>
          <w:sz w:val="16"/>
        </w:rPr>
        <w:t> </w:t>
      </w:r>
      <w:r>
        <w:rPr>
          <w:sz w:val="16"/>
        </w:rPr>
        <w:t>Confidence</w:t>
      </w:r>
      <w:r>
        <w:rPr>
          <w:spacing w:val="14"/>
          <w:sz w:val="16"/>
        </w:rPr>
        <w:t> </w:t>
      </w:r>
      <w:r>
        <w:rPr>
          <w:sz w:val="16"/>
        </w:rPr>
        <w:t>Interval)</w:t>
      </w:r>
    </w:p>
    <w:p>
      <w:pPr>
        <w:spacing w:before="45"/>
        <w:ind w:left="3420" w:right="0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multiplicative</w:t>
      </w:r>
      <w:r>
        <w:rPr>
          <w:spacing w:val="-7"/>
          <w:sz w:val="16"/>
        </w:rPr>
        <w:t> </w:t>
      </w:r>
      <w:r>
        <w:rPr>
          <w:sz w:val="16"/>
        </w:rPr>
        <w:t>model</w:t>
      </w:r>
      <w:r>
        <w:rPr>
          <w:spacing w:val="-7"/>
          <w:sz w:val="16"/>
        </w:rPr>
        <w:t> </w:t>
      </w:r>
      <w:r>
        <w:rPr>
          <w:sz w:val="16"/>
        </w:rPr>
        <w:t>(df</w:t>
      </w:r>
      <w:r>
        <w:rPr>
          <w:spacing w:val="-7"/>
          <w:sz w:val="16"/>
        </w:rPr>
        <w:t> </w:t>
      </w:r>
      <w:r>
        <w:rPr>
          <w:sz w:val="16"/>
        </w:rPr>
        <w:t>=</w:t>
      </w:r>
      <w:r>
        <w:rPr>
          <w:spacing w:val="-7"/>
          <w:sz w:val="16"/>
        </w:rPr>
        <w:t> </w:t>
      </w:r>
      <w:r>
        <w:rPr>
          <w:sz w:val="16"/>
        </w:rPr>
        <w:t>1)</w:t>
      </w:r>
      <w:r>
        <w:rPr>
          <w:spacing w:val="-6"/>
          <w:sz w:val="16"/>
        </w:rPr>
        <w:t> </w:t>
      </w:r>
      <w:r>
        <w:rPr>
          <w:sz w:val="16"/>
        </w:rPr>
        <w:t>was</w:t>
      </w:r>
      <w:r>
        <w:rPr>
          <w:spacing w:val="-7"/>
          <w:sz w:val="16"/>
        </w:rPr>
        <w:t> </w:t>
      </w:r>
      <w:r>
        <w:rPr>
          <w:sz w:val="16"/>
        </w:rPr>
        <w:t>used</w:t>
      </w:r>
      <w:r>
        <w:rPr>
          <w:spacing w:val="-7"/>
          <w:sz w:val="16"/>
        </w:rPr>
        <w:t> </w:t>
      </w:r>
      <w:r>
        <w:rPr>
          <w:sz w:val="16"/>
        </w:rPr>
        <w:t>to</w:t>
      </w:r>
      <w:r>
        <w:rPr>
          <w:spacing w:val="-7"/>
          <w:sz w:val="16"/>
        </w:rPr>
        <w:t> </w:t>
      </w:r>
      <w:r>
        <w:rPr>
          <w:sz w:val="16"/>
        </w:rPr>
        <w:t>identify</w:t>
      </w:r>
      <w:r>
        <w:rPr>
          <w:spacing w:val="-7"/>
          <w:sz w:val="16"/>
        </w:rPr>
        <w:t> </w:t>
      </w:r>
      <w:r>
        <w:rPr>
          <w:sz w:val="16"/>
        </w:rPr>
        <w:t>the</w:t>
      </w:r>
      <w:r>
        <w:rPr>
          <w:spacing w:val="-7"/>
          <w:sz w:val="16"/>
        </w:rPr>
        <w:t> </w:t>
      </w:r>
      <w:r>
        <w:rPr>
          <w:sz w:val="16"/>
        </w:rPr>
        <w:t>association</w:t>
      </w:r>
      <w:r>
        <w:rPr>
          <w:spacing w:val="-7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z w:val="16"/>
        </w:rPr>
        <w:t>alleles</w:t>
      </w:r>
      <w:r>
        <w:rPr>
          <w:spacing w:val="-8"/>
          <w:sz w:val="16"/>
        </w:rPr>
        <w:t> </w:t>
      </w:r>
      <w:r>
        <w:rPr>
          <w:sz w:val="16"/>
        </w:rPr>
        <w:t>with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7"/>
          <w:sz w:val="16"/>
        </w:rPr>
        <w:t> </w:t>
      </w:r>
      <w:r>
        <w:rPr>
          <w:sz w:val="16"/>
        </w:rPr>
        <w:t>disease</w:t>
      </w:r>
    </w:p>
    <w:p>
      <w:pPr>
        <w:spacing w:before="44"/>
        <w:ind w:left="3420" w:right="0" w:firstLine="0"/>
        <w:jc w:val="left"/>
        <w:rPr>
          <w:sz w:val="16"/>
        </w:rPr>
      </w:pPr>
      <w:r>
        <w:rPr/>
        <w:pict>
          <v:rect style="position:absolute;margin-left:200pt;margin-top:15.342397pt;width:375.999pt;height:.5pt;mso-position-horizontal-relative:page;mso-position-vertical-relative:paragraph;z-index:-15705600;mso-wrap-distance-left:0;mso-wrap-distance-right:0" filled="true" fillcolor="#949598" stroked="false">
            <v:fill type="solid"/>
            <w10:wrap type="topAndBottom"/>
          </v:rect>
        </w:pict>
      </w:r>
      <w:r>
        <w:rPr>
          <w:w w:val="95"/>
          <w:sz w:val="16"/>
        </w:rPr>
        <w:t>A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general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inheritance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model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(df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=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2)</w:t>
      </w:r>
      <w:r>
        <w:rPr>
          <w:spacing w:val="12"/>
          <w:w w:val="95"/>
          <w:sz w:val="16"/>
        </w:rPr>
        <w:t> </w:t>
      </w:r>
      <w:r>
        <w:rPr>
          <w:w w:val="95"/>
          <w:sz w:val="16"/>
        </w:rPr>
        <w:t>was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used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to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identify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the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association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genotypes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with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the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disease</w:t>
      </w:r>
    </w:p>
    <w:p>
      <w:pPr>
        <w:spacing w:before="61"/>
        <w:ind w:left="3420" w:right="0" w:firstLine="0"/>
        <w:jc w:val="left"/>
        <w:rPr>
          <w:rFonts w:ascii="Arial MT"/>
          <w:sz w:val="16"/>
        </w:rPr>
      </w:pPr>
      <w:hyperlink r:id="rId21">
        <w:r>
          <w:rPr>
            <w:rFonts w:ascii="Arial MT"/>
            <w:color w:val="3E65AC"/>
            <w:sz w:val="16"/>
          </w:rPr>
          <w:t>https://doi.org/10.1371/journal.pone.0271719.t004</w:t>
        </w:r>
      </w:hyperlink>
    </w:p>
    <w:p>
      <w:pPr>
        <w:pStyle w:val="BodyText"/>
        <w:spacing w:line="20" w:lineRule="exact"/>
        <w:ind w:left="342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50.75pt;height:.1pt;mso-position-horizontal-relative:char;mso-position-vertical-relative:line" coordorigin="0,0" coordsize="3015,2">
            <v:shape style="position:absolute;left:0;top:0;width:3015;height:2" coordorigin="0,0" coordsize="3015,0" path="m3015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spacing w:after="0" w:line="20" w:lineRule="exact"/>
        <w:rPr>
          <w:rFonts w:ascii="Arial MT"/>
          <w:sz w:val="2"/>
        </w:rPr>
        <w:sectPr>
          <w:pgSz w:w="12240" w:h="15840"/>
          <w:pgMar w:header="705" w:footer="680" w:top="1080" w:bottom="880" w:left="580" w:right="600"/>
        </w:sectPr>
      </w:pPr>
    </w:p>
    <w:p>
      <w:pPr>
        <w:pStyle w:val="BodyText"/>
        <w:spacing w:before="10"/>
        <w:rPr>
          <w:rFonts w:ascii="Arial MT"/>
          <w:sz w:val="27"/>
        </w:rPr>
      </w:pPr>
    </w:p>
    <w:p>
      <w:pPr>
        <w:spacing w:line="235" w:lineRule="auto" w:before="98" w:after="53"/>
        <w:ind w:left="3420" w:right="0" w:firstLine="0"/>
        <w:jc w:val="left"/>
        <w:rPr>
          <w:b/>
          <w:sz w:val="16"/>
        </w:rPr>
      </w:pPr>
      <w:bookmarkStart w:name="_bookmark24" w:id="26"/>
      <w:bookmarkEnd w:id="26"/>
      <w:r>
        <w:rPr/>
      </w:r>
      <w:bookmarkStart w:name="_bookmark25" w:id="27"/>
      <w:bookmarkEnd w:id="27"/>
      <w:r>
        <w:rPr/>
      </w:r>
      <w:bookmarkStart w:name="_bookmark26" w:id="28"/>
      <w:bookmarkEnd w:id="28"/>
      <w:r>
        <w:rPr/>
      </w:r>
      <w:hyperlink w:history="true" w:anchor="_bookmark22">
        <w:r>
          <w:rPr>
            <w:b/>
            <w:spacing w:val="-1"/>
            <w:sz w:val="16"/>
          </w:rPr>
          <w:t>Table</w:t>
        </w:r>
        <w:r>
          <w:rPr>
            <w:b/>
            <w:spacing w:val="-7"/>
            <w:sz w:val="16"/>
          </w:rPr>
          <w:t> </w:t>
        </w:r>
        <w:r>
          <w:rPr>
            <w:b/>
            <w:spacing w:val="-1"/>
            <w:sz w:val="16"/>
          </w:rPr>
          <w:t>5.</w:t>
        </w:r>
      </w:hyperlink>
      <w:r>
        <w:rPr>
          <w:b/>
          <w:spacing w:val="24"/>
          <w:sz w:val="16"/>
        </w:rPr>
        <w:t> </w:t>
      </w:r>
      <w:r>
        <w:rPr>
          <w:b/>
          <w:spacing w:val="-1"/>
          <w:sz w:val="16"/>
        </w:rPr>
        <w:t>Statistical</w:t>
      </w:r>
      <w:r>
        <w:rPr>
          <w:b/>
          <w:spacing w:val="-7"/>
          <w:sz w:val="16"/>
        </w:rPr>
        <w:t> </w:t>
      </w:r>
      <w:r>
        <w:rPr>
          <w:b/>
          <w:spacing w:val="-1"/>
          <w:sz w:val="16"/>
        </w:rPr>
        <w:t>association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between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serum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BDNF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levels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rFonts w:ascii="Times New Roman"/>
          <w:b/>
          <w:i/>
          <w:sz w:val="16"/>
        </w:rPr>
        <w:t>BDNF</w:t>
      </w:r>
      <w:r>
        <w:rPr>
          <w:rFonts w:ascii="Times New Roman"/>
          <w:b/>
          <w:i/>
          <w:spacing w:val="-10"/>
          <w:sz w:val="16"/>
        </w:rPr>
        <w:t> </w:t>
      </w:r>
      <w:r>
        <w:rPr>
          <w:b/>
          <w:sz w:val="16"/>
        </w:rPr>
        <w:t>rs11030094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genotypes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case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con-</w:t>
      </w:r>
      <w:r>
        <w:rPr>
          <w:b/>
          <w:spacing w:val="-34"/>
          <w:sz w:val="16"/>
        </w:rPr>
        <w:t> </w:t>
      </w:r>
      <w:r>
        <w:rPr>
          <w:b/>
          <w:sz w:val="16"/>
        </w:rPr>
        <w:t>trol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groups.</w:t>
      </w:r>
    </w:p>
    <w:tbl>
      <w:tblPr>
        <w:tblW w:w="0" w:type="auto"/>
        <w:jc w:val="left"/>
        <w:tblInd w:w="3422" w:type="dxa"/>
        <w:tblBorders>
          <w:top w:val="single" w:sz="4" w:space="0" w:color="949598"/>
          <w:left w:val="single" w:sz="4" w:space="0" w:color="949598"/>
          <w:bottom w:val="single" w:sz="4" w:space="0" w:color="949598"/>
          <w:right w:val="single" w:sz="4" w:space="0" w:color="949598"/>
          <w:insideH w:val="single" w:sz="4" w:space="0" w:color="949598"/>
          <w:insideV w:val="single" w:sz="4" w:space="0" w:color="94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1648"/>
        <w:gridCol w:w="1648"/>
        <w:gridCol w:w="1648"/>
        <w:gridCol w:w="882"/>
      </w:tblGrid>
      <w:tr>
        <w:trPr>
          <w:trHeight w:val="240" w:hRule="atLeast"/>
        </w:trPr>
        <w:tc>
          <w:tcPr>
            <w:tcW w:w="1692" w:type="dxa"/>
            <w:tcBorders>
              <w:left w:val="nil"/>
            </w:tcBorders>
          </w:tcPr>
          <w:p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bookmarkStart w:name="_bookmark27" w:id="29"/>
            <w:bookmarkEnd w:id="29"/>
            <w:r>
              <w:rPr/>
            </w:r>
            <w:r>
              <w:rPr>
                <w:b/>
                <w:sz w:val="16"/>
              </w:rPr>
              <w:t>Study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z w:val="16"/>
              </w:rPr>
              <w:t>group</w:t>
            </w:r>
          </w:p>
        </w:tc>
        <w:tc>
          <w:tcPr>
            <w:tcW w:w="1648" w:type="dxa"/>
            <w:tcBorders>
              <w:right w:val="single" w:sz="6" w:space="0" w:color="949598"/>
            </w:tcBorders>
          </w:tcPr>
          <w:p>
            <w:pPr>
              <w:pStyle w:val="TableParagraph"/>
              <w:spacing w:line="183" w:lineRule="exact"/>
              <w:ind w:left="45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GG</w:t>
            </w:r>
          </w:p>
        </w:tc>
        <w:tc>
          <w:tcPr>
            <w:tcW w:w="1648" w:type="dxa"/>
            <w:tcBorders>
              <w:left w:val="single" w:sz="6" w:space="0" w:color="949598"/>
            </w:tcBorders>
          </w:tcPr>
          <w:p>
            <w:pPr>
              <w:pStyle w:val="TableParagraph"/>
              <w:spacing w:line="183" w:lineRule="exact"/>
              <w:ind w:left="43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GA</w:t>
            </w:r>
          </w:p>
        </w:tc>
        <w:tc>
          <w:tcPr>
            <w:tcW w:w="1648" w:type="dxa"/>
          </w:tcPr>
          <w:p>
            <w:pPr>
              <w:pStyle w:val="TableParagraph"/>
              <w:spacing w:line="183" w:lineRule="exact"/>
              <w:ind w:left="4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AA</w:t>
            </w:r>
          </w:p>
        </w:tc>
        <w:tc>
          <w:tcPr>
            <w:tcW w:w="882" w:type="dxa"/>
            <w:tcBorders>
              <w:right w:val="nil"/>
            </w:tcBorders>
          </w:tcPr>
          <w:p>
            <w:pPr>
              <w:pStyle w:val="TableParagraph"/>
              <w:spacing w:line="172" w:lineRule="auto" w:before="46"/>
              <w:ind w:left="46"/>
              <w:rPr>
                <w:rFonts w:ascii="Symbol" w:hAnsi="Symbol"/>
                <w:sz w:val="11"/>
              </w:rPr>
            </w:pPr>
            <w:r>
              <w:rPr>
                <w:b/>
                <w:position w:val="-5"/>
                <w:sz w:val="16"/>
              </w:rPr>
              <w:t>p</w:t>
            </w:r>
            <w:r>
              <w:rPr>
                <w:rFonts w:ascii="Symbol" w:hAnsi="Symbol"/>
                <w:sz w:val="11"/>
              </w:rPr>
              <w:t>𝜔</w:t>
            </w:r>
          </w:p>
        </w:tc>
      </w:tr>
      <w:tr>
        <w:trPr>
          <w:trHeight w:val="240" w:hRule="atLeast"/>
        </w:trPr>
        <w:tc>
          <w:tcPr>
            <w:tcW w:w="1692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Case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93)</w:t>
            </w:r>
          </w:p>
        </w:tc>
        <w:tc>
          <w:tcPr>
            <w:tcW w:w="1648" w:type="dxa"/>
            <w:tcBorders>
              <w:right w:val="single" w:sz="6" w:space="0" w:color="949598"/>
            </w:tcBorders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w w:val="95"/>
                <w:sz w:val="16"/>
              </w:rPr>
              <w:t>2.52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(2.26–3.23)</w:t>
            </w:r>
          </w:p>
        </w:tc>
        <w:tc>
          <w:tcPr>
            <w:tcW w:w="1648" w:type="dxa"/>
            <w:tcBorders>
              <w:left w:val="single" w:sz="6" w:space="0" w:color="949598"/>
            </w:tcBorders>
          </w:tcPr>
          <w:p>
            <w:pPr>
              <w:pStyle w:val="TableParagraph"/>
              <w:spacing w:before="38"/>
              <w:ind w:left="62"/>
              <w:rPr>
                <w:sz w:val="16"/>
              </w:rPr>
            </w:pPr>
            <w:r>
              <w:rPr>
                <w:w w:val="95"/>
                <w:sz w:val="16"/>
              </w:rPr>
              <w:t>2.62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(1.83–3.0)</w:t>
            </w:r>
          </w:p>
        </w:tc>
        <w:tc>
          <w:tcPr>
            <w:tcW w:w="1648" w:type="dxa"/>
          </w:tcPr>
          <w:p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2.71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(1.72–3.0)</w:t>
            </w:r>
          </w:p>
        </w:tc>
        <w:tc>
          <w:tcPr>
            <w:tcW w:w="882" w:type="dxa"/>
            <w:tcBorders>
              <w:right w:val="nil"/>
            </w:tcBorders>
          </w:tcPr>
          <w:p>
            <w:pPr>
              <w:pStyle w:val="TableParagraph"/>
              <w:spacing w:before="38"/>
              <w:ind w:left="66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</w:tr>
      <w:tr>
        <w:trPr>
          <w:trHeight w:val="240" w:hRule="atLeast"/>
        </w:trPr>
        <w:tc>
          <w:tcPr>
            <w:tcW w:w="1692" w:type="dxa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Control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(n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132)</w:t>
            </w:r>
          </w:p>
        </w:tc>
        <w:tc>
          <w:tcPr>
            <w:tcW w:w="1648" w:type="dxa"/>
            <w:tcBorders>
              <w:right w:val="single" w:sz="6" w:space="0" w:color="949598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3.31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(2.55–4.27)</w:t>
            </w:r>
          </w:p>
        </w:tc>
        <w:tc>
          <w:tcPr>
            <w:tcW w:w="1648" w:type="dxa"/>
            <w:tcBorders>
              <w:left w:val="single" w:sz="6" w:space="0" w:color="949598"/>
            </w:tcBorders>
          </w:tcPr>
          <w:p>
            <w:pPr>
              <w:pStyle w:val="TableParagraph"/>
              <w:ind w:left="62"/>
              <w:rPr>
                <w:sz w:val="16"/>
              </w:rPr>
            </w:pPr>
            <w:r>
              <w:rPr>
                <w:w w:val="95"/>
                <w:sz w:val="16"/>
              </w:rPr>
              <w:t>3.14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(2.17–3.89)</w:t>
            </w:r>
          </w:p>
        </w:tc>
        <w:tc>
          <w:tcPr>
            <w:tcW w:w="1648" w:type="dxa"/>
          </w:tcPr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2.91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(2.22–4.08)</w:t>
            </w:r>
          </w:p>
        </w:tc>
        <w:tc>
          <w:tcPr>
            <w:tcW w:w="882" w:type="dxa"/>
            <w:tcBorders>
              <w:right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</w:tr>
      <w:tr>
        <w:trPr>
          <w:trHeight w:val="237" w:hRule="atLeast"/>
        </w:trPr>
        <w:tc>
          <w:tcPr>
            <w:tcW w:w="1692" w:type="dxa"/>
            <w:tcBorders>
              <w:left w:val="nil"/>
              <w:bottom w:val="single" w:sz="6" w:space="0" w:color="949598"/>
            </w:tcBorders>
          </w:tcPr>
          <w:p>
            <w:pPr>
              <w:pStyle w:val="TableParagraph"/>
              <w:spacing w:line="172" w:lineRule="auto" w:before="46"/>
              <w:ind w:left="5"/>
              <w:rPr>
                <w:rFonts w:ascii="Symbol" w:hAnsi="Symbol"/>
                <w:sz w:val="11"/>
              </w:rPr>
            </w:pPr>
            <w:bookmarkStart w:name="_bookmark28" w:id="30"/>
            <w:bookmarkEnd w:id="30"/>
            <w:r>
              <w:rPr/>
            </w:r>
            <w:r>
              <w:rPr>
                <w:position w:val="-5"/>
                <w:sz w:val="16"/>
              </w:rPr>
              <w:t>p</w:t>
            </w:r>
            <w:r>
              <w:rPr>
                <w:rFonts w:ascii="Symbol" w:hAnsi="Symbol"/>
                <w:sz w:val="11"/>
              </w:rPr>
              <w:t>𝜔𝜔</w:t>
            </w:r>
          </w:p>
        </w:tc>
        <w:tc>
          <w:tcPr>
            <w:tcW w:w="1648" w:type="dxa"/>
            <w:tcBorders>
              <w:bottom w:val="single" w:sz="6" w:space="0" w:color="949598"/>
              <w:right w:val="single" w:sz="6" w:space="0" w:color="949598"/>
            </w:tcBorders>
          </w:tcPr>
          <w:p>
            <w:pPr>
              <w:pStyle w:val="TableParagraph"/>
              <w:spacing w:line="179" w:lineRule="exact" w:before="38"/>
              <w:rPr>
                <w:sz w:val="16"/>
              </w:rPr>
            </w:pPr>
            <w:r>
              <w:rPr>
                <w:sz w:val="16"/>
              </w:rPr>
              <w:t>0.032</w:t>
            </w:r>
          </w:p>
        </w:tc>
        <w:tc>
          <w:tcPr>
            <w:tcW w:w="1648" w:type="dxa"/>
            <w:tcBorders>
              <w:left w:val="single" w:sz="6" w:space="0" w:color="949598"/>
              <w:bottom w:val="single" w:sz="6" w:space="0" w:color="949598"/>
            </w:tcBorders>
          </w:tcPr>
          <w:p>
            <w:pPr>
              <w:pStyle w:val="TableParagraph"/>
              <w:spacing w:line="179" w:lineRule="exact" w:before="38"/>
              <w:ind w:left="62"/>
              <w:rPr>
                <w:sz w:val="16"/>
              </w:rPr>
            </w:pPr>
            <w:r>
              <w:rPr>
                <w:sz w:val="16"/>
              </w:rPr>
              <w:t>0.007</w:t>
            </w:r>
          </w:p>
        </w:tc>
        <w:tc>
          <w:tcPr>
            <w:tcW w:w="1648" w:type="dxa"/>
            <w:tcBorders>
              <w:bottom w:val="single" w:sz="6" w:space="0" w:color="949598"/>
            </w:tcBorders>
          </w:tcPr>
          <w:p>
            <w:pPr>
              <w:pStyle w:val="TableParagraph"/>
              <w:spacing w:line="179" w:lineRule="exact" w:before="38"/>
              <w:ind w:left="65"/>
              <w:rPr>
                <w:sz w:val="16"/>
              </w:rPr>
            </w:pPr>
            <w:r>
              <w:rPr>
                <w:sz w:val="16"/>
              </w:rPr>
              <w:t>0.15</w:t>
            </w:r>
          </w:p>
        </w:tc>
        <w:tc>
          <w:tcPr>
            <w:tcW w:w="882" w:type="dxa"/>
            <w:tcBorders>
              <w:bottom w:val="single" w:sz="6" w:space="0" w:color="949598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  <w:rPr>
          <w:b/>
          <w:sz w:val="13"/>
        </w:rPr>
      </w:pPr>
    </w:p>
    <w:p>
      <w:pPr>
        <w:spacing w:before="0"/>
        <w:ind w:left="3420" w:right="0" w:firstLine="0"/>
        <w:jc w:val="left"/>
        <w:rPr>
          <w:sz w:val="16"/>
        </w:rPr>
      </w:pPr>
      <w:r>
        <w:rPr>
          <w:sz w:val="16"/>
        </w:rPr>
        <w:t>Data</w:t>
      </w:r>
      <w:r>
        <w:rPr>
          <w:spacing w:val="4"/>
          <w:sz w:val="16"/>
        </w:rPr>
        <w:t> </w:t>
      </w:r>
      <w:r>
        <w:rPr>
          <w:sz w:val="16"/>
        </w:rPr>
        <w:t>are</w:t>
      </w:r>
      <w:r>
        <w:rPr>
          <w:spacing w:val="5"/>
          <w:sz w:val="16"/>
        </w:rPr>
        <w:t> </w:t>
      </w:r>
      <w:r>
        <w:rPr>
          <w:sz w:val="16"/>
        </w:rPr>
        <w:t>given</w:t>
      </w:r>
      <w:r>
        <w:rPr>
          <w:spacing w:val="5"/>
          <w:sz w:val="16"/>
        </w:rPr>
        <w:t> </w:t>
      </w:r>
      <w:r>
        <w:rPr>
          <w:sz w:val="16"/>
        </w:rPr>
        <w:t>as</w:t>
      </w:r>
      <w:r>
        <w:rPr>
          <w:spacing w:val="7"/>
          <w:sz w:val="16"/>
        </w:rPr>
        <w:t> </w:t>
      </w:r>
      <w:r>
        <w:rPr>
          <w:sz w:val="16"/>
        </w:rPr>
        <w:t>Me</w:t>
      </w:r>
      <w:r>
        <w:rPr>
          <w:spacing w:val="4"/>
          <w:sz w:val="16"/>
        </w:rPr>
        <w:t> </w:t>
      </w:r>
      <w:r>
        <w:rPr>
          <w:sz w:val="16"/>
        </w:rPr>
        <w:t>(Q</w:t>
      </w:r>
      <w:r>
        <w:rPr>
          <w:sz w:val="16"/>
          <w:vertAlign w:val="subscript"/>
        </w:rPr>
        <w:t>1</w:t>
      </w:r>
      <w:r>
        <w:rPr>
          <w:sz w:val="16"/>
          <w:vertAlign w:val="baseline"/>
        </w:rPr>
        <w:t>-Q</w:t>
      </w:r>
      <w:r>
        <w:rPr>
          <w:sz w:val="16"/>
          <w:vertAlign w:val="subscript"/>
        </w:rPr>
        <w:t>3</w:t>
      </w:r>
      <w:r>
        <w:rPr>
          <w:sz w:val="16"/>
          <w:vertAlign w:val="baseline"/>
        </w:rPr>
        <w:t>)</w:t>
      </w:r>
    </w:p>
    <w:p>
      <w:pPr>
        <w:spacing w:line="283" w:lineRule="auto" w:before="37"/>
        <w:ind w:left="3420" w:right="1290" w:firstLine="0"/>
        <w:jc w:val="left"/>
        <w:rPr>
          <w:sz w:val="16"/>
        </w:rPr>
      </w:pPr>
      <w:r>
        <w:rPr/>
        <w:pict>
          <v:rect style="position:absolute;margin-left:200pt;margin-top:27.392702pt;width:376pt;height:.5pt;mso-position-horizontal-relative:page;mso-position-vertical-relative:paragraph;z-index:-15703040;mso-wrap-distance-left:0;mso-wrap-distance-right:0" filled="true" fillcolor="#949598" stroked="false">
            <v:fill type="solid"/>
            <w10:wrap type="topAndBottom"/>
          </v:rect>
        </w:pict>
      </w:r>
      <w:r>
        <w:rPr>
          <w:sz w:val="16"/>
        </w:rPr>
        <w:t>p</w:t>
      </w:r>
      <w:r>
        <w:rPr>
          <w:rFonts w:ascii="Symbol" w:hAnsi="Symbol"/>
          <w:sz w:val="16"/>
          <w:vertAlign w:val="superscript"/>
        </w:rPr>
        <w:t>𝜔</w:t>
      </w:r>
      <w:r>
        <w:rPr>
          <w:sz w:val="16"/>
          <w:vertAlign w:val="baseline"/>
        </w:rPr>
        <w:t>–P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value of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CRH levels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between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GG,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GT,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genotypes in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both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control groups</w:t>
      </w:r>
      <w:r>
        <w:rPr>
          <w:spacing w:val="-33"/>
          <w:sz w:val="16"/>
          <w:vertAlign w:val="baseline"/>
        </w:rPr>
        <w:t> </w:t>
      </w:r>
      <w:r>
        <w:rPr>
          <w:sz w:val="16"/>
          <w:vertAlign w:val="baseline"/>
        </w:rPr>
        <w:t>p</w:t>
      </w:r>
      <w:r>
        <w:rPr>
          <w:rFonts w:ascii="Symbol" w:hAnsi="Symbol"/>
          <w:sz w:val="16"/>
          <w:vertAlign w:val="superscript"/>
        </w:rPr>
        <w:t>𝜔𝜔</w:t>
      </w:r>
      <w:r>
        <w:rPr>
          <w:sz w:val="16"/>
          <w:vertAlign w:val="baseline"/>
        </w:rPr>
        <w:t>–P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value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between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 CRH levels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within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genotype subgroup</w:t>
      </w:r>
    </w:p>
    <w:p>
      <w:pPr>
        <w:spacing w:before="60"/>
        <w:ind w:left="3420" w:right="0" w:firstLine="0"/>
        <w:jc w:val="left"/>
        <w:rPr>
          <w:rFonts w:ascii="Arial MT"/>
          <w:sz w:val="16"/>
        </w:rPr>
      </w:pPr>
      <w:hyperlink r:id="rId22">
        <w:r>
          <w:rPr>
            <w:rFonts w:ascii="Arial MT"/>
            <w:color w:val="3E65AC"/>
            <w:sz w:val="16"/>
          </w:rPr>
          <w:t>https://doi.org/10.1371/journal.pone.0271719.t005</w:t>
        </w:r>
      </w:hyperlink>
    </w:p>
    <w:p>
      <w:pPr>
        <w:pStyle w:val="BodyText"/>
        <w:spacing w:line="20" w:lineRule="exact"/>
        <w:ind w:left="342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50.75pt;height:.1pt;mso-position-horizontal-relative:char;mso-position-vertical-relative:line" coordorigin="0,0" coordsize="3015,2">
            <v:shape style="position:absolute;left:0;top:0;width:3015;height:2" coordorigin="0,0" coordsize="3015,0" path="m3015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BodyText"/>
        <w:spacing w:before="4"/>
        <w:rPr>
          <w:rFonts w:ascii="Arial MT"/>
          <w:sz w:val="16"/>
        </w:rPr>
      </w:pPr>
    </w:p>
    <w:p>
      <w:pPr>
        <w:pStyle w:val="BodyText"/>
        <w:spacing w:before="60"/>
        <w:ind w:left="3420"/>
      </w:pPr>
      <w:r>
        <w:rPr/>
        <w:pict>
          <v:shape style="position:absolute;margin-left:252.906998pt;margin-top:13.598515pt;width:9.550pt;height:.1pt;mso-position-horizontal-relative:page;mso-position-vertical-relative:paragraph;z-index:15755264" coordorigin="5058,272" coordsize="191,0" path="m5249,272l5058,272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7.591003pt;margin-top:13.598515pt;width:9.550pt;height:.1pt;mso-position-horizontal-relative:page;mso-position-vertical-relative:paragraph;z-index:15755776" coordorigin="5352,272" coordsize="191,0" path="m5542,272l5352,272e" filled="true" fillcolor="#3e65ac" stroked="false">
            <v:path arrowok="t"/>
            <v:fill type="solid"/>
            <w10:wrap type="none"/>
          </v:shape>
        </w:pict>
      </w:r>
      <w:r>
        <w:rPr>
          <w:spacing w:val="-1"/>
        </w:rPr>
        <w:t>populations</w:t>
      </w:r>
      <w:r>
        <w:rPr>
          <w:spacing w:val="-9"/>
        </w:rPr>
        <w:t> </w:t>
      </w:r>
      <w:r>
        <w:rPr>
          <w:spacing w:val="-1"/>
        </w:rPr>
        <w:t>[</w:t>
      </w:r>
      <w:hyperlink w:history="true" w:anchor="_bookmark71">
        <w:r>
          <w:rPr>
            <w:color w:val="3E65AC"/>
            <w:spacing w:val="-1"/>
          </w:rPr>
          <w:t>26</w:t>
        </w:r>
      </w:hyperlink>
      <w:r>
        <w:rPr>
          <w:spacing w:val="-1"/>
        </w:rPr>
        <w:t>–</w:t>
      </w:r>
      <w:hyperlink w:history="true" w:anchor="_bookmark72">
        <w:r>
          <w:rPr>
            <w:color w:val="3E65AC"/>
            <w:spacing w:val="-1"/>
          </w:rPr>
          <w:t>28</w:t>
        </w:r>
      </w:hyperlink>
      <w:r>
        <w:rPr>
          <w:spacing w:val="-1"/>
        </w:rPr>
        <w:t>].</w:t>
      </w:r>
      <w:r>
        <w:rPr>
          <w:spacing w:val="-8"/>
        </w:rPr>
        <w:t> </w:t>
      </w:r>
      <w:r>
        <w:rPr>
          <w:spacing w:val="-1"/>
        </w:rPr>
        <w:t>Some</w:t>
      </w:r>
      <w:r>
        <w:rPr>
          <w:spacing w:val="-10"/>
        </w:rPr>
        <w:t> </w:t>
      </w:r>
      <w:r>
        <w:rPr>
          <w:spacing w:val="-1"/>
        </w:rPr>
        <w:t>studies</w:t>
      </w:r>
      <w:r>
        <w:rPr>
          <w:spacing w:val="-8"/>
        </w:rPr>
        <w:t> </w:t>
      </w:r>
      <w:r>
        <w:rPr>
          <w:spacing w:val="-1"/>
        </w:rPr>
        <w:t>are</w:t>
      </w:r>
      <w:r>
        <w:rPr>
          <w:spacing w:val="-10"/>
        </w:rPr>
        <w:t> </w:t>
      </w:r>
      <w:r>
        <w:rPr>
          <w:spacing w:val="-1"/>
        </w:rPr>
        <w:t>mainly</w:t>
      </w:r>
      <w:r>
        <w:rPr>
          <w:spacing w:val="-9"/>
        </w:rPr>
        <w:t> </w:t>
      </w:r>
      <w:r>
        <w:rPr>
          <w:spacing w:val="-1"/>
        </w:rPr>
        <w:t>concerned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polymorphism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</w:p>
    <w:p>
      <w:pPr>
        <w:pStyle w:val="BodyText"/>
        <w:spacing w:line="256" w:lineRule="auto" w:before="16"/>
        <w:ind w:left="3420"/>
      </w:pPr>
      <w:r>
        <w:rPr/>
        <w:pict>
          <v:shape style="position:absolute;margin-left:458.81601pt;margin-top:11.399459pt;width:9.550pt;height:.1pt;mso-position-horizontal-relative:page;mso-position-vertical-relative:paragraph;z-index:-16712192" coordorigin="9176,228" coordsize="191,0" path="m9367,228l9176,228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2.132019pt;margin-top:50.403458pt;width:9.550pt;height:.1pt;mso-position-horizontal-relative:page;mso-position-vertical-relative:paragraph;z-index:-16711680" coordorigin="11043,1008" coordsize="191,0" path="m11233,1008l11043,1008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9.074005pt;margin-top:89.408455pt;width:9.550pt;height:.1pt;mso-position-horizontal-relative:page;mso-position-vertical-relative:paragraph;z-index:-16711168" coordorigin="4781,1788" coordsize="191,0" path="m4972,1788l4781,1788e" filled="true" fillcolor="#3e65ac" stroked="false">
            <v:path arrowok="t"/>
            <v:fill type="solid"/>
            <w10:wrap type="none"/>
          </v:shape>
        </w:pict>
      </w:r>
      <w:r>
        <w:rPr>
          <w:rFonts w:ascii="Times New Roman"/>
          <w:i/>
          <w:w w:val="95"/>
        </w:rPr>
        <w:t>CRH-R1 </w:t>
      </w:r>
      <w:r>
        <w:rPr>
          <w:w w:val="95"/>
        </w:rPr>
        <w:t>rs242924</w:t>
      </w:r>
      <w:r>
        <w:rPr>
          <w:spacing w:val="5"/>
          <w:w w:val="95"/>
        </w:rPr>
        <w:t> </w:t>
      </w:r>
      <w:r>
        <w:rPr>
          <w:w w:val="95"/>
        </w:rPr>
        <w:t>gene</w:t>
      </w:r>
      <w:r>
        <w:rPr>
          <w:spacing w:val="4"/>
          <w:w w:val="95"/>
        </w:rPr>
        <w:t> </w:t>
      </w:r>
      <w:r>
        <w:rPr>
          <w:w w:val="95"/>
        </w:rPr>
        <w:t>in</w:t>
      </w:r>
      <w:r>
        <w:rPr>
          <w:spacing w:val="5"/>
          <w:w w:val="95"/>
        </w:rPr>
        <w:t> </w:t>
      </w:r>
      <w:r>
        <w:rPr>
          <w:w w:val="95"/>
        </w:rPr>
        <w:t>autoimmune</w:t>
      </w:r>
      <w:r>
        <w:rPr>
          <w:spacing w:val="6"/>
          <w:w w:val="95"/>
        </w:rPr>
        <w:t> </w:t>
      </w:r>
      <w:r>
        <w:rPr>
          <w:w w:val="95"/>
        </w:rPr>
        <w:t>disease.</w:t>
      </w:r>
      <w:r>
        <w:rPr>
          <w:spacing w:val="6"/>
          <w:w w:val="95"/>
        </w:rPr>
        <w:t> </w:t>
      </w:r>
      <w:r>
        <w:rPr>
          <w:w w:val="95"/>
        </w:rPr>
        <w:t>Such,</w:t>
      </w:r>
      <w:r>
        <w:rPr>
          <w:spacing w:val="5"/>
          <w:w w:val="95"/>
        </w:rPr>
        <w:t> </w:t>
      </w:r>
      <w:r>
        <w:rPr>
          <w:w w:val="95"/>
        </w:rPr>
        <w:t>Sato</w:t>
      </w:r>
      <w:r>
        <w:rPr>
          <w:spacing w:val="6"/>
          <w:w w:val="95"/>
        </w:rPr>
        <w:t> </w:t>
      </w:r>
      <w:r>
        <w:rPr>
          <w:w w:val="95"/>
        </w:rPr>
        <w:t>et</w:t>
      </w:r>
      <w:r>
        <w:rPr>
          <w:spacing w:val="5"/>
          <w:w w:val="95"/>
        </w:rPr>
        <w:t> </w:t>
      </w:r>
      <w:r>
        <w:rPr>
          <w:w w:val="95"/>
        </w:rPr>
        <w:t>al.</w:t>
      </w:r>
      <w:r>
        <w:rPr>
          <w:spacing w:val="4"/>
          <w:w w:val="95"/>
        </w:rPr>
        <w:t> </w:t>
      </w:r>
      <w:r>
        <w:rPr>
          <w:w w:val="95"/>
        </w:rPr>
        <w:t>[</w:t>
      </w:r>
      <w:hyperlink w:history="true" w:anchor="_bookmark73">
        <w:r>
          <w:rPr>
            <w:color w:val="3E65AC"/>
            <w:w w:val="95"/>
          </w:rPr>
          <w:t>29</w:t>
        </w:r>
      </w:hyperlink>
      <w:r>
        <w:rPr>
          <w:w w:val="95"/>
        </w:rPr>
        <w:t>]</w:t>
      </w:r>
      <w:r>
        <w:rPr>
          <w:spacing w:val="6"/>
          <w:w w:val="95"/>
        </w:rPr>
        <w:t> </w:t>
      </w:r>
      <w:r>
        <w:rPr>
          <w:w w:val="95"/>
        </w:rPr>
        <w:t>found</w:t>
      </w:r>
      <w:r>
        <w:rPr>
          <w:spacing w:val="5"/>
          <w:w w:val="95"/>
        </w:rPr>
        <w:t> </w:t>
      </w:r>
      <w:r>
        <w:rPr>
          <w:w w:val="95"/>
        </w:rPr>
        <w:t>that</w:t>
      </w:r>
      <w:r>
        <w:rPr>
          <w:spacing w:val="5"/>
          <w:w w:val="95"/>
        </w:rPr>
        <w:t> </w:t>
      </w:r>
      <w:r>
        <w:rPr>
          <w:w w:val="95"/>
        </w:rPr>
        <w:t>T-alleles</w:t>
      </w:r>
      <w:r>
        <w:rPr>
          <w:spacing w:val="1"/>
          <w:w w:val="95"/>
        </w:rPr>
        <w:t> </w:t>
      </w:r>
      <w:r>
        <w:rPr>
          <w:w w:val="95"/>
        </w:rPr>
        <w:t>rs7209436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5"/>
          <w:w w:val="95"/>
        </w:rPr>
        <w:t> </w:t>
      </w:r>
      <w:r>
        <w:rPr>
          <w:w w:val="95"/>
        </w:rPr>
        <w:t>rs242924</w:t>
      </w:r>
      <w:r>
        <w:rPr>
          <w:spacing w:val="6"/>
          <w:w w:val="95"/>
        </w:rPr>
        <w:t> </w:t>
      </w:r>
      <w:r>
        <w:rPr>
          <w:w w:val="95"/>
        </w:rPr>
        <w:t>are</w:t>
      </w:r>
      <w:r>
        <w:rPr>
          <w:spacing w:val="4"/>
          <w:w w:val="95"/>
        </w:rPr>
        <w:t> </w:t>
      </w:r>
      <w:r>
        <w:rPr>
          <w:w w:val="95"/>
        </w:rPr>
        <w:t>associated</w:t>
      </w:r>
      <w:r>
        <w:rPr>
          <w:spacing w:val="6"/>
          <w:w w:val="95"/>
        </w:rPr>
        <w:t> </w:t>
      </w:r>
      <w:r>
        <w:rPr>
          <w:w w:val="95"/>
        </w:rPr>
        <w:t>with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increased</w:t>
      </w:r>
      <w:r>
        <w:rPr>
          <w:spacing w:val="5"/>
          <w:w w:val="95"/>
        </w:rPr>
        <w:t> </w:t>
      </w:r>
      <w:r>
        <w:rPr>
          <w:w w:val="95"/>
        </w:rPr>
        <w:t>prevalence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diarrhea</w:t>
      </w:r>
      <w:r>
        <w:rPr>
          <w:spacing w:val="6"/>
          <w:w w:val="95"/>
        </w:rPr>
        <w:t> </w:t>
      </w:r>
      <w:r>
        <w:rPr>
          <w:w w:val="95"/>
        </w:rPr>
        <w:t>symptoms</w:t>
      </w:r>
      <w:r>
        <w:rPr>
          <w:spacing w:val="6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patients</w:t>
      </w:r>
      <w:r>
        <w:rPr>
          <w:spacing w:val="11"/>
          <w:w w:val="95"/>
        </w:rPr>
        <w:t> </w:t>
      </w:r>
      <w:r>
        <w:rPr>
          <w:w w:val="95"/>
        </w:rPr>
        <w:t>with</w:t>
      </w:r>
      <w:r>
        <w:rPr>
          <w:spacing w:val="10"/>
          <w:w w:val="95"/>
        </w:rPr>
        <w:t> </w:t>
      </w:r>
      <w:r>
        <w:rPr>
          <w:w w:val="95"/>
        </w:rPr>
        <w:t>autoimmune</w:t>
      </w:r>
      <w:r>
        <w:rPr>
          <w:spacing w:val="13"/>
          <w:w w:val="95"/>
        </w:rPr>
        <w:t> </w:t>
      </w:r>
      <w:r>
        <w:rPr>
          <w:w w:val="95"/>
        </w:rPr>
        <w:t>irritable</w:t>
      </w:r>
      <w:r>
        <w:rPr>
          <w:spacing w:val="10"/>
          <w:w w:val="95"/>
        </w:rPr>
        <w:t> </w:t>
      </w:r>
      <w:r>
        <w:rPr>
          <w:w w:val="95"/>
        </w:rPr>
        <w:t>bowel</w:t>
      </w:r>
      <w:r>
        <w:rPr>
          <w:spacing w:val="12"/>
          <w:w w:val="95"/>
        </w:rPr>
        <w:t> </w:t>
      </w:r>
      <w:r>
        <w:rPr>
          <w:w w:val="95"/>
        </w:rPr>
        <w:t>syndrome.</w:t>
      </w:r>
      <w:r>
        <w:rPr>
          <w:spacing w:val="10"/>
          <w:w w:val="95"/>
        </w:rPr>
        <w:t> </w:t>
      </w:r>
      <w:r>
        <w:rPr>
          <w:w w:val="95"/>
        </w:rPr>
        <w:t>Several</w:t>
      </w:r>
      <w:r>
        <w:rPr>
          <w:spacing w:val="12"/>
          <w:w w:val="95"/>
        </w:rPr>
        <w:t> </w:t>
      </w:r>
      <w:r>
        <w:rPr>
          <w:w w:val="95"/>
        </w:rPr>
        <w:t>studies</w:t>
      </w:r>
      <w:r>
        <w:rPr>
          <w:spacing w:val="11"/>
          <w:w w:val="95"/>
        </w:rPr>
        <w:t> </w:t>
      </w:r>
      <w:r>
        <w:rPr>
          <w:w w:val="95"/>
        </w:rPr>
        <w:t>also</w:t>
      </w:r>
      <w:r>
        <w:rPr>
          <w:spacing w:val="10"/>
          <w:w w:val="95"/>
        </w:rPr>
        <w:t> </w:t>
      </w:r>
      <w:r>
        <w:rPr>
          <w:w w:val="95"/>
        </w:rPr>
        <w:t>examined</w:t>
      </w:r>
      <w:r>
        <w:rPr>
          <w:spacing w:val="12"/>
          <w:w w:val="95"/>
        </w:rPr>
        <w:t> </w:t>
      </w:r>
      <w:r>
        <w:rPr>
          <w:w w:val="95"/>
        </w:rPr>
        <w:t>cutaneous</w:t>
      </w:r>
      <w:r>
        <w:rPr>
          <w:spacing w:val="1"/>
          <w:w w:val="95"/>
        </w:rPr>
        <w:t> </w:t>
      </w:r>
      <w:bookmarkStart w:name="_bookmark30" w:id="31"/>
      <w:bookmarkEnd w:id="31"/>
      <w:r>
        <w:rPr/>
        <w:t>expressio</w:t>
      </w:r>
      <w:r>
        <w:rPr/>
        <w:t>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CRH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CRH-R1</w:t>
      </w:r>
      <w:r>
        <w:rPr>
          <w:spacing w:val="4"/>
        </w:rPr>
        <w:t> </w:t>
      </w:r>
      <w:r>
        <w:rPr/>
        <w:t>by</w:t>
      </w:r>
      <w:r>
        <w:rPr>
          <w:spacing w:val="1"/>
        </w:rPr>
        <w:t> </w:t>
      </w:r>
      <w:r>
        <w:rPr/>
        <w:t>performing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skin</w:t>
      </w:r>
      <w:r>
        <w:rPr>
          <w:spacing w:val="3"/>
        </w:rPr>
        <w:t> </w:t>
      </w:r>
      <w:r>
        <w:rPr/>
        <w:t>biopsy.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instance,</w:t>
      </w:r>
      <w:r>
        <w:rPr>
          <w:spacing w:val="4"/>
        </w:rPr>
        <w:t> </w:t>
      </w:r>
      <w:r>
        <w:rPr/>
        <w:t>Cemil</w:t>
      </w:r>
      <w:r>
        <w:rPr>
          <w:spacing w:val="2"/>
        </w:rPr>
        <w:t> </w:t>
      </w:r>
      <w:r>
        <w:rPr/>
        <w:t>et</w:t>
      </w:r>
      <w:r>
        <w:rPr>
          <w:spacing w:val="2"/>
        </w:rPr>
        <w:t> </w:t>
      </w:r>
      <w:r>
        <w:rPr/>
        <w:t>al.</w:t>
      </w:r>
      <w:r>
        <w:rPr>
          <w:spacing w:val="2"/>
        </w:rPr>
        <w:t> </w:t>
      </w:r>
      <w:r>
        <w:rPr/>
        <w:t>[</w:t>
      </w:r>
      <w:hyperlink w:history="true" w:anchor="_bookmark74">
        <w:r>
          <w:rPr>
            <w:color w:val="3E65AC"/>
          </w:rPr>
          <w:t>30</w:t>
        </w:r>
      </w:hyperlink>
      <w:r>
        <w:rPr/>
        <w:t>]</w:t>
      </w:r>
      <w:r>
        <w:rPr>
          <w:spacing w:val="1"/>
        </w:rPr>
        <w:t> </w:t>
      </w:r>
      <w:r>
        <w:rPr/>
        <w:t>found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statistically</w:t>
      </w:r>
      <w:r>
        <w:rPr>
          <w:spacing w:val="-3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CRH-R1</w:t>
      </w:r>
      <w:r>
        <w:rPr>
          <w:spacing w:val="-3"/>
        </w:rPr>
        <w:t> </w:t>
      </w:r>
      <w:r>
        <w:rPr/>
        <w:t>expression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psoriatic</w:t>
      </w:r>
      <w:r>
        <w:rPr>
          <w:spacing w:val="-3"/>
        </w:rPr>
        <w:t> </w:t>
      </w:r>
      <w:r>
        <w:rPr/>
        <w:t>lesions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hypoth-</w:t>
      </w:r>
      <w:r>
        <w:rPr>
          <w:spacing w:val="-43"/>
        </w:rPr>
        <w:t> </w:t>
      </w:r>
      <w:r>
        <w:rPr/>
        <w:t>esized that CRH-R1 may play a role in the pathogenesis of psoriasis. In addition, Papadopou-</w:t>
      </w:r>
      <w:r>
        <w:rPr>
          <w:spacing w:val="-43"/>
        </w:rPr>
        <w:t> </w:t>
      </w:r>
      <w:bookmarkStart w:name="_bookmark29" w:id="32"/>
      <w:bookmarkEnd w:id="32"/>
      <w:r>
        <w:rPr/>
        <w:t>lo</w:t>
      </w:r>
      <w:r>
        <w:rPr/>
        <w:t>u et al. [</w:t>
      </w:r>
      <w:hyperlink w:history="true" w:anchor="_bookmark75">
        <w:r>
          <w:rPr>
            <w:color w:val="3E65AC"/>
          </w:rPr>
          <w:t>31</w:t>
        </w:r>
      </w:hyperlink>
      <w:r>
        <w:rPr/>
        <w:t>] pointed out that chronic urticaria expresses higher levels of CRH-R1 and mast</w:t>
      </w:r>
      <w:r>
        <w:rPr>
          <w:spacing w:val="1"/>
        </w:rPr>
        <w:t> </w:t>
      </w:r>
      <w:r>
        <w:rPr/>
        <w:t>cells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compared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normal</w:t>
      </w:r>
      <w:r>
        <w:rPr>
          <w:spacing w:val="-11"/>
        </w:rPr>
        <w:t> </w:t>
      </w:r>
      <w:r>
        <w:rPr/>
        <w:t>foreskin,</w:t>
      </w:r>
      <w:r>
        <w:rPr>
          <w:spacing w:val="-10"/>
        </w:rPr>
        <w:t> </w:t>
      </w:r>
      <w:r>
        <w:rPr/>
        <w:t>breast</w:t>
      </w:r>
      <w:r>
        <w:rPr>
          <w:spacing w:val="-10"/>
        </w:rPr>
        <w:t> </w:t>
      </w:r>
      <w:r>
        <w:rPr/>
        <w:t>skin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cultured</w:t>
      </w:r>
      <w:r>
        <w:rPr>
          <w:spacing w:val="-11"/>
        </w:rPr>
        <w:t> </w:t>
      </w:r>
      <w:r>
        <w:rPr/>
        <w:t>human</w:t>
      </w:r>
      <w:r>
        <w:rPr>
          <w:spacing w:val="-10"/>
        </w:rPr>
        <w:t> </w:t>
      </w:r>
      <w:r>
        <w:rPr/>
        <w:t>keratinocytes.</w:t>
      </w:r>
    </w:p>
    <w:p>
      <w:pPr>
        <w:pStyle w:val="BodyText"/>
        <w:spacing w:line="254" w:lineRule="auto"/>
        <w:ind w:left="3420" w:right="119"/>
      </w:pPr>
      <w:r>
        <w:rPr/>
        <w:pict>
          <v:shape style="position:absolute;margin-left:251.093002pt;margin-top:62.586483pt;width:9.550pt;height:.1pt;mso-position-horizontal-relative:page;mso-position-vertical-relative:paragraph;z-index:-16710656" coordorigin="5022,1252" coordsize="191,0" path="m5212,1252l5022,1252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0.368988pt;margin-top:127.61348pt;width:9.550pt;height:.1pt;mso-position-horizontal-relative:page;mso-position-vertical-relative:paragraph;z-index:-16710144" coordorigin="5407,2552" coordsize="191,0" path="m5598,2552l5407,2552e" filled="true" fillcolor="#3e65ac" stroked="false">
            <v:path arrowok="t"/>
            <v:fill type="solid"/>
            <w10:wrap type="none"/>
          </v:shape>
        </w:pict>
      </w:r>
      <w:r>
        <w:rPr/>
        <w:t>These results implicate the role of CRH-R1 in chronic urticaria, which is often exacerbated by</w:t>
      </w:r>
      <w:r>
        <w:rPr>
          <w:spacing w:val="-43"/>
        </w:rPr>
        <w:t> </w:t>
      </w:r>
      <w:r>
        <w:rPr/>
        <w:t>stress.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literature,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/>
        <w:t>report</w:t>
      </w:r>
      <w:r>
        <w:rPr>
          <w:spacing w:val="-4"/>
        </w:rPr>
        <w:t> </w:t>
      </w:r>
      <w:r>
        <w:rPr/>
        <w:t>describing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role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CRH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CRH-R1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vit-</w:t>
      </w:r>
      <w:r>
        <w:rPr>
          <w:spacing w:val="-42"/>
        </w:rPr>
        <w:t> </w:t>
      </w:r>
      <w:bookmarkStart w:name="_bookmark31" w:id="33"/>
      <w:bookmarkEnd w:id="33"/>
      <w:r>
        <w:rPr/>
        <w:t>iligo</w:t>
      </w:r>
      <w:r>
        <w:rPr/>
        <w:t>. The authors</w:t>
      </w:r>
      <w:r>
        <w:rPr>
          <w:spacing w:val="2"/>
        </w:rPr>
        <w:t> </w:t>
      </w:r>
      <w:r>
        <w:rPr/>
        <w:t>found a</w:t>
      </w:r>
      <w:r>
        <w:rPr>
          <w:spacing w:val="-1"/>
        </w:rPr>
        <w:t> </w:t>
      </w:r>
      <w:r>
        <w:rPr/>
        <w:t>substantial</w:t>
      </w:r>
      <w:r>
        <w:rPr>
          <w:spacing w:val="2"/>
        </w:rPr>
        <w:t> </w:t>
      </w:r>
      <w:r>
        <w:rPr/>
        <w:t>rise in expression</w:t>
      </w:r>
      <w:r>
        <w:rPr>
          <w:spacing w:val="2"/>
        </w:rPr>
        <w:t> </w:t>
      </w:r>
      <w:r>
        <w:rPr/>
        <w:t>of CRH and CRH-R1</w:t>
      </w:r>
      <w:r>
        <w:rPr>
          <w:spacing w:val="1"/>
        </w:rPr>
        <w:t> </w:t>
      </w:r>
      <w:r>
        <w:rPr/>
        <w:t>in both</w:t>
      </w:r>
      <w:r>
        <w:rPr>
          <w:spacing w:val="1"/>
        </w:rPr>
        <w:t> </w:t>
      </w:r>
      <w:r>
        <w:rPr/>
        <w:t>damaged</w:t>
      </w:r>
      <w:r>
        <w:rPr>
          <w:spacing w:val="-43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undamaged</w:t>
      </w:r>
      <w:r>
        <w:rPr>
          <w:spacing w:val="-9"/>
        </w:rPr>
        <w:t> </w:t>
      </w:r>
      <w:r>
        <w:rPr>
          <w:spacing w:val="-1"/>
        </w:rPr>
        <w:t>skin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patients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/>
        <w:t>vitiligo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observed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significant</w:t>
      </w:r>
      <w:r>
        <w:rPr>
          <w:spacing w:val="-9"/>
        </w:rPr>
        <w:t> </w:t>
      </w:r>
      <w:r>
        <w:rPr/>
        <w:t>direct</w:t>
      </w:r>
      <w:r>
        <w:rPr>
          <w:spacing w:val="-10"/>
        </w:rPr>
        <w:t> </w:t>
      </w:r>
      <w:r>
        <w:rPr/>
        <w:t>association</w:t>
      </w:r>
      <w:r>
        <w:rPr>
          <w:spacing w:val="-10"/>
        </w:rPr>
        <w:t> </w:t>
      </w:r>
      <w:r>
        <w:rPr/>
        <w:t>with</w:t>
      </w:r>
      <w:r>
        <w:rPr>
          <w:spacing w:val="1"/>
        </w:rPr>
        <w:t> </w:t>
      </w:r>
      <w:r>
        <w:rPr>
          <w:w w:val="95"/>
        </w:rPr>
        <w:t>stress</w:t>
      </w:r>
      <w:r>
        <w:rPr>
          <w:spacing w:val="4"/>
          <w:w w:val="95"/>
        </w:rPr>
        <w:t> </w:t>
      </w:r>
      <w:r>
        <w:rPr>
          <w:w w:val="95"/>
        </w:rPr>
        <w:t>levels</w:t>
      </w:r>
      <w:r>
        <w:rPr>
          <w:spacing w:val="4"/>
          <w:w w:val="95"/>
        </w:rPr>
        <w:t> </w:t>
      </w:r>
      <w:r>
        <w:rPr>
          <w:w w:val="95"/>
        </w:rPr>
        <w:t>[</w:t>
      </w:r>
      <w:hyperlink w:history="true" w:anchor="_bookmark65">
        <w:r>
          <w:rPr>
            <w:color w:val="3E65AC"/>
            <w:w w:val="95"/>
          </w:rPr>
          <w:t>18</w:t>
        </w:r>
      </w:hyperlink>
      <w:r>
        <w:rPr>
          <w:w w:val="95"/>
        </w:rPr>
        <w:t>].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4"/>
          <w:w w:val="95"/>
        </w:rPr>
        <w:t> </w:t>
      </w:r>
      <w:r>
        <w:rPr>
          <w:w w:val="95"/>
        </w:rPr>
        <w:t>our</w:t>
      </w:r>
      <w:r>
        <w:rPr>
          <w:spacing w:val="5"/>
          <w:w w:val="95"/>
        </w:rPr>
        <w:t> </w:t>
      </w:r>
      <w:r>
        <w:rPr>
          <w:w w:val="95"/>
        </w:rPr>
        <w:t>knowledge,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present</w:t>
      </w:r>
      <w:r>
        <w:rPr>
          <w:spacing w:val="4"/>
          <w:w w:val="95"/>
        </w:rPr>
        <w:t> </w:t>
      </w:r>
      <w:r>
        <w:rPr>
          <w:w w:val="95"/>
        </w:rPr>
        <w:t>study</w:t>
      </w:r>
      <w:r>
        <w:rPr>
          <w:spacing w:val="5"/>
          <w:w w:val="95"/>
        </w:rPr>
        <w:t> </w:t>
      </w:r>
      <w:r>
        <w:rPr>
          <w:w w:val="95"/>
        </w:rPr>
        <w:t>is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first</w:t>
      </w:r>
      <w:r>
        <w:rPr>
          <w:spacing w:val="5"/>
          <w:w w:val="95"/>
        </w:rPr>
        <w:t> </w:t>
      </w:r>
      <w:r>
        <w:rPr>
          <w:w w:val="95"/>
        </w:rPr>
        <w:t>that</w:t>
      </w:r>
      <w:r>
        <w:rPr>
          <w:spacing w:val="3"/>
          <w:w w:val="95"/>
        </w:rPr>
        <w:t> </w:t>
      </w:r>
      <w:r>
        <w:rPr>
          <w:w w:val="95"/>
        </w:rPr>
        <w:t>reports</w:t>
      </w:r>
      <w:r>
        <w:rPr>
          <w:spacing w:val="6"/>
          <w:w w:val="95"/>
        </w:rPr>
        <w:t> </w:t>
      </w:r>
      <w:r>
        <w:rPr>
          <w:w w:val="95"/>
        </w:rPr>
        <w:t>on</w:t>
      </w:r>
      <w:r>
        <w:rPr>
          <w:spacing w:val="4"/>
          <w:w w:val="95"/>
        </w:rPr>
        <w:t> </w:t>
      </w:r>
      <w:r>
        <w:rPr>
          <w:w w:val="95"/>
        </w:rPr>
        <w:t>association</w:t>
      </w:r>
      <w:r>
        <w:rPr>
          <w:spacing w:val="1"/>
          <w:w w:val="95"/>
        </w:rPr>
        <w:t> </w:t>
      </w:r>
      <w:bookmarkStart w:name="_bookmark32" w:id="34"/>
      <w:bookmarkEnd w:id="34"/>
      <w:r>
        <w:rPr/>
        <w:t>betwee</w:t>
      </w:r>
      <w:r>
        <w:rPr/>
        <w:t>n vitiligo and SNPs of the </w:t>
      </w:r>
      <w:r>
        <w:rPr>
          <w:rFonts w:ascii="Times New Roman"/>
          <w:i/>
        </w:rPr>
        <w:t>CRH-R1 </w:t>
      </w:r>
      <w:r>
        <w:rPr/>
        <w:t>gene. Our finding revealed that T-allele and TT-</w:t>
      </w:r>
      <w:r>
        <w:rPr>
          <w:spacing w:val="1"/>
        </w:rPr>
        <w:t> </w:t>
      </w:r>
      <w:r>
        <w:rPr/>
        <w:t>genotype were significantly associated with vitiligo, and the level of CRH was significantly</w:t>
      </w:r>
      <w:r>
        <w:rPr>
          <w:spacing w:val="1"/>
        </w:rPr>
        <w:t> </w:t>
      </w:r>
      <w:r>
        <w:rPr>
          <w:spacing w:val="-1"/>
        </w:rPr>
        <w:t>higher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/>
        <w:t>cases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TT-genotype</w:t>
      </w:r>
      <w:r>
        <w:rPr>
          <w:spacing w:val="-10"/>
        </w:rPr>
        <w:t> </w:t>
      </w:r>
      <w:r>
        <w:rPr/>
        <w:t>subgroup.</w:t>
      </w:r>
      <w:r>
        <w:rPr>
          <w:spacing w:val="-9"/>
        </w:rPr>
        <w:t> </w:t>
      </w:r>
      <w:r>
        <w:rPr/>
        <w:t>Unfortunately,</w:t>
      </w:r>
      <w:r>
        <w:rPr>
          <w:spacing w:val="-9"/>
        </w:rPr>
        <w:t> </w:t>
      </w:r>
      <w:r>
        <w:rPr/>
        <w:t>there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lack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evidence</w:t>
      </w:r>
      <w:r>
        <w:rPr>
          <w:spacing w:val="-11"/>
        </w:rPr>
        <w:t> </w:t>
      </w:r>
      <w:r>
        <w:rPr/>
        <w:t>report-</w:t>
      </w:r>
      <w:r>
        <w:rPr>
          <w:spacing w:val="1"/>
        </w:rPr>
        <w:t> </w:t>
      </w:r>
      <w:bookmarkStart w:name="_bookmark33" w:id="35"/>
      <w:bookmarkEnd w:id="35"/>
      <w:r>
        <w:rPr>
          <w:spacing w:val="-1"/>
        </w:rPr>
        <w:t>in</w:t>
      </w:r>
      <w:r>
        <w:rPr>
          <w:spacing w:val="-1"/>
        </w:rPr>
        <w:t>g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effects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polymorphisms</w:t>
      </w:r>
      <w:r>
        <w:rPr>
          <w:spacing w:val="-9"/>
        </w:rPr>
        <w:t> </w:t>
      </w:r>
      <w:r>
        <w:rPr>
          <w:spacing w:val="-1"/>
        </w:rPr>
        <w:t>studied</w:t>
      </w:r>
      <w:r>
        <w:rPr>
          <w:spacing w:val="-10"/>
        </w:rPr>
        <w:t> </w:t>
      </w:r>
      <w:r>
        <w:rPr>
          <w:spacing w:val="-1"/>
        </w:rPr>
        <w:t>on</w:t>
      </w:r>
      <w:r>
        <w:rPr>
          <w:spacing w:val="-10"/>
        </w:rPr>
        <w:t> </w:t>
      </w:r>
      <w:r>
        <w:rPr>
          <w:spacing w:val="-1"/>
        </w:rPr>
        <w:t>serum</w:t>
      </w:r>
      <w:r>
        <w:rPr>
          <w:spacing w:val="-10"/>
        </w:rPr>
        <w:t> </w:t>
      </w:r>
      <w:r>
        <w:rPr>
          <w:spacing w:val="-1"/>
        </w:rPr>
        <w:t>levels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mediators.</w:t>
      </w:r>
      <w:r>
        <w:rPr>
          <w:spacing w:val="-10"/>
        </w:rPr>
        <w:t> </w:t>
      </w:r>
      <w:r>
        <w:rPr>
          <w:spacing w:val="-1"/>
        </w:rPr>
        <w:t>Still,</w:t>
      </w:r>
      <w:r>
        <w:rPr>
          <w:spacing w:val="-10"/>
        </w:rPr>
        <w:t> </w:t>
      </w:r>
      <w:r>
        <w:rPr/>
        <w:t>according</w:t>
      </w:r>
      <w:r>
        <w:rPr>
          <w:spacing w:val="1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Tsartsali</w:t>
      </w:r>
      <w:r>
        <w:rPr>
          <w:spacing w:val="6"/>
          <w:w w:val="95"/>
        </w:rPr>
        <w:t> </w:t>
      </w:r>
      <w:r>
        <w:rPr>
          <w:w w:val="95"/>
        </w:rPr>
        <w:t>et</w:t>
      </w:r>
      <w:r>
        <w:rPr>
          <w:spacing w:val="6"/>
          <w:w w:val="95"/>
        </w:rPr>
        <w:t> </w:t>
      </w:r>
      <w:r>
        <w:rPr>
          <w:w w:val="95"/>
        </w:rPr>
        <w:t>al.</w:t>
      </w:r>
      <w:r>
        <w:rPr>
          <w:spacing w:val="6"/>
          <w:w w:val="95"/>
        </w:rPr>
        <w:t> </w:t>
      </w:r>
      <w:r>
        <w:rPr>
          <w:w w:val="95"/>
        </w:rPr>
        <w:t>[</w:t>
      </w:r>
      <w:hyperlink w:history="true" w:anchor="_bookmark76">
        <w:r>
          <w:rPr>
            <w:color w:val="3E65AC"/>
            <w:w w:val="95"/>
          </w:rPr>
          <w:t>32</w:t>
        </w:r>
      </w:hyperlink>
      <w:r>
        <w:rPr>
          <w:w w:val="95"/>
        </w:rPr>
        <w:t>],</w:t>
      </w:r>
      <w:r>
        <w:rPr>
          <w:spacing w:val="7"/>
          <w:w w:val="95"/>
        </w:rPr>
        <w:t> </w:t>
      </w:r>
      <w:r>
        <w:rPr>
          <w:w w:val="95"/>
        </w:rPr>
        <w:t>two</w:t>
      </w:r>
      <w:r>
        <w:rPr>
          <w:spacing w:val="7"/>
          <w:w w:val="95"/>
        </w:rPr>
        <w:t> </w:t>
      </w:r>
      <w:r>
        <w:rPr>
          <w:w w:val="95"/>
        </w:rPr>
        <w:t>SNP</w:t>
      </w:r>
      <w:r>
        <w:rPr>
          <w:spacing w:val="6"/>
          <w:w w:val="95"/>
        </w:rPr>
        <w:t> </w:t>
      </w:r>
      <w:r>
        <w:rPr>
          <w:w w:val="95"/>
        </w:rPr>
        <w:t>interactions</w:t>
      </w:r>
      <w:r>
        <w:rPr>
          <w:spacing w:val="8"/>
          <w:w w:val="95"/>
        </w:rPr>
        <w:t> </w:t>
      </w:r>
      <w:r>
        <w:rPr>
          <w:w w:val="95"/>
        </w:rPr>
        <w:t>(rs242941</w:t>
      </w:r>
      <w:r>
        <w:rPr>
          <w:spacing w:val="7"/>
          <w:w w:val="95"/>
        </w:rPr>
        <w:t> </w:t>
      </w:r>
      <w:r>
        <w:rPr>
          <w:w w:val="95"/>
        </w:rPr>
        <w:t>and</w:t>
      </w:r>
      <w:r>
        <w:rPr>
          <w:spacing w:val="6"/>
          <w:w w:val="95"/>
        </w:rPr>
        <w:t> </w:t>
      </w:r>
      <w:r>
        <w:rPr>
          <w:w w:val="95"/>
        </w:rPr>
        <w:t>rs1876828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rFonts w:ascii="Times New Roman"/>
          <w:i/>
          <w:w w:val="95"/>
        </w:rPr>
        <w:t>CRH-R1</w:t>
      </w:r>
      <w:r>
        <w:rPr>
          <w:rFonts w:ascii="Times New Roman"/>
          <w:i/>
          <w:spacing w:val="1"/>
          <w:w w:val="95"/>
        </w:rPr>
        <w:t> </w:t>
      </w:r>
      <w:r>
        <w:rPr>
          <w:w w:val="95"/>
        </w:rPr>
        <w:t>gene)</w:t>
      </w:r>
      <w:r>
        <w:rPr>
          <w:spacing w:val="1"/>
          <w:w w:val="95"/>
        </w:rPr>
        <w:t> </w:t>
      </w:r>
      <w:r>
        <w:rPr/>
        <w:t>were</w:t>
      </w:r>
      <w:r>
        <w:rPr>
          <w:spacing w:val="-4"/>
        </w:rPr>
        <w:t> </w:t>
      </w:r>
      <w:r>
        <w:rPr/>
        <w:t>linked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serum</w:t>
      </w:r>
      <w:r>
        <w:rPr>
          <w:spacing w:val="-3"/>
        </w:rPr>
        <w:t> </w:t>
      </w:r>
      <w:r>
        <w:rPr/>
        <w:t>cortisol</w:t>
      </w:r>
      <w:r>
        <w:rPr>
          <w:spacing w:val="-2"/>
        </w:rPr>
        <w:t> </w:t>
      </w:r>
      <w:r>
        <w:rPr/>
        <w:t>levels.</w:t>
      </w:r>
    </w:p>
    <w:p>
      <w:pPr>
        <w:pStyle w:val="BodyText"/>
        <w:spacing w:line="254" w:lineRule="auto" w:before="3"/>
        <w:ind w:left="3420" w:right="107" w:firstLine="239"/>
      </w:pPr>
      <w:r>
        <w:rPr/>
        <w:pict>
          <v:shape style="position:absolute;margin-left:543.231018pt;margin-top:23.789478pt;width:9.5pt;height:.1pt;mso-position-horizontal-relative:page;mso-position-vertical-relative:paragraph;z-index:-16709632" coordorigin="10865,476" coordsize="190,0" path="m11054,476l10865,476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8.223999pt;margin-top:75.776482pt;width:9.550pt;height:.1pt;mso-position-horizontal-relative:page;mso-position-vertical-relative:paragraph;z-index:-16709120" coordorigin="4764,1516" coordsize="191,0" path="m4955,1516l4764,1516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4.812988pt;margin-top:114.781479pt;width:9.5pt;height:.1pt;mso-position-horizontal-relative:page;mso-position-vertical-relative:paragraph;z-index:-16708608" coordorigin="8896,2296" coordsize="190,0" path="m9086,2296l8896,2296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1.360992pt;margin-top:153.786484pt;width:9.5pt;height:.1pt;mso-position-horizontal-relative:page;mso-position-vertical-relative:paragraph;z-index:-16708096" coordorigin="7227,3076" coordsize="190,0" path="m7417,3076l7227,3076e" filled="true" fillcolor="#3e65ac" stroked="false">
            <v:path arrowok="t"/>
            <v:fill type="solid"/>
            <w10:wrap type="none"/>
          </v:shape>
        </w:pict>
      </w:r>
      <w:r>
        <w:rPr/>
        <w:t>It is hypothesized that BDNF is a neurotransmitter, which plays a crucial role in the up-</w:t>
      </w:r>
      <w:r>
        <w:rPr>
          <w:spacing w:val="1"/>
        </w:rPr>
        <w:t> </w:t>
      </w:r>
      <w:r>
        <w:rPr/>
        <w:t>and down regulation of different pathways controlling synaptic plasticity. Yanik et al. [</w:t>
      </w:r>
      <w:hyperlink w:history="true" w:anchor="_bookmark61">
        <w:r>
          <w:rPr>
            <w:color w:val="3E65AC"/>
          </w:rPr>
          <w:t>14</w:t>
        </w:r>
      </w:hyperlink>
      <w:r>
        <w:rPr/>
        <w:t>]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first</w:t>
      </w:r>
      <w:r>
        <w:rPr>
          <w:spacing w:val="-9"/>
        </w:rPr>
        <w:t> </w:t>
      </w:r>
      <w:r>
        <w:rPr>
          <w:spacing w:val="-1"/>
        </w:rPr>
        <w:t>who</w:t>
      </w:r>
      <w:r>
        <w:rPr>
          <w:spacing w:val="-9"/>
        </w:rPr>
        <w:t> </w:t>
      </w:r>
      <w:r>
        <w:rPr>
          <w:spacing w:val="-1"/>
        </w:rPr>
        <w:t>described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reduced</w:t>
      </w:r>
      <w:r>
        <w:rPr>
          <w:spacing w:val="-9"/>
        </w:rPr>
        <w:t> </w:t>
      </w:r>
      <w:r>
        <w:rPr>
          <w:spacing w:val="-1"/>
        </w:rPr>
        <w:t>serum</w:t>
      </w:r>
      <w:r>
        <w:rPr>
          <w:spacing w:val="-8"/>
        </w:rPr>
        <w:t> </w:t>
      </w:r>
      <w:r>
        <w:rPr>
          <w:spacing w:val="-1"/>
        </w:rPr>
        <w:t>levels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BDNF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vitiligo</w:t>
      </w:r>
      <w:r>
        <w:rPr>
          <w:spacing w:val="-8"/>
        </w:rPr>
        <w:t> </w:t>
      </w:r>
      <w:r>
        <w:rPr>
          <w:spacing w:val="-1"/>
        </w:rPr>
        <w:t>patients</w:t>
      </w:r>
      <w:r>
        <w:rPr>
          <w:spacing w:val="-9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compared</w:t>
      </w:r>
      <w:r>
        <w:rPr>
          <w:spacing w:val="-42"/>
        </w:rPr>
        <w:t> </w:t>
      </w:r>
      <w:r>
        <w:rPr>
          <w:w w:val="95"/>
        </w:rPr>
        <w:t>with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healthy</w:t>
      </w:r>
      <w:r>
        <w:rPr>
          <w:spacing w:val="4"/>
          <w:w w:val="95"/>
        </w:rPr>
        <w:t> </w:t>
      </w:r>
      <w:r>
        <w:rPr>
          <w:w w:val="95"/>
        </w:rPr>
        <w:t>controls.</w:t>
      </w:r>
      <w:r>
        <w:rPr>
          <w:spacing w:val="4"/>
          <w:w w:val="95"/>
        </w:rPr>
        <w:t> </w:t>
      </w:r>
      <w:r>
        <w:rPr>
          <w:w w:val="95"/>
        </w:rPr>
        <w:t>Our</w:t>
      </w:r>
      <w:r>
        <w:rPr>
          <w:spacing w:val="3"/>
          <w:w w:val="95"/>
        </w:rPr>
        <w:t> </w:t>
      </w:r>
      <w:r>
        <w:rPr>
          <w:w w:val="95"/>
        </w:rPr>
        <w:t>recent</w:t>
      </w:r>
      <w:r>
        <w:rPr>
          <w:spacing w:val="3"/>
          <w:w w:val="95"/>
        </w:rPr>
        <w:t> </w:t>
      </w:r>
      <w:r>
        <w:rPr>
          <w:w w:val="95"/>
        </w:rPr>
        <w:t>study</w:t>
      </w:r>
      <w:r>
        <w:rPr>
          <w:spacing w:val="4"/>
          <w:w w:val="95"/>
        </w:rPr>
        <w:t> </w:t>
      </w:r>
      <w:r>
        <w:rPr>
          <w:w w:val="95"/>
        </w:rPr>
        <w:t>also</w:t>
      </w:r>
      <w:r>
        <w:rPr>
          <w:spacing w:val="3"/>
          <w:w w:val="95"/>
        </w:rPr>
        <w:t> </w:t>
      </w:r>
      <w:r>
        <w:rPr>
          <w:w w:val="95"/>
        </w:rPr>
        <w:t>demonstrated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decreased</w:t>
      </w:r>
      <w:r>
        <w:rPr>
          <w:spacing w:val="3"/>
          <w:w w:val="95"/>
        </w:rPr>
        <w:t> </w:t>
      </w:r>
      <w:r>
        <w:rPr>
          <w:w w:val="95"/>
        </w:rPr>
        <w:t>level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3"/>
          <w:w w:val="95"/>
        </w:rPr>
        <w:t> </w:t>
      </w:r>
      <w:r>
        <w:rPr>
          <w:w w:val="95"/>
        </w:rPr>
        <w:t>serum</w:t>
      </w:r>
      <w:r>
        <w:rPr>
          <w:spacing w:val="1"/>
          <w:w w:val="95"/>
        </w:rPr>
        <w:t> </w:t>
      </w:r>
      <w:r>
        <w:rPr/>
        <w:t>BDNF and increased level of serum CRH in vitiligo patients in comparison with the healthy</w:t>
      </w:r>
      <w:r>
        <w:rPr>
          <w:spacing w:val="1"/>
        </w:rPr>
        <w:t> </w:t>
      </w:r>
      <w:r>
        <w:rPr>
          <w:w w:val="95"/>
        </w:rPr>
        <w:t>controls</w:t>
      </w:r>
      <w:r>
        <w:rPr>
          <w:spacing w:val="6"/>
          <w:w w:val="95"/>
        </w:rPr>
        <w:t> </w:t>
      </w:r>
      <w:r>
        <w:rPr>
          <w:w w:val="95"/>
        </w:rPr>
        <w:t>[</w:t>
      </w:r>
      <w:hyperlink w:history="true" w:anchor="_bookmark77">
        <w:r>
          <w:rPr>
            <w:color w:val="3E65AC"/>
            <w:w w:val="95"/>
          </w:rPr>
          <w:t>33</w:t>
        </w:r>
      </w:hyperlink>
      <w:r>
        <w:rPr>
          <w:w w:val="95"/>
        </w:rPr>
        <w:t>].</w:t>
      </w:r>
      <w:r>
        <w:rPr>
          <w:spacing w:val="6"/>
          <w:w w:val="95"/>
        </w:rPr>
        <w:t> </w:t>
      </w:r>
      <w:r>
        <w:rPr>
          <w:w w:val="95"/>
        </w:rPr>
        <w:t>Unfortunately,</w:t>
      </w:r>
      <w:r>
        <w:rPr>
          <w:spacing w:val="7"/>
          <w:w w:val="95"/>
        </w:rPr>
        <w:t> </w:t>
      </w:r>
      <w:r>
        <w:rPr>
          <w:w w:val="95"/>
        </w:rPr>
        <w:t>we</w:t>
      </w:r>
      <w:r>
        <w:rPr>
          <w:spacing w:val="7"/>
          <w:w w:val="95"/>
        </w:rPr>
        <w:t> </w:t>
      </w:r>
      <w:r>
        <w:rPr>
          <w:w w:val="95"/>
        </w:rPr>
        <w:t>were</w:t>
      </w:r>
      <w:r>
        <w:rPr>
          <w:spacing w:val="6"/>
          <w:w w:val="95"/>
        </w:rPr>
        <w:t> </w:t>
      </w:r>
      <w:r>
        <w:rPr>
          <w:w w:val="95"/>
        </w:rPr>
        <w:t>unable</w:t>
      </w:r>
      <w:r>
        <w:rPr>
          <w:spacing w:val="7"/>
          <w:w w:val="95"/>
        </w:rPr>
        <w:t> </w:t>
      </w:r>
      <w:r>
        <w:rPr>
          <w:w w:val="95"/>
        </w:rPr>
        <w:t>to</w:t>
      </w:r>
      <w:r>
        <w:rPr>
          <w:spacing w:val="7"/>
          <w:w w:val="95"/>
        </w:rPr>
        <w:t> </w:t>
      </w:r>
      <w:r>
        <w:rPr>
          <w:w w:val="95"/>
        </w:rPr>
        <w:t>find</w:t>
      </w:r>
      <w:r>
        <w:rPr>
          <w:spacing w:val="6"/>
          <w:w w:val="95"/>
        </w:rPr>
        <w:t> </w:t>
      </w:r>
      <w:r>
        <w:rPr>
          <w:w w:val="95"/>
        </w:rPr>
        <w:t>studies</w:t>
      </w:r>
      <w:r>
        <w:rPr>
          <w:spacing w:val="7"/>
          <w:w w:val="95"/>
        </w:rPr>
        <w:t> </w:t>
      </w:r>
      <w:r>
        <w:rPr>
          <w:w w:val="95"/>
        </w:rPr>
        <w:t>related</w:t>
      </w:r>
      <w:r>
        <w:rPr>
          <w:spacing w:val="6"/>
          <w:w w:val="95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expression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rFonts w:ascii="Times New Roman"/>
          <w:i/>
          <w:w w:val="95"/>
        </w:rPr>
        <w:t>BDNF</w:t>
      </w:r>
      <w:r>
        <w:rPr>
          <w:rFonts w:ascii="Times New Roman"/>
          <w:i/>
          <w:spacing w:val="1"/>
          <w:w w:val="95"/>
        </w:rPr>
        <w:t> </w:t>
      </w:r>
      <w:r>
        <w:rPr/>
        <w:t>rs11030094 polymorphism in skin disorders. However, there is a number of publications</w:t>
      </w:r>
      <w:r>
        <w:rPr>
          <w:spacing w:val="1"/>
        </w:rPr>
        <w:t> </w:t>
      </w:r>
      <w:r>
        <w:rPr>
          <w:w w:val="95"/>
        </w:rPr>
        <w:t>devoted</w:t>
      </w:r>
      <w:r>
        <w:rPr>
          <w:spacing w:val="11"/>
          <w:w w:val="95"/>
        </w:rPr>
        <w:t> </w:t>
      </w:r>
      <w:r>
        <w:rPr>
          <w:w w:val="95"/>
        </w:rPr>
        <w:t>to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investigation</w:t>
      </w:r>
      <w:r>
        <w:rPr>
          <w:spacing w:val="13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rFonts w:ascii="Times New Roman"/>
          <w:i/>
          <w:w w:val="95"/>
        </w:rPr>
        <w:t>BDNF</w:t>
      </w:r>
      <w:r>
        <w:rPr>
          <w:rFonts w:ascii="Times New Roman"/>
          <w:i/>
          <w:spacing w:val="5"/>
          <w:w w:val="95"/>
        </w:rPr>
        <w:t> </w:t>
      </w:r>
      <w:r>
        <w:rPr>
          <w:w w:val="95"/>
        </w:rPr>
        <w:t>rs6265</w:t>
      </w:r>
      <w:r>
        <w:rPr>
          <w:spacing w:val="13"/>
          <w:w w:val="95"/>
        </w:rPr>
        <w:t> </w:t>
      </w:r>
      <w:r>
        <w:rPr>
          <w:w w:val="95"/>
        </w:rPr>
        <w:t>(Val66Met)</w:t>
      </w:r>
      <w:r>
        <w:rPr>
          <w:spacing w:val="12"/>
          <w:w w:val="95"/>
        </w:rPr>
        <w:t> </w:t>
      </w:r>
      <w:r>
        <w:rPr>
          <w:w w:val="95"/>
        </w:rPr>
        <w:t>gene</w:t>
      </w:r>
      <w:r>
        <w:rPr>
          <w:spacing w:val="12"/>
          <w:w w:val="95"/>
        </w:rPr>
        <w:t> </w:t>
      </w:r>
      <w:r>
        <w:rPr>
          <w:w w:val="95"/>
        </w:rPr>
        <w:t>polymorphism</w:t>
      </w:r>
      <w:r>
        <w:rPr>
          <w:spacing w:val="14"/>
          <w:w w:val="95"/>
        </w:rPr>
        <w:t> </w:t>
      </w:r>
      <w:r>
        <w:rPr>
          <w:w w:val="95"/>
        </w:rPr>
        <w:t>in</w:t>
      </w:r>
      <w:r>
        <w:rPr>
          <w:spacing w:val="11"/>
          <w:w w:val="95"/>
        </w:rPr>
        <w:t> </w:t>
      </w:r>
      <w:r>
        <w:rPr>
          <w:w w:val="95"/>
        </w:rPr>
        <w:t>non-infec-</w:t>
      </w:r>
      <w:r>
        <w:rPr>
          <w:spacing w:val="1"/>
          <w:w w:val="95"/>
        </w:rPr>
        <w:t> </w:t>
      </w:r>
      <w:r>
        <w:rPr>
          <w:spacing w:val="-1"/>
        </w:rPr>
        <w:t>tious</w:t>
      </w:r>
      <w:r>
        <w:rPr>
          <w:spacing w:val="-10"/>
        </w:rPr>
        <w:t> </w:t>
      </w:r>
      <w:r>
        <w:rPr>
          <w:spacing w:val="-1"/>
        </w:rPr>
        <w:t>inflammatory</w:t>
      </w:r>
      <w:r>
        <w:rPr>
          <w:spacing w:val="-7"/>
        </w:rPr>
        <w:t> </w:t>
      </w:r>
      <w:r>
        <w:rPr>
          <w:spacing w:val="-1"/>
        </w:rPr>
        <w:t>skin</w:t>
      </w:r>
      <w:r>
        <w:rPr>
          <w:spacing w:val="-9"/>
        </w:rPr>
        <w:t> </w:t>
      </w:r>
      <w:r>
        <w:rPr>
          <w:spacing w:val="-1"/>
        </w:rPr>
        <w:t>diseases.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9"/>
        </w:rPr>
        <w:t> </w:t>
      </w:r>
      <w:r>
        <w:rPr>
          <w:spacing w:val="-1"/>
        </w:rPr>
        <w:t>instance,</w:t>
      </w:r>
      <w:r>
        <w:rPr>
          <w:spacing w:val="-9"/>
        </w:rPr>
        <w:t> </w:t>
      </w:r>
      <w:r>
        <w:rPr>
          <w:spacing w:val="-1"/>
        </w:rPr>
        <w:t>Hoffjan</w:t>
      </w:r>
      <w:r>
        <w:rPr>
          <w:spacing w:val="-8"/>
        </w:rPr>
        <w:t> </w:t>
      </w:r>
      <w:r>
        <w:rPr>
          <w:spacing w:val="-1"/>
        </w:rPr>
        <w:t>et</w:t>
      </w:r>
      <w:r>
        <w:rPr>
          <w:spacing w:val="-9"/>
        </w:rPr>
        <w:t> </w:t>
      </w:r>
      <w:r>
        <w:rPr>
          <w:spacing w:val="-1"/>
        </w:rPr>
        <w:t>al.</w:t>
      </w:r>
      <w:r>
        <w:rPr>
          <w:spacing w:val="-9"/>
        </w:rPr>
        <w:t> </w:t>
      </w:r>
      <w:r>
        <w:rPr>
          <w:spacing w:val="-1"/>
        </w:rPr>
        <w:t>[</w:t>
      </w:r>
      <w:hyperlink w:history="true" w:anchor="_bookmark78">
        <w:r>
          <w:rPr>
            <w:color w:val="3E65AC"/>
            <w:spacing w:val="-1"/>
          </w:rPr>
          <w:t>34</w:t>
        </w:r>
      </w:hyperlink>
      <w:r>
        <w:rPr>
          <w:spacing w:val="-1"/>
        </w:rPr>
        <w:t>]</w:t>
      </w:r>
      <w:r>
        <w:rPr>
          <w:spacing w:val="-9"/>
        </w:rPr>
        <w:t> </w:t>
      </w:r>
      <w:r>
        <w:rPr>
          <w:spacing w:val="-1"/>
        </w:rPr>
        <w:t>considered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variation</w:t>
      </w:r>
      <w:r>
        <w:rPr>
          <w:spacing w:val="1"/>
        </w:rPr>
        <w:t> </w:t>
      </w:r>
      <w:r>
        <w:rPr>
          <w:w w:val="95"/>
        </w:rPr>
        <w:t>in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rFonts w:ascii="Times New Roman"/>
          <w:i/>
          <w:w w:val="95"/>
        </w:rPr>
        <w:t>BDNF </w:t>
      </w:r>
      <w:r>
        <w:rPr>
          <w:w w:val="95"/>
        </w:rPr>
        <w:t>rs6265</w:t>
      </w:r>
      <w:r>
        <w:rPr>
          <w:spacing w:val="8"/>
          <w:w w:val="95"/>
        </w:rPr>
        <w:t> </w:t>
      </w:r>
      <w:r>
        <w:rPr>
          <w:w w:val="95"/>
        </w:rPr>
        <w:t>gene</w:t>
      </w:r>
      <w:r>
        <w:rPr>
          <w:spacing w:val="7"/>
          <w:w w:val="95"/>
        </w:rPr>
        <w:t> </w:t>
      </w:r>
      <w:r>
        <w:rPr>
          <w:w w:val="95"/>
        </w:rPr>
        <w:t>is</w:t>
      </w:r>
      <w:r>
        <w:rPr>
          <w:spacing w:val="5"/>
          <w:w w:val="95"/>
        </w:rPr>
        <w:t> </w:t>
      </w:r>
      <w:r>
        <w:rPr>
          <w:w w:val="95"/>
        </w:rPr>
        <w:t>unlikely</w:t>
      </w:r>
      <w:r>
        <w:rPr>
          <w:spacing w:val="7"/>
          <w:w w:val="95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play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substantial</w:t>
      </w:r>
      <w:r>
        <w:rPr>
          <w:spacing w:val="8"/>
          <w:w w:val="95"/>
        </w:rPr>
        <w:t> </w:t>
      </w:r>
      <w:r>
        <w:rPr>
          <w:w w:val="95"/>
        </w:rPr>
        <w:t>role</w:t>
      </w:r>
      <w:r>
        <w:rPr>
          <w:spacing w:val="7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pathogenesis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atopic</w:t>
      </w:r>
      <w:r>
        <w:rPr>
          <w:spacing w:val="8"/>
          <w:w w:val="95"/>
        </w:rPr>
        <w:t> </w:t>
      </w:r>
      <w:r>
        <w:rPr>
          <w:w w:val="95"/>
        </w:rPr>
        <w:t>der-</w:t>
      </w:r>
      <w:r>
        <w:rPr>
          <w:spacing w:val="1"/>
          <w:w w:val="95"/>
        </w:rPr>
        <w:t> </w:t>
      </w:r>
      <w:r>
        <w:rPr/>
        <w:t>matitis (AD), even though BDNF serum levels were considered to be a useful indicator of dis-</w:t>
      </w:r>
      <w:r>
        <w:rPr>
          <w:spacing w:val="-43"/>
        </w:rPr>
        <w:t> </w:t>
      </w:r>
      <w:r>
        <w:rPr/>
        <w:t>ease activity in AD patients. Quan et al. [</w:t>
      </w:r>
      <w:hyperlink w:history="true" w:anchor="_bookmark79">
        <w:r>
          <w:rPr>
            <w:color w:val="3E65AC"/>
          </w:rPr>
          <w:t>35</w:t>
        </w:r>
      </w:hyperlink>
      <w:r>
        <w:rPr/>
        <w:t>] notified that the combined effects of </w:t>
      </w:r>
      <w:r>
        <w:rPr>
          <w:rFonts w:ascii="Times New Roman"/>
          <w:i/>
        </w:rPr>
        <w:t>BDNF</w:t>
      </w:r>
      <w:r>
        <w:rPr>
          <w:rFonts w:ascii="Times New Roman"/>
          <w:i/>
          <w:spacing w:val="1"/>
        </w:rPr>
        <w:t> </w:t>
      </w:r>
      <w:r>
        <w:rPr/>
        <w:t>Val66Met and higher body mass index (C25) increased the risk and clinical severity of psoria-</w:t>
      </w:r>
      <w:r>
        <w:rPr>
          <w:spacing w:val="-43"/>
        </w:rPr>
        <w:t> </w:t>
      </w:r>
      <w:r>
        <w:rPr/>
        <w:t>sis</w:t>
      </w:r>
      <w:r>
        <w:rPr>
          <w:spacing w:val="-2"/>
        </w:rPr>
        <w:t> </w:t>
      </w:r>
      <w:r>
        <w:rPr/>
        <w:t>vulgaris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Chinese</w:t>
      </w:r>
      <w:r>
        <w:rPr>
          <w:spacing w:val="-1"/>
        </w:rPr>
        <w:t> </w:t>
      </w:r>
      <w:r>
        <w:rPr/>
        <w:t>Han</w:t>
      </w:r>
      <w:r>
        <w:rPr>
          <w:spacing w:val="-2"/>
        </w:rPr>
        <w:t> </w:t>
      </w:r>
      <w:r>
        <w:rPr/>
        <w:t>population.</w:t>
      </w:r>
    </w:p>
    <w:p>
      <w:pPr>
        <w:pStyle w:val="BodyText"/>
        <w:spacing w:line="256" w:lineRule="auto" w:before="17"/>
        <w:ind w:left="3420" w:right="211" w:firstLine="239"/>
      </w:pPr>
      <w:r>
        <w:rPr/>
        <w:t>Our data revealed the significantly lower levels of BDNF in cases from GG-genotype and</w:t>
      </w:r>
      <w:r>
        <w:rPr>
          <w:spacing w:val="1"/>
        </w:rPr>
        <w:t> </w:t>
      </w:r>
      <w:r>
        <w:rPr/>
        <w:t>GA-genotype</w:t>
      </w:r>
      <w:r>
        <w:rPr>
          <w:spacing w:val="-5"/>
        </w:rPr>
        <w:t> </w:t>
      </w:r>
      <w:r>
        <w:rPr/>
        <w:t>subgroups.</w:t>
      </w:r>
      <w:r>
        <w:rPr>
          <w:spacing w:val="-4"/>
        </w:rPr>
        <w:t> </w:t>
      </w:r>
      <w:r>
        <w:rPr/>
        <w:t>There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associations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SNPs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serum</w:t>
      </w:r>
      <w:r>
        <w:rPr>
          <w:spacing w:val="-6"/>
        </w:rPr>
        <w:t> </w:t>
      </w:r>
      <w:r>
        <w:rPr/>
        <w:t>levels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BDNF</w:t>
      </w:r>
      <w:r>
        <w:rPr>
          <w:spacing w:val="-42"/>
        </w:rPr>
        <w:t> </w:t>
      </w:r>
      <w:r>
        <w:rPr>
          <w:w w:val="95"/>
        </w:rPr>
        <w:t>in</w:t>
      </w:r>
      <w:r>
        <w:rPr>
          <w:spacing w:val="7"/>
          <w:w w:val="95"/>
        </w:rPr>
        <w:t> </w:t>
      </w:r>
      <w:r>
        <w:rPr>
          <w:w w:val="95"/>
        </w:rPr>
        <w:t>patients</w:t>
      </w:r>
      <w:r>
        <w:rPr>
          <w:spacing w:val="12"/>
          <w:w w:val="95"/>
        </w:rPr>
        <w:t> </w:t>
      </w:r>
      <w:r>
        <w:rPr>
          <w:w w:val="95"/>
        </w:rPr>
        <w:t>with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skin</w:t>
      </w:r>
      <w:r>
        <w:rPr>
          <w:spacing w:val="9"/>
          <w:w w:val="95"/>
        </w:rPr>
        <w:t> </w:t>
      </w:r>
      <w:r>
        <w:rPr>
          <w:w w:val="95"/>
        </w:rPr>
        <w:t>disorders.</w:t>
      </w:r>
      <w:r>
        <w:rPr>
          <w:spacing w:val="10"/>
          <w:w w:val="95"/>
        </w:rPr>
        <w:t> </w:t>
      </w:r>
      <w:r>
        <w:rPr>
          <w:w w:val="95"/>
        </w:rPr>
        <w:t>Few</w:t>
      </w:r>
      <w:r>
        <w:rPr>
          <w:spacing w:val="11"/>
          <w:w w:val="95"/>
        </w:rPr>
        <w:t> </w:t>
      </w:r>
      <w:r>
        <w:rPr>
          <w:w w:val="95"/>
        </w:rPr>
        <w:t>studies</w:t>
      </w:r>
      <w:r>
        <w:rPr>
          <w:spacing w:val="8"/>
          <w:w w:val="95"/>
        </w:rPr>
        <w:t> </w:t>
      </w:r>
      <w:r>
        <w:rPr>
          <w:w w:val="95"/>
        </w:rPr>
        <w:t>described</w:t>
      </w:r>
      <w:r>
        <w:rPr>
          <w:spacing w:val="11"/>
          <w:w w:val="95"/>
        </w:rPr>
        <w:t> </w:t>
      </w:r>
      <w:r>
        <w:rPr>
          <w:w w:val="95"/>
        </w:rPr>
        <w:t>such</w:t>
      </w:r>
      <w:r>
        <w:rPr>
          <w:spacing w:val="8"/>
          <w:w w:val="95"/>
        </w:rPr>
        <w:t> </w:t>
      </w:r>
      <w:r>
        <w:rPr>
          <w:w w:val="95"/>
        </w:rPr>
        <w:t>associations</w:t>
      </w:r>
      <w:r>
        <w:rPr>
          <w:spacing w:val="11"/>
          <w:w w:val="95"/>
        </w:rPr>
        <w:t> </w:t>
      </w:r>
      <w:r>
        <w:rPr>
          <w:w w:val="95"/>
        </w:rPr>
        <w:t>between</w:t>
      </w:r>
      <w:r>
        <w:rPr>
          <w:spacing w:val="10"/>
          <w:w w:val="95"/>
        </w:rPr>
        <w:t> </w:t>
      </w:r>
      <w:r>
        <w:rPr>
          <w:w w:val="95"/>
        </w:rPr>
        <w:t>SNPs</w:t>
      </w:r>
      <w:r>
        <w:rPr>
          <w:spacing w:val="9"/>
          <w:w w:val="95"/>
        </w:rPr>
        <w:t> </w:t>
      </w:r>
      <w:r>
        <w:rPr>
          <w:w w:val="95"/>
        </w:rPr>
        <w:t>of</w:t>
      </w:r>
    </w:p>
    <w:p>
      <w:pPr>
        <w:spacing w:after="0" w:line="256" w:lineRule="auto"/>
        <w:sectPr>
          <w:pgSz w:w="12240" w:h="15840"/>
          <w:pgMar w:header="705" w:footer="680" w:top="1080" w:bottom="880" w:left="580" w:right="60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56" w:lineRule="auto" w:before="60"/>
        <w:ind w:left="3420"/>
      </w:pPr>
      <w:r>
        <w:rPr/>
        <w:pict>
          <v:shape style="position:absolute;margin-left:543.911987pt;margin-top:26.637486pt;width:9.550pt;height:.1pt;mso-position-horizontal-relative:page;mso-position-vertical-relative:paragraph;z-index:-16707584" coordorigin="10878,533" coordsize="191,0" path="m11069,533l10878,533e" filled="true" fillcolor="#3e65ac" stroked="false">
            <v:path arrowok="t"/>
            <v:fill type="solid"/>
            <w10:wrap type="none"/>
          </v:shape>
        </w:pict>
      </w:r>
      <w:bookmarkStart w:name="_bookmark34" w:id="36"/>
      <w:bookmarkEnd w:id="36"/>
      <w:r>
        <w:rPr/>
      </w:r>
      <w:bookmarkStart w:name="_bookmark35" w:id="37"/>
      <w:bookmarkEnd w:id="37"/>
      <w:r>
        <w:rPr/>
      </w:r>
      <w:bookmarkStart w:name="_bookmark36" w:id="38"/>
      <w:bookmarkEnd w:id="38"/>
      <w:r>
        <w:rPr/>
      </w:r>
      <w:bookmarkStart w:name="_bookmark37" w:id="39"/>
      <w:bookmarkEnd w:id="39"/>
      <w:r>
        <w:rPr/>
      </w:r>
      <w:r>
        <w:rPr>
          <w:w w:val="95"/>
        </w:rPr>
        <w:t>other</w:t>
      </w:r>
      <w:r>
        <w:rPr>
          <w:spacing w:val="12"/>
          <w:w w:val="95"/>
        </w:rPr>
        <w:t> </w:t>
      </w:r>
      <w:r>
        <w:rPr>
          <w:w w:val="95"/>
        </w:rPr>
        <w:t>mediators</w:t>
      </w:r>
      <w:r>
        <w:rPr>
          <w:spacing w:val="14"/>
          <w:w w:val="95"/>
        </w:rPr>
        <w:t> </w:t>
      </w:r>
      <w:r>
        <w:rPr>
          <w:w w:val="95"/>
        </w:rPr>
        <w:t>and</w:t>
      </w:r>
      <w:r>
        <w:rPr>
          <w:spacing w:val="12"/>
          <w:w w:val="95"/>
        </w:rPr>
        <w:t> </w:t>
      </w:r>
      <w:r>
        <w:rPr>
          <w:w w:val="95"/>
        </w:rPr>
        <w:t>their</w:t>
      </w:r>
      <w:r>
        <w:rPr>
          <w:spacing w:val="12"/>
          <w:w w:val="95"/>
        </w:rPr>
        <w:t> </w:t>
      </w:r>
      <w:r>
        <w:rPr>
          <w:w w:val="95"/>
        </w:rPr>
        <w:t>blood</w:t>
      </w:r>
      <w:r>
        <w:rPr>
          <w:spacing w:val="14"/>
          <w:w w:val="95"/>
        </w:rPr>
        <w:t> </w:t>
      </w:r>
      <w:r>
        <w:rPr>
          <w:w w:val="95"/>
        </w:rPr>
        <w:t>levels.</w:t>
      </w:r>
      <w:r>
        <w:rPr>
          <w:spacing w:val="11"/>
          <w:w w:val="95"/>
        </w:rPr>
        <w:t> </w:t>
      </w:r>
      <w:r>
        <w:rPr>
          <w:w w:val="95"/>
        </w:rPr>
        <w:t>For</w:t>
      </w:r>
      <w:r>
        <w:rPr>
          <w:spacing w:val="13"/>
          <w:w w:val="95"/>
        </w:rPr>
        <w:t> </w:t>
      </w:r>
      <w:r>
        <w:rPr>
          <w:w w:val="95"/>
        </w:rPr>
        <w:t>instance,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significant</w:t>
      </w:r>
      <w:r>
        <w:rPr>
          <w:spacing w:val="14"/>
          <w:w w:val="95"/>
        </w:rPr>
        <w:t> </w:t>
      </w:r>
      <w:r>
        <w:rPr>
          <w:w w:val="95"/>
        </w:rPr>
        <w:t>association</w:t>
      </w:r>
      <w:r>
        <w:rPr>
          <w:spacing w:val="14"/>
          <w:w w:val="95"/>
        </w:rPr>
        <w:t> </w:t>
      </w:r>
      <w:r>
        <w:rPr>
          <w:w w:val="95"/>
        </w:rPr>
        <w:t>between</w:t>
      </w:r>
      <w:r>
        <w:rPr>
          <w:spacing w:val="13"/>
          <w:w w:val="95"/>
        </w:rPr>
        <w:t> </w:t>
      </w:r>
      <w:r>
        <w:rPr>
          <w:w w:val="95"/>
        </w:rPr>
        <w:t>IL-6</w:t>
      </w:r>
      <w:r>
        <w:rPr>
          <w:spacing w:val="13"/>
          <w:w w:val="95"/>
        </w:rPr>
        <w:t> </w:t>
      </w:r>
      <w:r>
        <w:rPr>
          <w:w w:val="95"/>
        </w:rPr>
        <w:t>572</w:t>
      </w:r>
      <w:r>
        <w:rPr>
          <w:spacing w:val="-40"/>
          <w:w w:val="95"/>
        </w:rPr>
        <w:t> </w:t>
      </w:r>
      <w:bookmarkStart w:name="_bookmark38" w:id="40"/>
      <w:bookmarkEnd w:id="40"/>
      <w:r>
        <w:rPr/>
        <w:t>gen</w:t>
      </w:r>
      <w:r>
        <w:rPr/>
        <w:t>e</w:t>
      </w:r>
      <w:r>
        <w:rPr>
          <w:spacing w:val="-10"/>
        </w:rPr>
        <w:t> </w:t>
      </w:r>
      <w:r>
        <w:rPr/>
        <w:t>polymorphism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its</w:t>
      </w:r>
      <w:r>
        <w:rPr>
          <w:spacing w:val="-8"/>
        </w:rPr>
        <w:t> </w:t>
      </w:r>
      <w:r>
        <w:rPr/>
        <w:t>serum</w:t>
      </w:r>
      <w:r>
        <w:rPr>
          <w:spacing w:val="-10"/>
        </w:rPr>
        <w:t> </w:t>
      </w:r>
      <w:r>
        <w:rPr/>
        <w:t>level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reported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Egyptian</w:t>
      </w:r>
      <w:r>
        <w:rPr>
          <w:spacing w:val="-9"/>
        </w:rPr>
        <w:t> </w:t>
      </w:r>
      <w:r>
        <w:rPr/>
        <w:t>patients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keloid</w:t>
      </w:r>
      <w:r>
        <w:rPr>
          <w:spacing w:val="-10"/>
        </w:rPr>
        <w:t> </w:t>
      </w:r>
      <w:r>
        <w:rPr/>
        <w:t>[</w:t>
      </w:r>
      <w:hyperlink w:history="true" w:anchor="_bookmark80">
        <w:r>
          <w:rPr>
            <w:color w:val="3E65AC"/>
          </w:rPr>
          <w:t>36</w:t>
        </w:r>
      </w:hyperlink>
      <w:r>
        <w:rPr/>
        <w:t>].</w:t>
      </w:r>
    </w:p>
    <w:p>
      <w:pPr>
        <w:pStyle w:val="BodyText"/>
        <w:spacing w:line="254" w:lineRule="auto"/>
        <w:ind w:left="3420" w:right="118"/>
      </w:pPr>
      <w:r>
        <w:rPr/>
        <w:pict>
          <v:shape style="position:absolute;margin-left:298.14801pt;margin-top:36.564491pt;width:9.550pt;height:.1pt;mso-position-horizontal-relative:page;mso-position-vertical-relative:paragraph;z-index:-16707072" coordorigin="5963,731" coordsize="191,0" path="m6153,731l5963,731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8.337006pt;margin-top:62.586491pt;width:145.6pt;height:.1pt;mso-position-horizontal-relative:page;mso-position-vertical-relative:paragraph;z-index:-16706560" coordorigin="8367,1252" coordsize="2912,0" path="m11278,1252l8367,1252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0.013pt;margin-top:75.569489pt;width:99.5pt;height:.1pt;mso-position-horizontal-relative:page;mso-position-vertical-relative:paragraph;z-index:-16706048" coordorigin="4000,1511" coordsize="1990,0" path="m5990,1511l4000,1511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4.699005pt;margin-top:88.60849pt;width:9.550pt;height:.1pt;mso-position-horizontal-relative:page;mso-position-vertical-relative:paragraph;z-index:-16705536" coordorigin="5294,1772" coordsize="191,0" path="m5484,1772l5294,1772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6.850006pt;margin-top:114.574493pt;width:9.550pt;height:.1pt;mso-position-horizontal-relative:page;mso-position-vertical-relative:paragraph;z-index:15763456" coordorigin="7937,2291" coordsize="191,0" path="m8128,2291l7937,2291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796997pt;margin-top:114.574493pt;width:9.550pt;height:.1pt;mso-position-horizontal-relative:page;mso-position-vertical-relative:paragraph;z-index:15763968" coordorigin="8216,2291" coordsize="191,0" path="m8406,2291l8216,2291e" filled="true" fillcolor="#3e65ac" stroked="false">
            <v:path arrowok="t"/>
            <v:fill type="solid"/>
            <w10:wrap type="none"/>
          </v:shape>
        </w:pict>
      </w:r>
      <w:r>
        <w:rPr/>
        <w:t>Another</w:t>
      </w:r>
      <w:r>
        <w:rPr>
          <w:spacing w:val="-9"/>
        </w:rPr>
        <w:t> </w:t>
      </w:r>
      <w:r>
        <w:rPr/>
        <w:t>study</w:t>
      </w:r>
      <w:r>
        <w:rPr>
          <w:spacing w:val="-9"/>
        </w:rPr>
        <w:t> </w:t>
      </w:r>
      <w:r>
        <w:rPr/>
        <w:t>showed</w:t>
      </w:r>
      <w:r>
        <w:rPr>
          <w:spacing w:val="-8"/>
        </w:rPr>
        <w:t> </w:t>
      </w:r>
      <w:r>
        <w:rPr/>
        <w:t>that</w:t>
      </w:r>
      <w:r>
        <w:rPr>
          <w:spacing w:val="-10"/>
        </w:rPr>
        <w:t> </w:t>
      </w:r>
      <w:r>
        <w:rPr/>
        <w:t>TT</w:t>
      </w:r>
      <w:r>
        <w:rPr>
          <w:spacing w:val="-10"/>
        </w:rPr>
        <w:t> </w:t>
      </w:r>
      <w:r>
        <w:rPr/>
        <w:t>genotype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IL-19</w:t>
      </w:r>
      <w:r>
        <w:rPr>
          <w:spacing w:val="-9"/>
        </w:rPr>
        <w:t> </w:t>
      </w:r>
      <w:r>
        <w:rPr/>
        <w:t>might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hereditary</w:t>
      </w:r>
      <w:r>
        <w:rPr>
          <w:spacing w:val="-8"/>
        </w:rPr>
        <w:t> </w:t>
      </w:r>
      <w:r>
        <w:rPr/>
        <w:t>risk</w:t>
      </w:r>
      <w:r>
        <w:rPr>
          <w:spacing w:val="-9"/>
        </w:rPr>
        <w:t> </w:t>
      </w:r>
      <w:r>
        <w:rPr/>
        <w:t>factor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acne</w:t>
      </w:r>
      <w:r>
        <w:rPr>
          <w:spacing w:val="-10"/>
        </w:rPr>
        <w:t> </w:t>
      </w:r>
      <w:r>
        <w:rPr/>
        <w:t>vul-</w:t>
      </w:r>
      <w:r>
        <w:rPr>
          <w:spacing w:val="-42"/>
        </w:rPr>
        <w:t> </w:t>
      </w:r>
      <w:bookmarkStart w:name="_bookmark39" w:id="41"/>
      <w:bookmarkEnd w:id="41"/>
      <w:r>
        <w:rPr>
          <w:spacing w:val="-1"/>
        </w:rPr>
        <w:t>gari</w:t>
      </w:r>
      <w:r>
        <w:rPr>
          <w:spacing w:val="-1"/>
        </w:rPr>
        <w:t>s development, and it was associated with elevated IL-19 serum levels, which could </w:t>
      </w:r>
      <w:r>
        <w:rPr/>
        <w:t>be a</w:t>
      </w:r>
      <w:r>
        <w:rPr>
          <w:spacing w:val="1"/>
        </w:rPr>
        <w:t> </w:t>
      </w:r>
      <w:r>
        <w:rPr>
          <w:w w:val="95"/>
        </w:rPr>
        <w:t>marker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acne</w:t>
      </w:r>
      <w:r>
        <w:rPr>
          <w:spacing w:val="12"/>
          <w:w w:val="95"/>
        </w:rPr>
        <w:t> </w:t>
      </w:r>
      <w:r>
        <w:rPr>
          <w:w w:val="95"/>
        </w:rPr>
        <w:t>severity</w:t>
      </w:r>
      <w:r>
        <w:rPr>
          <w:spacing w:val="11"/>
          <w:w w:val="95"/>
        </w:rPr>
        <w:t> </w:t>
      </w:r>
      <w:r>
        <w:rPr>
          <w:w w:val="95"/>
        </w:rPr>
        <w:t>[</w:t>
      </w:r>
      <w:hyperlink w:history="true" w:anchor="_bookmark80">
        <w:r>
          <w:rPr>
            <w:color w:val="3E65AC"/>
            <w:w w:val="95"/>
          </w:rPr>
          <w:t>37</w:t>
        </w:r>
      </w:hyperlink>
      <w:r>
        <w:rPr>
          <w:w w:val="95"/>
        </w:rPr>
        <w:t>].</w:t>
      </w:r>
      <w:r>
        <w:rPr>
          <w:spacing w:val="12"/>
          <w:w w:val="95"/>
        </w:rPr>
        <w:t> </w:t>
      </w:r>
      <w:r>
        <w:rPr>
          <w:w w:val="95"/>
        </w:rPr>
        <w:t>Therefore,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potential</w:t>
      </w:r>
      <w:r>
        <w:rPr>
          <w:spacing w:val="14"/>
          <w:w w:val="95"/>
        </w:rPr>
        <w:t> </w:t>
      </w:r>
      <w:r>
        <w:rPr>
          <w:w w:val="95"/>
        </w:rPr>
        <w:t>significance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rFonts w:ascii="Times New Roman" w:hAnsi="Times New Roman"/>
          <w:i/>
          <w:w w:val="95"/>
        </w:rPr>
        <w:t>BDNF</w:t>
      </w:r>
      <w:r>
        <w:rPr>
          <w:rFonts w:ascii="Times New Roman" w:hAnsi="Times New Roman"/>
          <w:i/>
          <w:spacing w:val="7"/>
          <w:w w:val="95"/>
        </w:rPr>
        <w:t> </w:t>
      </w:r>
      <w:r>
        <w:rPr>
          <w:w w:val="95"/>
        </w:rPr>
        <w:t>SNPs</w:t>
      </w:r>
      <w:r>
        <w:rPr>
          <w:spacing w:val="11"/>
          <w:w w:val="95"/>
        </w:rPr>
        <w:t> </w:t>
      </w:r>
      <w:r>
        <w:rPr>
          <w:w w:val="95"/>
        </w:rPr>
        <w:t>in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patho-</w:t>
      </w:r>
      <w:r>
        <w:rPr>
          <w:spacing w:val="1"/>
          <w:w w:val="95"/>
        </w:rPr>
        <w:t> </w:t>
      </w:r>
      <w:bookmarkStart w:name="_bookmark40" w:id="42"/>
      <w:bookmarkEnd w:id="42"/>
      <w:r>
        <w:rPr>
          <w:spacing w:val="-1"/>
        </w:rPr>
        <w:t>genesi</w:t>
      </w:r>
      <w:r>
        <w:rPr>
          <w:spacing w:val="-1"/>
        </w:rPr>
        <w:t>s of skin disorders is in the process of investigation. Nevertheless, </w:t>
      </w:r>
      <w:r>
        <w:rPr/>
        <w:t>some evidence on</w:t>
      </w:r>
      <w:r>
        <w:rPr>
          <w:spacing w:val="1"/>
        </w:rPr>
        <w:t> </w:t>
      </w:r>
      <w:r>
        <w:rPr/>
        <w:t>association of vitiligo with gene polymorphisms exists. </w:t>
      </w:r>
      <w:hyperlink r:id="rId23">
        <w:r>
          <w:rPr>
            <w:color w:val="3E65AC"/>
          </w:rPr>
          <w:t>Tumor necrosis factor (TNF)-</w:t>
        </w:r>
        <w:r>
          <w:rPr>
            <w:rFonts w:ascii="Microsoft Sans Serif" w:hAnsi="Microsoft Sans Serif"/>
            <w:color w:val="3E65AC"/>
          </w:rPr>
          <w:t>α</w:t>
        </w:r>
        <w:r>
          <w:rPr>
            <w:color w:val="3E65AC"/>
          </w:rPr>
          <w:t>- 308</w:t>
        </w:r>
      </w:hyperlink>
      <w:r>
        <w:rPr>
          <w:color w:val="3E65AC"/>
          <w:spacing w:val="1"/>
        </w:rPr>
        <w:t> </w:t>
      </w:r>
      <w:hyperlink r:id="rId23">
        <w:r>
          <w:rPr>
            <w:color w:val="3E65AC"/>
            <w:spacing w:val="-1"/>
          </w:rPr>
          <w:t>G/A</w:t>
        </w:r>
        <w:r>
          <w:rPr>
            <w:color w:val="3E65AC"/>
            <w:spacing w:val="-11"/>
          </w:rPr>
          <w:t> </w:t>
        </w:r>
        <w:r>
          <w:rPr>
            <w:color w:val="3E65AC"/>
            <w:spacing w:val="-1"/>
          </w:rPr>
          <w:t>gene</w:t>
        </w:r>
        <w:r>
          <w:rPr>
            <w:color w:val="3E65AC"/>
            <w:spacing w:val="-10"/>
          </w:rPr>
          <w:t> </w:t>
        </w:r>
        <w:r>
          <w:rPr>
            <w:color w:val="3E65AC"/>
            <w:spacing w:val="-1"/>
          </w:rPr>
          <w:t>polymorphism</w:t>
        </w:r>
        <w:r>
          <w:rPr>
            <w:color w:val="3E65AC"/>
            <w:spacing w:val="-9"/>
          </w:rPr>
          <w:t> </w:t>
        </w:r>
      </w:hyperlink>
      <w:r>
        <w:rPr>
          <w:spacing w:val="-1"/>
        </w:rPr>
        <w:t>was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most</w:t>
      </w:r>
      <w:r>
        <w:rPr>
          <w:spacing w:val="-11"/>
        </w:rPr>
        <w:t> </w:t>
      </w:r>
      <w:r>
        <w:rPr>
          <w:spacing w:val="-1"/>
        </w:rPr>
        <w:t>investigated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/>
        <w:t>vitiligo</w:t>
      </w:r>
      <w:r>
        <w:rPr>
          <w:spacing w:val="-10"/>
        </w:rPr>
        <w:t> </w:t>
      </w:r>
      <w:r>
        <w:rPr/>
        <w:t>patients.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recent</w:t>
      </w:r>
      <w:r>
        <w:rPr>
          <w:spacing w:val="-10"/>
        </w:rPr>
        <w:t> </w:t>
      </w:r>
      <w:r>
        <w:rPr/>
        <w:t>meta-analy-</w:t>
      </w:r>
      <w:r>
        <w:rPr>
          <w:spacing w:val="-42"/>
        </w:rPr>
        <w:t> </w:t>
      </w:r>
      <w:r>
        <w:rPr>
          <w:spacing w:val="-1"/>
        </w:rPr>
        <w:t>sis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Giri</w:t>
      </w:r>
      <w:r>
        <w:rPr>
          <w:spacing w:val="-8"/>
        </w:rPr>
        <w:t> </w:t>
      </w:r>
      <w:r>
        <w:rPr>
          <w:spacing w:val="-1"/>
        </w:rPr>
        <w:t>et</w:t>
      </w:r>
      <w:r>
        <w:rPr>
          <w:spacing w:val="-10"/>
        </w:rPr>
        <w:t> </w:t>
      </w:r>
      <w:r>
        <w:rPr>
          <w:spacing w:val="-1"/>
        </w:rPr>
        <w:t>al.</w:t>
      </w:r>
      <w:r>
        <w:rPr>
          <w:spacing w:val="-10"/>
        </w:rPr>
        <w:t> </w:t>
      </w:r>
      <w:r>
        <w:rPr>
          <w:spacing w:val="-1"/>
        </w:rPr>
        <w:t>[</w:t>
      </w:r>
      <w:hyperlink w:history="true" w:anchor="_bookmark80">
        <w:r>
          <w:rPr>
            <w:color w:val="3E65AC"/>
            <w:spacing w:val="-1"/>
          </w:rPr>
          <w:t>38</w:t>
        </w:r>
      </w:hyperlink>
      <w:r>
        <w:rPr>
          <w:spacing w:val="-1"/>
        </w:rPr>
        <w:t>]</w:t>
      </w:r>
      <w:r>
        <w:rPr>
          <w:spacing w:val="-8"/>
        </w:rPr>
        <w:t> </w:t>
      </w:r>
      <w:r>
        <w:rPr>
          <w:spacing w:val="-1"/>
        </w:rPr>
        <w:t>suggested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involvement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susceptible</w:t>
      </w:r>
      <w:r>
        <w:rPr>
          <w:spacing w:val="-9"/>
        </w:rPr>
        <w:t> </w:t>
      </w:r>
      <w:r>
        <w:rPr>
          <w:spacing w:val="-1"/>
        </w:rPr>
        <w:t>’A’</w:t>
      </w:r>
      <w:r>
        <w:rPr>
          <w:spacing w:val="-9"/>
        </w:rPr>
        <w:t> </w:t>
      </w:r>
      <w:r>
        <w:rPr>
          <w:spacing w:val="-1"/>
        </w:rPr>
        <w:t>allele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/>
        <w:t>vitiligo</w:t>
      </w:r>
      <w:r>
        <w:rPr>
          <w:spacing w:val="-8"/>
        </w:rPr>
        <w:t> </w:t>
      </w:r>
      <w:r>
        <w:rPr/>
        <w:t>susceptibil-</w:t>
      </w:r>
      <w:r>
        <w:rPr>
          <w:spacing w:val="-42"/>
        </w:rPr>
        <w:t> </w:t>
      </w:r>
      <w:bookmarkStart w:name="_bookmark41" w:id="43"/>
      <w:bookmarkEnd w:id="43"/>
      <w:r>
        <w:rPr/>
        <w:t>it</w:t>
      </w:r>
      <w:r>
        <w:rPr/>
        <w:t>y in overall population, whereas the previous studies failed to reveal that TNF-</w:t>
      </w:r>
      <w:r>
        <w:rPr>
          <w:rFonts w:ascii="Microsoft Sans Serif" w:hAnsi="Microsoft Sans Serif"/>
        </w:rPr>
        <w:t>α</w:t>
      </w:r>
      <w:r>
        <w:rPr/>
        <w:t>-308 G/A</w:t>
      </w:r>
      <w:r>
        <w:rPr>
          <w:spacing w:val="1"/>
        </w:rPr>
        <w:t> </w:t>
      </w:r>
      <w:r>
        <w:rPr/>
        <w:t>polymorphism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genetic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/>
        <w:t>factor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vitiligo</w:t>
      </w:r>
      <w:r>
        <w:rPr>
          <w:spacing w:val="-2"/>
        </w:rPr>
        <w:t> </w:t>
      </w:r>
      <w:r>
        <w:rPr/>
        <w:t>[</w:t>
      </w:r>
      <w:hyperlink w:history="true" w:anchor="_bookmark80">
        <w:r>
          <w:rPr>
            <w:color w:val="3E65AC"/>
          </w:rPr>
          <w:t>39</w:t>
        </w:r>
      </w:hyperlink>
      <w:r>
        <w:rPr/>
        <w:t>,</w:t>
      </w:r>
      <w:r>
        <w:rPr>
          <w:spacing w:val="-2"/>
        </w:rPr>
        <w:t> </w:t>
      </w:r>
      <w:hyperlink w:history="true" w:anchor="_bookmark81">
        <w:r>
          <w:rPr>
            <w:color w:val="3E65AC"/>
          </w:rPr>
          <w:t>40</w:t>
        </w:r>
      </w:hyperlink>
      <w:r>
        <w:rPr/>
        <w:t>].</w:t>
      </w:r>
    </w:p>
    <w:p>
      <w:pPr>
        <w:pStyle w:val="BodyText"/>
        <w:spacing w:line="254" w:lineRule="auto" w:before="9"/>
        <w:ind w:left="3420" w:right="171" w:firstLine="239"/>
      </w:pPr>
      <w:r>
        <w:rPr/>
        <w:pict>
          <v:shape style="position:absolute;margin-left:556.668030pt;margin-top:24.032513pt;width:9.550pt;height:.1pt;mso-position-horizontal-relative:page;mso-position-vertical-relative:paragraph;z-index:-16704000" coordorigin="11133,481" coordsize="191,0" path="m11324,481l11133,481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0.013pt;margin-top:37.015514pt;width:9.550pt;height:.1pt;mso-position-horizontal-relative:page;mso-position-vertical-relative:paragraph;z-index:-16703488" coordorigin="4000,740" coordsize="191,0" path="m4191,740l4000,740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0.471985pt;margin-top:50.054512pt;width:9.550pt;height:.1pt;mso-position-horizontal-relative:page;mso-position-vertical-relative:paragraph;z-index:-16702976" coordorigin="9609,1001" coordsize="191,0" path="m9800,1001l9609,1001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8.330994pt;margin-top:63.037514pt;width:9.550pt;height:.1pt;mso-position-horizontal-relative:page;mso-position-vertical-relative:paragraph;z-index:-16702464" coordorigin="9967,1261" coordsize="191,0" path="m10157,1261l9967,1261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0.604996pt;margin-top:89.00251pt;width:9.550pt;height:.1pt;mso-position-horizontal-relative:page;mso-position-vertical-relative:paragraph;z-index:-16701952" coordorigin="4812,1780" coordsize="191,0" path="m5003,1780l4812,1780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7.067993pt;margin-top:115.024513pt;width:9.550pt;height:.1pt;mso-position-horizontal-relative:page;mso-position-vertical-relative:paragraph;z-index:-16701440" coordorigin="4941,2300" coordsize="191,0" path="m5132,2300l4941,2300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1.014008pt;margin-top:115.024513pt;width:9.550pt;height:.1pt;mso-position-horizontal-relative:page;mso-position-vertical-relative:paragraph;z-index:-16700928" coordorigin="5220,2300" coordsize="191,0" path="m5411,2300l5220,2300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5.54599pt;margin-top:167.011505pt;width:9.550pt;height:.1pt;mso-position-horizontal-relative:page;mso-position-vertical-relative:paragraph;z-index:-16700416" coordorigin="7911,3340" coordsize="191,0" path="m8101,3340l7911,3340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3.414001pt;margin-top:193.033508pt;width:9.550pt;height:.1pt;mso-position-horizontal-relative:page;mso-position-vertical-relative:paragraph;z-index:-16699904" coordorigin="4068,3861" coordsize="191,0" path="m4259,3861l4068,3861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8.997986pt;margin-top:193.033508pt;width:9.550pt;height:.1pt;mso-position-horizontal-relative:page;mso-position-vertical-relative:paragraph;z-index:-16699392" coordorigin="5980,3861" coordsize="191,0" path="m6170,3861l5980,3861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4.015991pt;margin-top:258.004517pt;width:9.550pt;height:.1pt;mso-position-horizontal-relative:page;mso-position-vertical-relative:paragraph;z-index:-16698880" coordorigin="7880,5160" coordsize="191,0" path="m8071,5160l7880,5160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3.496002pt;margin-top:284.02652pt;width:9.5pt;height:.1pt;mso-position-horizontal-relative:page;mso-position-vertical-relative:paragraph;z-index:15770112" coordorigin="4870,5681" coordsize="190,0" path="m5059,5681l4870,5681e" filled="true" fillcolor="#3e65ac" stroked="false">
            <v:path arrowok="t"/>
            <v:fill type="solid"/>
            <w10:wrap type="none"/>
          </v:shape>
        </w:pict>
      </w:r>
      <w:bookmarkStart w:name="_bookmark42" w:id="44"/>
      <w:bookmarkEnd w:id="44"/>
      <w:r>
        <w:rPr/>
      </w:r>
      <w:r>
        <w:rPr>
          <w:spacing w:val="-1"/>
        </w:rPr>
        <w:t>Corticotropin-releasing</w:t>
      </w:r>
      <w:r>
        <w:rPr>
          <w:spacing w:val="-11"/>
        </w:rPr>
        <w:t> </w:t>
      </w:r>
      <w:r>
        <w:rPr>
          <w:spacing w:val="-1"/>
        </w:rPr>
        <w:t>hormone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/>
        <w:t>one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main</w:t>
      </w:r>
      <w:r>
        <w:rPr>
          <w:spacing w:val="-10"/>
        </w:rPr>
        <w:t> </w:t>
      </w:r>
      <w:r>
        <w:rPr/>
        <w:t>neuropeptides</w:t>
      </w:r>
      <w:r>
        <w:rPr>
          <w:spacing w:val="-9"/>
        </w:rPr>
        <w:t> </w:t>
      </w:r>
      <w:r>
        <w:rPr/>
        <w:t>that</w:t>
      </w:r>
      <w:r>
        <w:rPr>
          <w:spacing w:val="-11"/>
        </w:rPr>
        <w:t> </w:t>
      </w:r>
      <w:r>
        <w:rPr/>
        <w:t>plays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crucial</w:t>
      </w:r>
      <w:r>
        <w:rPr>
          <w:spacing w:val="-10"/>
        </w:rPr>
        <w:t> </w:t>
      </w:r>
      <w:r>
        <w:rPr/>
        <w:t>role</w:t>
      </w:r>
      <w:r>
        <w:rPr>
          <w:spacing w:val="1"/>
        </w:rPr>
        <w:t> </w:t>
      </w:r>
      <w:r>
        <w:rPr>
          <w:spacing w:val="-1"/>
        </w:rPr>
        <w:t>in controlling the hypothalamic–pituitary–adrenal axis and the systemic answer to </w:t>
      </w:r>
      <w:r>
        <w:rPr/>
        <w:t>stress [</w:t>
      </w:r>
      <w:hyperlink w:history="true" w:anchor="_bookmark82">
        <w:r>
          <w:rPr>
            <w:color w:val="3E65AC"/>
          </w:rPr>
          <w:t>41</w:t>
        </w:r>
      </w:hyperlink>
      <w:r>
        <w:rPr/>
        <w:t>,</w:t>
      </w:r>
      <w:r>
        <w:rPr>
          <w:spacing w:val="-43"/>
        </w:rPr>
        <w:t> </w:t>
      </w:r>
      <w:hyperlink w:history="true" w:anchor="_bookmark83">
        <w:r>
          <w:rPr>
            <w:color w:val="3E65AC"/>
          </w:rPr>
          <w:t>42</w:t>
        </w:r>
      </w:hyperlink>
      <w:r>
        <w:rPr/>
        <w:t>].</w:t>
      </w:r>
      <w:r>
        <w:rPr>
          <w:spacing w:val="-9"/>
        </w:rPr>
        <w:t> </w:t>
      </w:r>
      <w:r>
        <w:rPr/>
        <w:t>CRH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mostly</w:t>
      </w:r>
      <w:r>
        <w:rPr>
          <w:spacing w:val="-9"/>
        </w:rPr>
        <w:t> </w:t>
      </w:r>
      <w:r>
        <w:rPr/>
        <w:t>generated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central</w:t>
      </w:r>
      <w:r>
        <w:rPr>
          <w:spacing w:val="-9"/>
        </w:rPr>
        <w:t> </w:t>
      </w:r>
      <w:r>
        <w:rPr/>
        <w:t>nervous</w:t>
      </w:r>
      <w:r>
        <w:rPr>
          <w:spacing w:val="-9"/>
        </w:rPr>
        <w:t> </w:t>
      </w:r>
      <w:r>
        <w:rPr/>
        <w:t>system.</w:t>
      </w:r>
      <w:r>
        <w:rPr>
          <w:spacing w:val="-7"/>
        </w:rPr>
        <w:t> </w:t>
      </w:r>
      <w:r>
        <w:rPr/>
        <w:t>Nevertheless,</w:t>
      </w:r>
      <w:r>
        <w:rPr>
          <w:spacing w:val="-8"/>
        </w:rPr>
        <w:t> </w:t>
      </w:r>
      <w:r>
        <w:rPr/>
        <w:t>CRH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its</w:t>
      </w:r>
      <w:r>
        <w:rPr>
          <w:spacing w:val="-8"/>
        </w:rPr>
        <w:t> </w:t>
      </w:r>
      <w:r>
        <w:rPr/>
        <w:t>recep-</w:t>
      </w:r>
      <w:r>
        <w:rPr>
          <w:spacing w:val="1"/>
        </w:rPr>
        <w:t> </w:t>
      </w:r>
      <w:r>
        <w:rPr/>
        <w:t>tors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also</w:t>
      </w:r>
      <w:r>
        <w:rPr>
          <w:spacing w:val="-6"/>
        </w:rPr>
        <w:t> </w:t>
      </w:r>
      <w:r>
        <w:rPr/>
        <w:t>expressed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numerous</w:t>
      </w:r>
      <w:r>
        <w:rPr>
          <w:spacing w:val="-6"/>
        </w:rPr>
        <w:t> </w:t>
      </w:r>
      <w:r>
        <w:rPr/>
        <w:t>peripheral</w:t>
      </w:r>
      <w:r>
        <w:rPr>
          <w:spacing w:val="-6"/>
        </w:rPr>
        <w:t> </w:t>
      </w:r>
      <w:r>
        <w:rPr/>
        <w:t>tissues,</w:t>
      </w:r>
      <w:r>
        <w:rPr>
          <w:spacing w:val="-5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skin</w:t>
      </w:r>
      <w:r>
        <w:rPr>
          <w:spacing w:val="-8"/>
        </w:rPr>
        <w:t> </w:t>
      </w:r>
      <w:r>
        <w:rPr/>
        <w:t>[</w:t>
      </w:r>
      <w:hyperlink w:history="true" w:anchor="_bookmark57">
        <w:r>
          <w:rPr>
            <w:color w:val="3E65AC"/>
          </w:rPr>
          <w:t>10</w:t>
        </w:r>
      </w:hyperlink>
      <w:r>
        <w:rPr/>
        <w:t>].</w:t>
      </w:r>
      <w:r>
        <w:rPr>
          <w:spacing w:val="-6"/>
        </w:rPr>
        <w:t> </w:t>
      </w:r>
      <w:r>
        <w:rPr/>
        <w:t>Cutaneous</w:t>
      </w:r>
      <w:r>
        <w:rPr>
          <w:spacing w:val="-6"/>
        </w:rPr>
        <w:t> </w:t>
      </w:r>
      <w:r>
        <w:rPr/>
        <w:t>CRH</w:t>
      </w:r>
      <w:r>
        <w:rPr>
          <w:spacing w:val="-7"/>
        </w:rPr>
        <w:t> </w:t>
      </w:r>
      <w:r>
        <w:rPr/>
        <w:t>is</w:t>
      </w:r>
      <w:r>
        <w:rPr>
          <w:spacing w:val="1"/>
        </w:rPr>
        <w:t> </w:t>
      </w:r>
      <w:r>
        <w:rPr>
          <w:w w:val="95"/>
        </w:rPr>
        <w:t>assumed</w:t>
      </w:r>
      <w:r>
        <w:rPr>
          <w:spacing w:val="9"/>
          <w:w w:val="95"/>
        </w:rPr>
        <w:t> </w:t>
      </w:r>
      <w:r>
        <w:rPr>
          <w:w w:val="95"/>
        </w:rPr>
        <w:t>to</w:t>
      </w:r>
      <w:r>
        <w:rPr>
          <w:spacing w:val="8"/>
          <w:w w:val="95"/>
        </w:rPr>
        <w:t> </w:t>
      </w:r>
      <w:r>
        <w:rPr>
          <w:w w:val="95"/>
        </w:rPr>
        <w:t>control</w:t>
      </w:r>
      <w:r>
        <w:rPr>
          <w:spacing w:val="8"/>
          <w:w w:val="95"/>
        </w:rPr>
        <w:t> </w:t>
      </w:r>
      <w:r>
        <w:rPr>
          <w:w w:val="95"/>
        </w:rPr>
        <w:t>different</w:t>
      </w:r>
      <w:r>
        <w:rPr>
          <w:spacing w:val="10"/>
          <w:w w:val="95"/>
        </w:rPr>
        <w:t> </w:t>
      </w:r>
      <w:r>
        <w:rPr>
          <w:w w:val="95"/>
        </w:rPr>
        <w:t>skin</w:t>
      </w:r>
      <w:r>
        <w:rPr>
          <w:spacing w:val="8"/>
          <w:w w:val="95"/>
        </w:rPr>
        <w:t> </w:t>
      </w:r>
      <w:r>
        <w:rPr>
          <w:w w:val="95"/>
        </w:rPr>
        <w:t>functions</w:t>
      </w:r>
      <w:r>
        <w:rPr>
          <w:spacing w:val="9"/>
          <w:w w:val="95"/>
        </w:rPr>
        <w:t> </w:t>
      </w:r>
      <w:r>
        <w:rPr>
          <w:w w:val="95"/>
        </w:rPr>
        <w:t>essential</w:t>
      </w:r>
      <w:r>
        <w:rPr>
          <w:spacing w:val="10"/>
          <w:w w:val="95"/>
        </w:rPr>
        <w:t> </w:t>
      </w:r>
      <w:r>
        <w:rPr>
          <w:w w:val="95"/>
        </w:rPr>
        <w:t>for</w:t>
      </w:r>
      <w:r>
        <w:rPr>
          <w:spacing w:val="8"/>
          <w:w w:val="95"/>
        </w:rPr>
        <w:t> </w:t>
      </w:r>
      <w:r>
        <w:rPr>
          <w:w w:val="95"/>
        </w:rPr>
        <w:t>local</w:t>
      </w:r>
      <w:r>
        <w:rPr>
          <w:spacing w:val="8"/>
          <w:w w:val="95"/>
        </w:rPr>
        <w:t> </w:t>
      </w:r>
      <w:r>
        <w:rPr>
          <w:w w:val="95"/>
        </w:rPr>
        <w:t>homeostasis</w:t>
      </w:r>
      <w:r>
        <w:rPr>
          <w:spacing w:val="10"/>
          <w:w w:val="95"/>
        </w:rPr>
        <w:t> </w:t>
      </w:r>
      <w:r>
        <w:rPr>
          <w:w w:val="95"/>
        </w:rPr>
        <w:t>[</w:t>
      </w:r>
      <w:hyperlink w:history="true" w:anchor="_bookmark84">
        <w:r>
          <w:rPr>
            <w:color w:val="3E65AC"/>
            <w:w w:val="95"/>
          </w:rPr>
          <w:t>43</w:t>
        </w:r>
      </w:hyperlink>
      <w:r>
        <w:rPr>
          <w:w w:val="95"/>
        </w:rPr>
        <w:t>].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effects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bookmarkStart w:name="_bookmark43" w:id="45"/>
      <w:bookmarkEnd w:id="45"/>
      <w:r>
        <w:rPr/>
        <w:t>CR</w:t>
      </w:r>
      <w:r>
        <w:rPr/>
        <w:t>H are indirect and are conveyed through two main types of receptors called CRH-R1 and</w:t>
      </w:r>
      <w:r>
        <w:rPr>
          <w:spacing w:val="1"/>
        </w:rPr>
        <w:t> </w:t>
      </w:r>
      <w:r>
        <w:rPr/>
        <w:t>CRH-R2</w:t>
      </w:r>
      <w:r>
        <w:rPr>
          <w:spacing w:val="2"/>
        </w:rPr>
        <w:t> </w:t>
      </w:r>
      <w:r>
        <w:rPr/>
        <w:t>[</w:t>
      </w:r>
      <w:hyperlink w:history="true" w:anchor="_bookmark85">
        <w:r>
          <w:rPr>
            <w:color w:val="3E65AC"/>
          </w:rPr>
          <w:t>44</w:t>
        </w:r>
      </w:hyperlink>
      <w:r>
        <w:rPr/>
        <w:t>].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humans,</w:t>
      </w:r>
      <w:r>
        <w:rPr>
          <w:spacing w:val="2"/>
        </w:rPr>
        <w:t> </w:t>
      </w:r>
      <w:r>
        <w:rPr/>
        <w:t>CRH-R1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mostly</w:t>
      </w:r>
      <w:r>
        <w:rPr>
          <w:spacing w:val="3"/>
        </w:rPr>
        <w:t> </w:t>
      </w:r>
      <w:r>
        <w:rPr/>
        <w:t>expressed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3"/>
        </w:rPr>
        <w:t> </w:t>
      </w:r>
      <w:r>
        <w:rPr/>
        <w:t>major</w:t>
      </w:r>
      <w:r>
        <w:rPr>
          <w:spacing w:val="2"/>
        </w:rPr>
        <w:t> </w:t>
      </w:r>
      <w:r>
        <w:rPr/>
        <w:t>cellular</w:t>
      </w:r>
      <w:r>
        <w:rPr>
          <w:spacing w:val="2"/>
        </w:rPr>
        <w:t> </w:t>
      </w:r>
      <w:r>
        <w:rPr/>
        <w:t>populations,</w:t>
      </w:r>
      <w:r>
        <w:rPr>
          <w:spacing w:val="1"/>
        </w:rPr>
        <w:t> </w:t>
      </w:r>
      <w:bookmarkStart w:name="_bookmark44" w:id="46"/>
      <w:bookmarkEnd w:id="46"/>
      <w:r>
        <w:rPr>
          <w:spacing w:val="-1"/>
        </w:rPr>
        <w:t>wherea</w:t>
      </w:r>
      <w:r>
        <w:rPr>
          <w:spacing w:val="-1"/>
        </w:rPr>
        <w:t>s</w:t>
      </w:r>
      <w:r>
        <w:rPr>
          <w:spacing w:val="-10"/>
        </w:rPr>
        <w:t> </w:t>
      </w:r>
      <w:r>
        <w:rPr>
          <w:spacing w:val="-1"/>
        </w:rPr>
        <w:t>CRH-R2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1"/>
        </w:rPr>
        <w:t>expressed</w:t>
      </w:r>
      <w:r>
        <w:rPr>
          <w:spacing w:val="-8"/>
        </w:rPr>
        <w:t> </w:t>
      </w:r>
      <w:r>
        <w:rPr>
          <w:spacing w:val="-1"/>
        </w:rPr>
        <w:t>only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/>
        <w:t>hair</w:t>
      </w:r>
      <w:r>
        <w:rPr>
          <w:spacing w:val="-10"/>
        </w:rPr>
        <w:t> </w:t>
      </w:r>
      <w:r>
        <w:rPr/>
        <w:t>follicle</w:t>
      </w:r>
      <w:r>
        <w:rPr>
          <w:spacing w:val="-8"/>
        </w:rPr>
        <w:t> </w:t>
      </w:r>
      <w:r>
        <w:rPr/>
        <w:t>keratinocytes,</w:t>
      </w:r>
      <w:r>
        <w:rPr>
          <w:spacing w:val="-10"/>
        </w:rPr>
        <w:t> </w:t>
      </w:r>
      <w:r>
        <w:rPr/>
        <w:t>sebocytes,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dermal</w:t>
      </w:r>
      <w:r>
        <w:rPr>
          <w:spacing w:val="-9"/>
        </w:rPr>
        <w:t> </w:t>
      </w:r>
      <w:r>
        <w:rPr/>
        <w:t>papilla</w:t>
      </w:r>
      <w:r>
        <w:rPr>
          <w:spacing w:val="-42"/>
        </w:rPr>
        <w:t> </w:t>
      </w:r>
      <w:r>
        <w:rPr/>
        <w:t>fibroblasts [</w:t>
      </w:r>
      <w:hyperlink w:history="true" w:anchor="_bookmark86">
        <w:r>
          <w:rPr>
            <w:color w:val="3E65AC"/>
          </w:rPr>
          <w:t>45</w:t>
        </w:r>
      </w:hyperlink>
      <w:r>
        <w:rPr/>
        <w:t>, </w:t>
      </w:r>
      <w:hyperlink w:history="true" w:anchor="_bookmark87">
        <w:r>
          <w:rPr>
            <w:color w:val="3E65AC"/>
          </w:rPr>
          <w:t>46</w:t>
        </w:r>
      </w:hyperlink>
      <w:r>
        <w:rPr/>
        <w:t>]. Inside the skin, CRH and its receptors are variably expressed in depen-</w:t>
      </w:r>
      <w:r>
        <w:rPr>
          <w:spacing w:val="1"/>
        </w:rPr>
        <w:t> </w:t>
      </w:r>
      <w:r>
        <w:rPr>
          <w:spacing w:val="-1"/>
        </w:rPr>
        <w:t>dence with the cell type and </w:t>
      </w:r>
      <w:r>
        <w:rPr/>
        <w:t>presence/absence of inflammation or disease. CRH has direct</w:t>
      </w:r>
      <w:r>
        <w:rPr>
          <w:spacing w:val="1"/>
        </w:rPr>
        <w:t> </w:t>
      </w:r>
      <w:r>
        <w:rPr/>
        <w:t>immunomodulatory effects on different immune cells. CRH provokes various signaling path-</w:t>
      </w:r>
      <w:r>
        <w:rPr>
          <w:spacing w:val="-43"/>
        </w:rPr>
        <w:t> </w:t>
      </w:r>
      <w:r>
        <w:rPr/>
        <w:t>ways via CRH-R1 activation, which influences proliferation, differentiation, apoptosis and</w:t>
      </w:r>
      <w:r>
        <w:rPr>
          <w:spacing w:val="1"/>
        </w:rPr>
        <w:t> </w:t>
      </w:r>
      <w:bookmarkStart w:name="_bookmark45" w:id="47"/>
      <w:bookmarkEnd w:id="47"/>
      <w:r>
        <w:rPr/>
        <w:t>pro</w:t>
      </w:r>
      <w:r>
        <w:rPr/>
        <w:t>-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anti-inflammatory</w:t>
      </w:r>
      <w:r>
        <w:rPr>
          <w:spacing w:val="-2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skin</w:t>
      </w:r>
      <w:r>
        <w:rPr>
          <w:spacing w:val="-5"/>
        </w:rPr>
        <w:t> </w:t>
      </w:r>
      <w:r>
        <w:rPr/>
        <w:t>cells</w:t>
      </w:r>
      <w:r>
        <w:rPr>
          <w:spacing w:val="-5"/>
        </w:rPr>
        <w:t> </w:t>
      </w:r>
      <w:r>
        <w:rPr/>
        <w:t>[</w:t>
      </w:r>
      <w:hyperlink w:history="true" w:anchor="_bookmark88">
        <w:r>
          <w:rPr>
            <w:color w:val="3E65AC"/>
          </w:rPr>
          <w:t>47</w:t>
        </w:r>
      </w:hyperlink>
      <w:r>
        <w:rPr/>
        <w:t>].</w:t>
      </w:r>
      <w:r>
        <w:rPr>
          <w:spacing w:val="-5"/>
        </w:rPr>
        <w:t> </w:t>
      </w:r>
      <w:r>
        <w:rPr/>
        <w:t>CRH-caused</w:t>
      </w:r>
      <w:r>
        <w:rPr>
          <w:spacing w:val="-3"/>
        </w:rPr>
        <w:t> </w:t>
      </w:r>
      <w:r>
        <w:rPr/>
        <w:t>activation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mast</w:t>
      </w:r>
      <w:r>
        <w:rPr>
          <w:spacing w:val="-5"/>
        </w:rPr>
        <w:t> </w:t>
      </w:r>
      <w:r>
        <w:rPr/>
        <w:t>cells</w:t>
      </w:r>
      <w:r>
        <w:rPr>
          <w:spacing w:val="-4"/>
        </w:rPr>
        <w:t> </w:t>
      </w:r>
      <w:r>
        <w:rPr/>
        <w:t>(via</w:t>
      </w:r>
      <w:r>
        <w:rPr>
          <w:spacing w:val="-43"/>
        </w:rPr>
        <w:t> </w:t>
      </w:r>
      <w:r>
        <w:rPr/>
        <w:t>CRHR-1a) and subsequent vascular permeability significantly contribute to inflammation</w:t>
      </w:r>
      <w:r>
        <w:rPr>
          <w:spacing w:val="1"/>
        </w:rPr>
        <w:t> </w:t>
      </w:r>
      <w:r>
        <w:rPr/>
        <w:t>[</w:t>
      </w:r>
      <w:hyperlink w:history="true" w:anchor="_bookmark89">
        <w:r>
          <w:rPr>
            <w:color w:val="3E65AC"/>
          </w:rPr>
          <w:t>48</w:t>
        </w:r>
      </w:hyperlink>
      <w:r>
        <w:rPr/>
        <w:t>]. Such, Ziegler et al. [</w:t>
      </w:r>
      <w:hyperlink w:history="true" w:anchor="_bookmark57">
        <w:r>
          <w:rPr>
            <w:color w:val="3E65AC"/>
          </w:rPr>
          <w:t>10</w:t>
        </w:r>
      </w:hyperlink>
      <w:r>
        <w:rPr/>
        <w:t>] reported that numerous skin disorders like acne, AD, psoriasis,</w:t>
      </w:r>
      <w:r>
        <w:rPr>
          <w:spacing w:val="1"/>
        </w:rPr>
        <w:t> </w:t>
      </w:r>
      <w:bookmarkStart w:name="_bookmark46" w:id="48"/>
      <w:bookmarkEnd w:id="48"/>
      <w:r>
        <w:rPr>
          <w:w w:val="95"/>
        </w:rPr>
        <w:t>seborrhoi</w:t>
      </w:r>
      <w:r>
        <w:rPr>
          <w:w w:val="95"/>
        </w:rPr>
        <w:t>c</w:t>
      </w:r>
      <w:r>
        <w:rPr>
          <w:spacing w:val="10"/>
          <w:w w:val="95"/>
        </w:rPr>
        <w:t> </w:t>
      </w:r>
      <w:r>
        <w:rPr>
          <w:w w:val="95"/>
        </w:rPr>
        <w:t>eczema,</w:t>
      </w:r>
      <w:r>
        <w:rPr>
          <w:spacing w:val="10"/>
          <w:w w:val="95"/>
        </w:rPr>
        <w:t> </w:t>
      </w:r>
      <w:r>
        <w:rPr>
          <w:w w:val="95"/>
        </w:rPr>
        <w:t>prurigo,</w:t>
      </w:r>
      <w:r>
        <w:rPr>
          <w:spacing w:val="10"/>
          <w:w w:val="95"/>
        </w:rPr>
        <w:t> </w:t>
      </w:r>
      <w:r>
        <w:rPr>
          <w:w w:val="95"/>
        </w:rPr>
        <w:t>urticaria,</w:t>
      </w:r>
      <w:r>
        <w:rPr>
          <w:spacing w:val="11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alopecia</w:t>
      </w:r>
      <w:r>
        <w:rPr>
          <w:spacing w:val="9"/>
          <w:w w:val="95"/>
        </w:rPr>
        <w:t> </w:t>
      </w:r>
      <w:r>
        <w:rPr>
          <w:w w:val="95"/>
        </w:rPr>
        <w:t>areata</w:t>
      </w:r>
      <w:r>
        <w:rPr>
          <w:spacing w:val="9"/>
          <w:w w:val="95"/>
        </w:rPr>
        <w:t> </w:t>
      </w:r>
      <w:r>
        <w:rPr>
          <w:w w:val="95"/>
        </w:rPr>
        <w:t>can</w:t>
      </w:r>
      <w:r>
        <w:rPr>
          <w:spacing w:val="9"/>
          <w:w w:val="95"/>
        </w:rPr>
        <w:t> </w:t>
      </w:r>
      <w:r>
        <w:rPr>
          <w:w w:val="95"/>
        </w:rPr>
        <w:t>be</w:t>
      </w:r>
      <w:r>
        <w:rPr>
          <w:spacing w:val="10"/>
          <w:w w:val="95"/>
        </w:rPr>
        <w:t> </w:t>
      </w:r>
      <w:r>
        <w:rPr>
          <w:w w:val="95"/>
        </w:rPr>
        <w:t>provoked</w:t>
      </w:r>
      <w:r>
        <w:rPr>
          <w:spacing w:val="10"/>
          <w:w w:val="95"/>
        </w:rPr>
        <w:t> </w:t>
      </w:r>
      <w:r>
        <w:rPr>
          <w:w w:val="95"/>
        </w:rPr>
        <w:t>by</w:t>
      </w:r>
      <w:r>
        <w:rPr>
          <w:spacing w:val="9"/>
          <w:w w:val="95"/>
        </w:rPr>
        <w:t> </w:t>
      </w:r>
      <w:r>
        <w:rPr>
          <w:w w:val="95"/>
        </w:rPr>
        <w:t>stress,</w:t>
      </w:r>
      <w:r>
        <w:rPr>
          <w:spacing w:val="10"/>
          <w:w w:val="95"/>
        </w:rPr>
        <w:t> </w:t>
      </w:r>
      <w:r>
        <w:rPr>
          <w:w w:val="95"/>
        </w:rPr>
        <w:t>probably</w:t>
      </w:r>
      <w:r>
        <w:rPr>
          <w:spacing w:val="1"/>
          <w:w w:val="95"/>
        </w:rPr>
        <w:t> </w:t>
      </w:r>
      <w:bookmarkStart w:name="_bookmark47" w:id="49"/>
      <w:bookmarkEnd w:id="49"/>
      <w:r>
        <w:rPr/>
        <w:t>als</w:t>
      </w:r>
      <w:r>
        <w:rPr/>
        <w:t>o</w:t>
      </w:r>
      <w:r>
        <w:rPr>
          <w:spacing w:val="-9"/>
        </w:rPr>
        <w:t> </w:t>
      </w:r>
      <w:r>
        <w:rPr/>
        <w:t>being</w:t>
      </w:r>
      <w:r>
        <w:rPr>
          <w:spacing w:val="-9"/>
        </w:rPr>
        <w:t> </w:t>
      </w:r>
      <w:r>
        <w:rPr/>
        <w:t>mediated</w:t>
      </w:r>
      <w:r>
        <w:rPr>
          <w:spacing w:val="-7"/>
        </w:rPr>
        <w:t> </w:t>
      </w:r>
      <w:r>
        <w:rPr/>
        <w:t>by</w:t>
      </w:r>
      <w:r>
        <w:rPr>
          <w:spacing w:val="-10"/>
        </w:rPr>
        <w:t> </w:t>
      </w:r>
      <w:r>
        <w:rPr/>
        <w:t>CRH.</w:t>
      </w:r>
      <w:r>
        <w:rPr>
          <w:spacing w:val="-7"/>
        </w:rPr>
        <w:t> </w:t>
      </w:r>
      <w:r>
        <w:rPr/>
        <w:t>In</w:t>
      </w:r>
      <w:r>
        <w:rPr>
          <w:spacing w:val="-10"/>
        </w:rPr>
        <w:t> </w:t>
      </w:r>
      <w:r>
        <w:rPr/>
        <w:t>addition,</w:t>
      </w:r>
      <w:r>
        <w:rPr>
          <w:spacing w:val="-7"/>
        </w:rPr>
        <w:t> </w:t>
      </w:r>
      <w:r>
        <w:rPr/>
        <w:t>corticotropin-releasing</w:t>
      </w:r>
      <w:r>
        <w:rPr>
          <w:spacing w:val="-7"/>
        </w:rPr>
        <w:t> </w:t>
      </w:r>
      <w:r>
        <w:rPr/>
        <w:t>hormone</w:t>
      </w:r>
      <w:r>
        <w:rPr>
          <w:spacing w:val="-8"/>
        </w:rPr>
        <w:t> </w:t>
      </w:r>
      <w:r>
        <w:rPr/>
        <w:t>can</w:t>
      </w:r>
      <w:r>
        <w:rPr>
          <w:spacing w:val="-9"/>
        </w:rPr>
        <w:t> </w:t>
      </w:r>
      <w:r>
        <w:rPr/>
        <w:t>also</w:t>
      </w:r>
      <w:r>
        <w:rPr>
          <w:spacing w:val="-8"/>
        </w:rPr>
        <w:t> </w:t>
      </w:r>
      <w:r>
        <w:rPr/>
        <w:t>cause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release of melanin-destroying molecules and pro-apoptotic molecules, which makes the </w:t>
      </w:r>
      <w:r>
        <w:rPr/>
        <w:t>skin</w:t>
      </w:r>
      <w:r>
        <w:rPr>
          <w:spacing w:val="-43"/>
        </w:rPr>
        <w:t> </w:t>
      </w:r>
      <w:r>
        <w:rPr>
          <w:w w:val="95"/>
        </w:rPr>
        <w:t>under</w:t>
      </w:r>
      <w:r>
        <w:rPr>
          <w:spacing w:val="6"/>
          <w:w w:val="95"/>
        </w:rPr>
        <w:t> </w:t>
      </w:r>
      <w:r>
        <w:rPr>
          <w:w w:val="95"/>
        </w:rPr>
        <w:t>stress</w:t>
      </w:r>
      <w:r>
        <w:rPr>
          <w:spacing w:val="7"/>
          <w:w w:val="95"/>
        </w:rPr>
        <w:t> </w:t>
      </w:r>
      <w:r>
        <w:rPr>
          <w:w w:val="95"/>
        </w:rPr>
        <w:t>vulnerable</w:t>
      </w:r>
      <w:r>
        <w:rPr>
          <w:spacing w:val="7"/>
          <w:w w:val="95"/>
        </w:rPr>
        <w:t> </w:t>
      </w:r>
      <w:r>
        <w:rPr>
          <w:w w:val="95"/>
        </w:rPr>
        <w:t>and</w:t>
      </w:r>
      <w:r>
        <w:rPr>
          <w:spacing w:val="7"/>
          <w:w w:val="95"/>
        </w:rPr>
        <w:t> </w:t>
      </w:r>
      <w:r>
        <w:rPr>
          <w:w w:val="95"/>
        </w:rPr>
        <w:t>leads</w:t>
      </w:r>
      <w:r>
        <w:rPr>
          <w:spacing w:val="6"/>
          <w:w w:val="95"/>
        </w:rPr>
        <w:t> </w:t>
      </w:r>
      <w:r>
        <w:rPr>
          <w:w w:val="95"/>
        </w:rPr>
        <w:t>to</w:t>
      </w:r>
      <w:r>
        <w:rPr>
          <w:spacing w:val="7"/>
          <w:w w:val="95"/>
        </w:rPr>
        <w:t> </w:t>
      </w:r>
      <w:r>
        <w:rPr>
          <w:w w:val="95"/>
        </w:rPr>
        <w:t>hypopigmentation,</w:t>
      </w:r>
      <w:r>
        <w:rPr>
          <w:spacing w:val="9"/>
          <w:w w:val="95"/>
        </w:rPr>
        <w:t> </w:t>
      </w:r>
      <w:r>
        <w:rPr>
          <w:w w:val="95"/>
        </w:rPr>
        <w:t>especially</w:t>
      </w:r>
      <w:r>
        <w:rPr>
          <w:spacing w:val="7"/>
          <w:w w:val="95"/>
        </w:rPr>
        <w:t> </w:t>
      </w:r>
      <w:r>
        <w:rPr>
          <w:w w:val="95"/>
        </w:rPr>
        <w:t>since</w:t>
      </w:r>
      <w:r>
        <w:rPr>
          <w:spacing w:val="7"/>
          <w:w w:val="95"/>
        </w:rPr>
        <w:t> </w:t>
      </w:r>
      <w:r>
        <w:rPr>
          <w:w w:val="95"/>
        </w:rPr>
        <w:t>melanocytes</w:t>
      </w:r>
      <w:r>
        <w:rPr>
          <w:spacing w:val="8"/>
          <w:w w:val="95"/>
        </w:rPr>
        <w:t> </w:t>
      </w:r>
      <w:r>
        <w:rPr>
          <w:w w:val="95"/>
        </w:rPr>
        <w:t>express</w:t>
      </w:r>
      <w:r>
        <w:rPr>
          <w:spacing w:val="1"/>
          <w:w w:val="95"/>
        </w:rPr>
        <w:t> </w:t>
      </w:r>
      <w:r>
        <w:rPr>
          <w:spacing w:val="-1"/>
        </w:rPr>
        <w:t>the corticotropin-1 releasing hormone receptor [</w:t>
      </w:r>
      <w:hyperlink w:history="true" w:anchor="_bookmark90">
        <w:r>
          <w:rPr>
            <w:color w:val="3E65AC"/>
            <w:spacing w:val="-1"/>
          </w:rPr>
          <w:t>49</w:t>
        </w:r>
      </w:hyperlink>
      <w:r>
        <w:rPr>
          <w:spacing w:val="-1"/>
        </w:rPr>
        <w:t>]. </w:t>
      </w:r>
      <w:r>
        <w:rPr/>
        <w:t>Therefore, neuroimmune interactions</w:t>
      </w:r>
      <w:r>
        <w:rPr>
          <w:spacing w:val="1"/>
        </w:rPr>
        <w:t> </w:t>
      </w:r>
      <w:r>
        <w:rPr>
          <w:w w:val="95"/>
        </w:rPr>
        <w:t>are capable</w:t>
      </w:r>
      <w:r>
        <w:rPr>
          <w:spacing w:val="3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mediate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effects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stress</w:t>
      </w:r>
      <w:r>
        <w:rPr>
          <w:spacing w:val="2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skin and</w:t>
      </w:r>
      <w:r>
        <w:rPr>
          <w:spacing w:val="3"/>
          <w:w w:val="95"/>
        </w:rPr>
        <w:t> </w:t>
      </w:r>
      <w:r>
        <w:rPr>
          <w:w w:val="95"/>
        </w:rPr>
        <w:t>may</w:t>
      </w:r>
      <w:r>
        <w:rPr>
          <w:spacing w:val="1"/>
          <w:w w:val="95"/>
        </w:rPr>
        <w:t> </w:t>
      </w:r>
      <w:r>
        <w:rPr>
          <w:w w:val="95"/>
        </w:rPr>
        <w:t>also</w:t>
      </w:r>
      <w:r>
        <w:rPr>
          <w:spacing w:val="2"/>
          <w:w w:val="95"/>
        </w:rPr>
        <w:t> </w:t>
      </w:r>
      <w:r>
        <w:rPr>
          <w:w w:val="95"/>
        </w:rPr>
        <w:t>influence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development</w:t>
      </w:r>
      <w:r>
        <w:rPr>
          <w:spacing w:val="-40"/>
          <w:w w:val="95"/>
        </w:rPr>
        <w:t> </w:t>
      </w:r>
      <w:r>
        <w:rPr/>
        <w:t>of</w:t>
      </w:r>
      <w:r>
        <w:rPr>
          <w:spacing w:val="-3"/>
        </w:rPr>
        <w:t> </w:t>
      </w:r>
      <w:r>
        <w:rPr/>
        <w:t>vitiligo</w:t>
      </w:r>
      <w:r>
        <w:rPr>
          <w:spacing w:val="-1"/>
        </w:rPr>
        <w:t> </w:t>
      </w:r>
      <w:r>
        <w:rPr/>
        <w:t>[</w:t>
      </w:r>
      <w:hyperlink w:history="true" w:anchor="_bookmark91">
        <w:r>
          <w:rPr>
            <w:color w:val="3E65AC"/>
          </w:rPr>
          <w:t>50</w:t>
        </w:r>
      </w:hyperlink>
      <w:r>
        <w:rPr/>
        <w:t>].</w:t>
      </w:r>
    </w:p>
    <w:p>
      <w:pPr>
        <w:pStyle w:val="BodyText"/>
        <w:spacing w:line="254" w:lineRule="auto" w:before="26"/>
        <w:ind w:left="3420" w:right="119" w:firstLine="239"/>
      </w:pPr>
      <w:r>
        <w:rPr/>
        <w:pict>
          <v:shape style="position:absolute;margin-left:264.585999pt;margin-top:63.94548pt;width:9.550pt;height:.1pt;mso-position-horizontal-relative:page;mso-position-vertical-relative:paragraph;z-index:-16697856" coordorigin="5292,1279" coordsize="191,0" path="m5482,1279l5292,1279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942993pt;margin-top:102.893478pt;width:9.550pt;height:.1pt;mso-position-horizontal-relative:page;mso-position-vertical-relative:paragraph;z-index:-16697344" coordorigin="5759,2058" coordsize="191,0" path="m5949,2058l5759,2058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5.627991pt;margin-top:115.933479pt;width:9.550pt;height:.1pt;mso-position-horizontal-relative:page;mso-position-vertical-relative:paragraph;z-index:-16696832" coordorigin="8713,2319" coordsize="191,0" path="m8903,2319l8713,2319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7.480011pt;margin-top:115.933479pt;width:9.550pt;height:.1pt;mso-position-horizontal-relative:page;mso-position-vertical-relative:paragraph;z-index:-16696320" coordorigin="9950,2319" coordsize="191,0" path="m10140,2319l9950,2319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7.089996pt;margin-top:180.903488pt;width:9.550pt;height:.1pt;mso-position-horizontal-relative:page;mso-position-vertical-relative:paragraph;z-index:15772672" coordorigin="4742,3618" coordsize="191,0" path="m4932,3618l4742,3618e" filled="true" fillcolor="#3e65ac" stroked="false">
            <v:path arrowok="t"/>
            <v:fill type="solid"/>
            <w10:wrap type="none"/>
          </v:shape>
        </w:pict>
      </w:r>
      <w:r>
        <w:rPr/>
        <w:t>Brain derived neurotrophic factor is a protein that belongs to the family of neurotrophin</w:t>
      </w:r>
      <w:r>
        <w:rPr>
          <w:spacing w:val="1"/>
        </w:rPr>
        <w:t> </w:t>
      </w:r>
      <w:r>
        <w:rPr/>
        <w:t>growth factors and is encoded by the BDNF gene. According to different studies, it has been</w:t>
      </w:r>
      <w:r>
        <w:rPr>
          <w:spacing w:val="1"/>
        </w:rPr>
        <w:t> </w:t>
      </w:r>
      <w:r>
        <w:rPr/>
        <w:t>found in the central and peripheral parts of the nervous system. This protein plays an impor-</w:t>
      </w:r>
      <w:r>
        <w:rPr>
          <w:spacing w:val="-43"/>
        </w:rPr>
        <w:t> </w:t>
      </w:r>
      <w:r>
        <w:rPr>
          <w:spacing w:val="-1"/>
        </w:rPr>
        <w:t>tant</w:t>
      </w:r>
      <w:r>
        <w:rPr>
          <w:spacing w:val="-11"/>
        </w:rPr>
        <w:t> </w:t>
      </w:r>
      <w:r>
        <w:rPr>
          <w:spacing w:val="-1"/>
        </w:rPr>
        <w:t>reinforcing</w:t>
      </w:r>
      <w:r>
        <w:rPr>
          <w:spacing w:val="-9"/>
        </w:rPr>
        <w:t> </w:t>
      </w:r>
      <w:r>
        <w:rPr>
          <w:spacing w:val="-1"/>
        </w:rPr>
        <w:t>role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growth,</w:t>
      </w:r>
      <w:r>
        <w:rPr>
          <w:spacing w:val="-9"/>
        </w:rPr>
        <w:t> </w:t>
      </w:r>
      <w:r>
        <w:rPr>
          <w:spacing w:val="-1"/>
        </w:rPr>
        <w:t>differentiation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/>
        <w:t>maintenance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neurons,</w:t>
      </w:r>
      <w:r>
        <w:rPr>
          <w:spacing w:val="-9"/>
        </w:rPr>
        <w:t> </w:t>
      </w:r>
      <w:r>
        <w:rPr/>
        <w:t>allowing</w:t>
      </w:r>
      <w:r>
        <w:rPr>
          <w:spacing w:val="-11"/>
        </w:rPr>
        <w:t> </w:t>
      </w:r>
      <w:r>
        <w:rPr/>
        <w:t>their</w:t>
      </w:r>
      <w:r>
        <w:rPr>
          <w:spacing w:val="1"/>
        </w:rPr>
        <w:t> </w:t>
      </w:r>
      <w:r>
        <w:rPr/>
        <w:t>longer survival [</w:t>
      </w:r>
      <w:hyperlink w:history="true" w:anchor="_bookmark92">
        <w:r>
          <w:rPr>
            <w:color w:val="3E65AC"/>
          </w:rPr>
          <w:t>51</w:t>
        </w:r>
      </w:hyperlink>
      <w:r>
        <w:rPr/>
        <w:t>]. Mental distress reduces BDNF level through activation of the hypotha-</w:t>
      </w:r>
      <w:r>
        <w:rPr>
          <w:spacing w:val="1"/>
        </w:rPr>
        <w:t> </w:t>
      </w:r>
      <w:r>
        <w:rPr>
          <w:spacing w:val="-1"/>
        </w:rPr>
        <w:t>lamic-pituitary-adrenal </w:t>
      </w:r>
      <w:r>
        <w:rPr/>
        <w:t>axis. In addition, stress may cause the strain of sympathetic-adrenal-</w:t>
      </w:r>
      <w:r>
        <w:rPr>
          <w:spacing w:val="1"/>
        </w:rPr>
        <w:t> </w:t>
      </w:r>
      <w:r>
        <w:rPr/>
        <w:t>medullary axis, which increases the levels of cortisol and neuroinflammatory cytokines and</w:t>
      </w:r>
      <w:r>
        <w:rPr>
          <w:spacing w:val="1"/>
        </w:rPr>
        <w:t> </w:t>
      </w:r>
      <w:r>
        <w:rPr/>
        <w:t>reduces</w:t>
      </w:r>
      <w:r>
        <w:rPr>
          <w:spacing w:val="-9"/>
        </w:rPr>
        <w:t> </w:t>
      </w:r>
      <w:r>
        <w:rPr/>
        <w:t>BDNF</w:t>
      </w:r>
      <w:r>
        <w:rPr>
          <w:spacing w:val="-9"/>
        </w:rPr>
        <w:t> </w:t>
      </w:r>
      <w:r>
        <w:rPr/>
        <w:t>levels</w:t>
      </w:r>
      <w:r>
        <w:rPr>
          <w:spacing w:val="-9"/>
        </w:rPr>
        <w:t> </w:t>
      </w:r>
      <w:r>
        <w:rPr/>
        <w:t>[</w:t>
      </w:r>
      <w:hyperlink w:history="true" w:anchor="_bookmark93">
        <w:r>
          <w:rPr>
            <w:color w:val="3E65AC"/>
          </w:rPr>
          <w:t>52</w:t>
        </w:r>
      </w:hyperlink>
      <w:r>
        <w:rPr/>
        <w:t>].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role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neurotrophins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receptors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control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cuta-</w:t>
      </w:r>
      <w:r>
        <w:rPr>
          <w:spacing w:val="-42"/>
        </w:rPr>
        <w:t> </w:t>
      </w:r>
      <w:r>
        <w:rPr>
          <w:w w:val="95"/>
        </w:rPr>
        <w:t>neous</w:t>
      </w:r>
      <w:r>
        <w:rPr>
          <w:spacing w:val="9"/>
          <w:w w:val="95"/>
        </w:rPr>
        <w:t> </w:t>
      </w:r>
      <w:r>
        <w:rPr>
          <w:w w:val="95"/>
        </w:rPr>
        <w:t>hemostasis</w:t>
      </w:r>
      <w:r>
        <w:rPr>
          <w:spacing w:val="10"/>
          <w:w w:val="95"/>
        </w:rPr>
        <w:t> </w:t>
      </w:r>
      <w:r>
        <w:rPr>
          <w:w w:val="95"/>
        </w:rPr>
        <w:t>and</w:t>
      </w:r>
      <w:r>
        <w:rPr>
          <w:spacing w:val="9"/>
          <w:w w:val="95"/>
        </w:rPr>
        <w:t> </w:t>
      </w:r>
      <w:r>
        <w:rPr>
          <w:w w:val="95"/>
        </w:rPr>
        <w:t>hair</w:t>
      </w:r>
      <w:r>
        <w:rPr>
          <w:spacing w:val="9"/>
          <w:w w:val="95"/>
        </w:rPr>
        <w:t> </w:t>
      </w:r>
      <w:r>
        <w:rPr>
          <w:w w:val="95"/>
        </w:rPr>
        <w:t>growth</w:t>
      </w:r>
      <w:r>
        <w:rPr>
          <w:spacing w:val="9"/>
          <w:w w:val="95"/>
        </w:rPr>
        <w:t> </w:t>
      </w:r>
      <w:r>
        <w:rPr>
          <w:w w:val="95"/>
        </w:rPr>
        <w:t>was</w:t>
      </w:r>
      <w:r>
        <w:rPr>
          <w:spacing w:val="7"/>
          <w:w w:val="95"/>
        </w:rPr>
        <w:t> </w:t>
      </w:r>
      <w:r>
        <w:rPr>
          <w:w w:val="95"/>
        </w:rPr>
        <w:t>extensively</w:t>
      </w:r>
      <w:r>
        <w:rPr>
          <w:spacing w:val="11"/>
          <w:w w:val="95"/>
        </w:rPr>
        <w:t> </w:t>
      </w:r>
      <w:r>
        <w:rPr>
          <w:w w:val="95"/>
        </w:rPr>
        <w:t>studied</w:t>
      </w:r>
      <w:r>
        <w:rPr>
          <w:spacing w:val="9"/>
          <w:w w:val="95"/>
        </w:rPr>
        <w:t> </w:t>
      </w:r>
      <w:r>
        <w:rPr>
          <w:w w:val="95"/>
        </w:rPr>
        <w:t>[</w:t>
      </w:r>
      <w:hyperlink w:history="true" w:anchor="_bookmark94">
        <w:r>
          <w:rPr>
            <w:color w:val="3E65AC"/>
            <w:w w:val="95"/>
          </w:rPr>
          <w:t>53</w:t>
        </w:r>
      </w:hyperlink>
      <w:r>
        <w:rPr>
          <w:w w:val="95"/>
        </w:rPr>
        <w:t>].</w:t>
      </w:r>
      <w:r>
        <w:rPr>
          <w:spacing w:val="9"/>
          <w:w w:val="95"/>
        </w:rPr>
        <w:t> </w:t>
      </w:r>
      <w:r>
        <w:rPr>
          <w:w w:val="95"/>
        </w:rPr>
        <w:t>Zhai</w:t>
      </w:r>
      <w:r>
        <w:rPr>
          <w:spacing w:val="9"/>
          <w:w w:val="95"/>
        </w:rPr>
        <w:t> </w:t>
      </w:r>
      <w:r>
        <w:rPr>
          <w:w w:val="95"/>
        </w:rPr>
        <w:t>et</w:t>
      </w:r>
      <w:r>
        <w:rPr>
          <w:spacing w:val="9"/>
          <w:w w:val="95"/>
        </w:rPr>
        <w:t> </w:t>
      </w:r>
      <w:r>
        <w:rPr>
          <w:w w:val="95"/>
        </w:rPr>
        <w:t>al.</w:t>
      </w:r>
      <w:r>
        <w:rPr>
          <w:spacing w:val="7"/>
          <w:w w:val="95"/>
        </w:rPr>
        <w:t> </w:t>
      </w:r>
      <w:r>
        <w:rPr>
          <w:w w:val="95"/>
        </w:rPr>
        <w:t>[</w:t>
      </w:r>
      <w:hyperlink w:history="true" w:anchor="_bookmark95">
        <w:r>
          <w:rPr>
            <w:color w:val="3E65AC"/>
            <w:w w:val="95"/>
          </w:rPr>
          <w:t>54</w:t>
        </w:r>
      </w:hyperlink>
      <w:r>
        <w:rPr>
          <w:w w:val="95"/>
        </w:rPr>
        <w:t>]</w:t>
      </w:r>
      <w:r>
        <w:rPr>
          <w:spacing w:val="11"/>
          <w:w w:val="95"/>
        </w:rPr>
        <w:t> </w:t>
      </w:r>
      <w:r>
        <w:rPr>
          <w:w w:val="95"/>
        </w:rPr>
        <w:t>report</w:t>
      </w:r>
      <w:r>
        <w:rPr>
          <w:spacing w:val="7"/>
          <w:w w:val="95"/>
        </w:rPr>
        <w:t> </w:t>
      </w:r>
      <w:r>
        <w:rPr>
          <w:w w:val="95"/>
        </w:rPr>
        <w:t>that</w:t>
      </w:r>
      <w:r>
        <w:rPr>
          <w:spacing w:val="9"/>
          <w:w w:val="95"/>
        </w:rPr>
        <w:t> </w:t>
      </w:r>
      <w:r>
        <w:rPr>
          <w:w w:val="95"/>
        </w:rPr>
        <w:t>neu-</w:t>
      </w:r>
      <w:r>
        <w:rPr>
          <w:spacing w:val="-40"/>
          <w:w w:val="95"/>
        </w:rPr>
        <w:t> </w:t>
      </w:r>
      <w:r>
        <w:rPr/>
        <w:t>rotrophins mediate proliferative and survival signals in epidermal keratinocytes and,</w:t>
      </w:r>
      <w:r>
        <w:rPr>
          <w:spacing w:val="1"/>
        </w:rPr>
        <w:t> </w:t>
      </w:r>
      <w:r>
        <w:rPr>
          <w:spacing w:val="-1"/>
        </w:rPr>
        <w:t>accordingly, influence proliferation </w:t>
      </w:r>
      <w:r>
        <w:rPr/>
        <w:t>and survival of melanocytes. Furthermore, some authors</w:t>
      </w:r>
      <w:r>
        <w:rPr>
          <w:spacing w:val="1"/>
        </w:rPr>
        <w:t> </w:t>
      </w:r>
      <w:r>
        <w:rPr>
          <w:w w:val="95"/>
        </w:rPr>
        <w:t>hypothesized</w:t>
      </w:r>
      <w:r>
        <w:rPr>
          <w:spacing w:val="10"/>
          <w:w w:val="95"/>
        </w:rPr>
        <w:t> </w:t>
      </w:r>
      <w:r>
        <w:rPr>
          <w:w w:val="95"/>
        </w:rPr>
        <w:t>that</w:t>
      </w:r>
      <w:r>
        <w:rPr>
          <w:spacing w:val="10"/>
          <w:w w:val="95"/>
        </w:rPr>
        <w:t> </w:t>
      </w:r>
      <w:r>
        <w:rPr>
          <w:w w:val="95"/>
        </w:rPr>
        <w:t>reduced</w:t>
      </w:r>
      <w:r>
        <w:rPr>
          <w:spacing w:val="11"/>
          <w:w w:val="95"/>
        </w:rPr>
        <w:t> </w:t>
      </w:r>
      <w:r>
        <w:rPr>
          <w:w w:val="95"/>
        </w:rPr>
        <w:t>serum</w:t>
      </w:r>
      <w:r>
        <w:rPr>
          <w:spacing w:val="10"/>
          <w:w w:val="95"/>
        </w:rPr>
        <w:t> </w:t>
      </w:r>
      <w:r>
        <w:rPr>
          <w:w w:val="95"/>
        </w:rPr>
        <w:t>BDNF</w:t>
      </w:r>
      <w:r>
        <w:rPr>
          <w:spacing w:val="9"/>
          <w:w w:val="95"/>
        </w:rPr>
        <w:t> </w:t>
      </w:r>
      <w:r>
        <w:rPr>
          <w:w w:val="95"/>
        </w:rPr>
        <w:t>levels</w:t>
      </w:r>
      <w:r>
        <w:rPr>
          <w:spacing w:val="10"/>
          <w:w w:val="95"/>
        </w:rPr>
        <w:t> </w:t>
      </w:r>
      <w:r>
        <w:rPr>
          <w:w w:val="95"/>
        </w:rPr>
        <w:t>may</w:t>
      </w:r>
      <w:r>
        <w:rPr>
          <w:spacing w:val="10"/>
          <w:w w:val="95"/>
        </w:rPr>
        <w:t> </w:t>
      </w:r>
      <w:r>
        <w:rPr>
          <w:w w:val="95"/>
        </w:rPr>
        <w:t>be</w:t>
      </w:r>
      <w:r>
        <w:rPr>
          <w:spacing w:val="9"/>
          <w:w w:val="95"/>
        </w:rPr>
        <w:t> </w:t>
      </w:r>
      <w:r>
        <w:rPr>
          <w:w w:val="95"/>
        </w:rPr>
        <w:t>an</w:t>
      </w:r>
      <w:r>
        <w:rPr>
          <w:spacing w:val="10"/>
          <w:w w:val="95"/>
        </w:rPr>
        <w:t> </w:t>
      </w:r>
      <w:r>
        <w:rPr>
          <w:w w:val="95"/>
        </w:rPr>
        <w:t>etiologic</w:t>
      </w:r>
      <w:r>
        <w:rPr>
          <w:spacing w:val="12"/>
          <w:w w:val="95"/>
        </w:rPr>
        <w:t> </w:t>
      </w:r>
      <w:r>
        <w:rPr>
          <w:w w:val="95"/>
        </w:rPr>
        <w:t>factor</w:t>
      </w:r>
      <w:r>
        <w:rPr>
          <w:spacing w:val="10"/>
          <w:w w:val="95"/>
        </w:rPr>
        <w:t> </w:t>
      </w:r>
      <w:r>
        <w:rPr>
          <w:w w:val="95"/>
        </w:rPr>
        <w:t>for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development</w:t>
      </w:r>
      <w:r>
        <w:rPr>
          <w:spacing w:val="1"/>
          <w:w w:val="95"/>
        </w:rPr>
        <w:t> </w:t>
      </w:r>
      <w:r>
        <w:rPr/>
        <w:t>of vitiligo and may also be an indicator of future psychiatric comorbidity in this category of</w:t>
      </w:r>
      <w:r>
        <w:rPr>
          <w:spacing w:val="1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[</w:t>
      </w:r>
      <w:hyperlink w:history="true" w:anchor="_bookmark61">
        <w:r>
          <w:rPr>
            <w:color w:val="3E65AC"/>
          </w:rPr>
          <w:t>14</w:t>
        </w:r>
      </w:hyperlink>
      <w:r>
        <w:rPr/>
        <w:t>].</w:t>
      </w:r>
    </w:p>
    <w:p>
      <w:pPr>
        <w:pStyle w:val="BodyText"/>
        <w:spacing w:line="254" w:lineRule="auto" w:before="18"/>
        <w:ind w:left="3420" w:firstLine="239"/>
      </w:pPr>
      <w:r>
        <w:rPr/>
        <w:t>This study has a number of limitations that have to be discussed. The major limitation</w:t>
      </w:r>
      <w:r>
        <w:rPr>
          <w:spacing w:val="1"/>
        </w:rPr>
        <w:t> </w:t>
      </w:r>
      <w:r>
        <w:rPr>
          <w:w w:val="95"/>
        </w:rPr>
        <w:t>comes</w:t>
      </w:r>
      <w:r>
        <w:rPr>
          <w:spacing w:val="6"/>
          <w:w w:val="95"/>
        </w:rPr>
        <w:t> </w:t>
      </w:r>
      <w:r>
        <w:rPr>
          <w:w w:val="95"/>
        </w:rPr>
        <w:t>from</w:t>
      </w:r>
      <w:r>
        <w:rPr>
          <w:spacing w:val="6"/>
          <w:w w:val="95"/>
        </w:rPr>
        <w:t> </w:t>
      </w:r>
      <w:r>
        <w:rPr>
          <w:w w:val="95"/>
        </w:rPr>
        <w:t>its</w:t>
      </w:r>
      <w:r>
        <w:rPr>
          <w:spacing w:val="5"/>
          <w:w w:val="95"/>
        </w:rPr>
        <w:t> </w:t>
      </w:r>
      <w:r>
        <w:rPr>
          <w:w w:val="95"/>
        </w:rPr>
        <w:t>nature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cross-sectional</w:t>
      </w:r>
      <w:r>
        <w:rPr>
          <w:spacing w:val="8"/>
          <w:w w:val="95"/>
        </w:rPr>
        <w:t> </w:t>
      </w:r>
      <w:r>
        <w:rPr>
          <w:w w:val="95"/>
        </w:rPr>
        <w:t>study,</w:t>
      </w:r>
      <w:r>
        <w:rPr>
          <w:spacing w:val="6"/>
          <w:w w:val="95"/>
        </w:rPr>
        <w:t> </w:t>
      </w:r>
      <w:r>
        <w:rPr>
          <w:w w:val="95"/>
        </w:rPr>
        <w:t>so</w:t>
      </w:r>
      <w:r>
        <w:rPr>
          <w:spacing w:val="5"/>
          <w:w w:val="95"/>
        </w:rPr>
        <w:t> </w:t>
      </w:r>
      <w:r>
        <w:rPr>
          <w:w w:val="95"/>
        </w:rPr>
        <w:t>it</w:t>
      </w:r>
      <w:r>
        <w:rPr>
          <w:spacing w:val="6"/>
          <w:w w:val="95"/>
        </w:rPr>
        <w:t> </w:t>
      </w:r>
      <w:r>
        <w:rPr>
          <w:w w:val="95"/>
        </w:rPr>
        <w:t>was</w:t>
      </w:r>
      <w:r>
        <w:rPr>
          <w:spacing w:val="4"/>
          <w:w w:val="95"/>
        </w:rPr>
        <w:t> </w:t>
      </w:r>
      <w:r>
        <w:rPr>
          <w:w w:val="95"/>
        </w:rPr>
        <w:t>not</w:t>
      </w:r>
      <w:r>
        <w:rPr>
          <w:spacing w:val="5"/>
          <w:w w:val="95"/>
        </w:rPr>
        <w:t> </w:t>
      </w:r>
      <w:r>
        <w:rPr>
          <w:w w:val="95"/>
        </w:rPr>
        <w:t>possible</w:t>
      </w:r>
      <w:r>
        <w:rPr>
          <w:spacing w:val="6"/>
          <w:w w:val="95"/>
        </w:rPr>
        <w:t> </w:t>
      </w:r>
      <w:r>
        <w:rPr>
          <w:w w:val="95"/>
        </w:rPr>
        <w:t>to</w:t>
      </w:r>
      <w:r>
        <w:rPr>
          <w:spacing w:val="5"/>
          <w:w w:val="95"/>
        </w:rPr>
        <w:t> </w:t>
      </w:r>
      <w:r>
        <w:rPr>
          <w:w w:val="95"/>
        </w:rPr>
        <w:t>determine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cause-</w:t>
      </w:r>
    </w:p>
    <w:p>
      <w:pPr>
        <w:spacing w:after="0" w:line="254" w:lineRule="auto"/>
        <w:sectPr>
          <w:pgSz w:w="12240" w:h="15840"/>
          <w:pgMar w:header="705" w:footer="680" w:top="1080" w:bottom="880" w:left="580" w:right="60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54" w:lineRule="auto" w:before="60"/>
        <w:ind w:left="3420" w:right="116"/>
      </w:pPr>
      <w:r>
        <w:rPr/>
        <w:pict>
          <v:shape style="position:absolute;margin-left:203.414001pt;margin-top:39.620487pt;width:9.550pt;height:.1pt;mso-position-horizontal-relative:page;mso-position-vertical-relative:paragraph;z-index:-16695296" coordorigin="4068,792" coordsize="191,0" path="m4259,792l4068,792e" filled="true" fillcolor="#3e65ac" stroked="false">
            <v:path arrowok="t"/>
            <v:fill type="solid"/>
            <w10:wrap type="none"/>
          </v:shape>
        </w:pict>
      </w:r>
      <w:bookmarkStart w:name="_bookmark48" w:id="50"/>
      <w:bookmarkEnd w:id="50"/>
      <w:r>
        <w:rPr/>
      </w:r>
      <w:bookmarkStart w:name="_bookmark49" w:id="51"/>
      <w:bookmarkEnd w:id="51"/>
      <w:r>
        <w:rPr/>
      </w:r>
      <w:r>
        <w:rPr>
          <w:w w:val="95"/>
        </w:rPr>
        <w:t>and-effect</w:t>
      </w:r>
      <w:r>
        <w:rPr>
          <w:spacing w:val="7"/>
          <w:w w:val="95"/>
        </w:rPr>
        <w:t> </w:t>
      </w:r>
      <w:r>
        <w:rPr>
          <w:w w:val="95"/>
        </w:rPr>
        <w:t>relationship</w:t>
      </w:r>
      <w:r>
        <w:rPr>
          <w:spacing w:val="9"/>
          <w:w w:val="95"/>
        </w:rPr>
        <w:t> </w:t>
      </w:r>
      <w:r>
        <w:rPr>
          <w:w w:val="95"/>
        </w:rPr>
        <w:t>between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variables.</w:t>
      </w:r>
      <w:r>
        <w:rPr>
          <w:spacing w:val="7"/>
          <w:w w:val="95"/>
        </w:rPr>
        <w:t> </w:t>
      </w:r>
      <w:r>
        <w:rPr>
          <w:w w:val="95"/>
        </w:rPr>
        <w:t>Second,</w:t>
      </w:r>
      <w:r>
        <w:rPr>
          <w:spacing w:val="9"/>
          <w:w w:val="95"/>
        </w:rPr>
        <w:t> </w:t>
      </w:r>
      <w:r>
        <w:rPr>
          <w:w w:val="95"/>
        </w:rPr>
        <w:t>we</w:t>
      </w:r>
      <w:r>
        <w:rPr>
          <w:spacing w:val="8"/>
          <w:w w:val="95"/>
        </w:rPr>
        <w:t> </w:t>
      </w:r>
      <w:r>
        <w:rPr>
          <w:w w:val="95"/>
        </w:rPr>
        <w:t>utilized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ELISA</w:t>
      </w:r>
      <w:r>
        <w:rPr>
          <w:spacing w:val="9"/>
          <w:w w:val="95"/>
        </w:rPr>
        <w:t> </w:t>
      </w:r>
      <w:r>
        <w:rPr>
          <w:w w:val="95"/>
        </w:rPr>
        <w:t>kit</w:t>
      </w:r>
      <w:r>
        <w:rPr>
          <w:spacing w:val="7"/>
          <w:w w:val="95"/>
        </w:rPr>
        <w:t> </w:t>
      </w:r>
      <w:r>
        <w:rPr>
          <w:w w:val="95"/>
        </w:rPr>
        <w:t>that</w:t>
      </w:r>
      <w:r>
        <w:rPr>
          <w:spacing w:val="7"/>
          <w:w w:val="95"/>
        </w:rPr>
        <w:t> </w:t>
      </w:r>
      <w:r>
        <w:rPr>
          <w:w w:val="95"/>
        </w:rPr>
        <w:t>detected</w:t>
      </w:r>
      <w:r>
        <w:rPr>
          <w:spacing w:val="1"/>
          <w:w w:val="95"/>
        </w:rPr>
        <w:t> </w:t>
      </w:r>
      <w:r>
        <w:rPr/>
        <w:t>serum</w:t>
      </w:r>
      <w:r>
        <w:rPr>
          <w:spacing w:val="-11"/>
        </w:rPr>
        <w:t> </w:t>
      </w:r>
      <w:r>
        <w:rPr/>
        <w:t>BDNF</w:t>
      </w:r>
      <w:r>
        <w:rPr>
          <w:spacing w:val="-11"/>
        </w:rPr>
        <w:t> </w:t>
      </w:r>
      <w:r>
        <w:rPr/>
        <w:t>levels</w:t>
      </w:r>
      <w:r>
        <w:rPr>
          <w:spacing w:val="-11"/>
        </w:rPr>
        <w:t> </w:t>
      </w:r>
      <w:r>
        <w:rPr/>
        <w:t>without</w:t>
      </w:r>
      <w:r>
        <w:rPr>
          <w:spacing w:val="-11"/>
        </w:rPr>
        <w:t> </w:t>
      </w:r>
      <w:r>
        <w:rPr/>
        <w:t>identification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precursor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mature</w:t>
      </w:r>
      <w:r>
        <w:rPr>
          <w:spacing w:val="-10"/>
        </w:rPr>
        <w:t> </w:t>
      </w:r>
      <w:r>
        <w:rPr/>
        <w:t>forms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neuropeptide</w:t>
      </w:r>
      <w:r>
        <w:rPr>
          <w:spacing w:val="1"/>
        </w:rPr>
        <w:t> </w:t>
      </w:r>
      <w:r>
        <w:rPr>
          <w:w w:val="95"/>
        </w:rPr>
        <w:t>[</w:t>
      </w:r>
      <w:hyperlink w:history="true" w:anchor="_bookmark61">
        <w:r>
          <w:rPr>
            <w:color w:val="3E65AC"/>
            <w:w w:val="95"/>
          </w:rPr>
          <w:t>14</w:t>
        </w:r>
      </w:hyperlink>
      <w:r>
        <w:rPr>
          <w:w w:val="95"/>
        </w:rPr>
        <w:t>].</w:t>
      </w:r>
      <w:r>
        <w:rPr>
          <w:spacing w:val="5"/>
          <w:w w:val="95"/>
        </w:rPr>
        <w:t> </w:t>
      </w:r>
      <w:r>
        <w:rPr>
          <w:w w:val="95"/>
        </w:rPr>
        <w:t>In</w:t>
      </w:r>
      <w:r>
        <w:rPr>
          <w:spacing w:val="5"/>
          <w:w w:val="95"/>
        </w:rPr>
        <w:t> </w:t>
      </w:r>
      <w:r>
        <w:rPr>
          <w:w w:val="95"/>
        </w:rPr>
        <w:t>addition,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sample</w:t>
      </w:r>
      <w:r>
        <w:rPr>
          <w:spacing w:val="6"/>
          <w:w w:val="95"/>
        </w:rPr>
        <w:t> </w:t>
      </w:r>
      <w:r>
        <w:rPr>
          <w:w w:val="95"/>
        </w:rPr>
        <w:t>size</w:t>
      </w:r>
      <w:r>
        <w:rPr>
          <w:spacing w:val="6"/>
          <w:w w:val="95"/>
        </w:rPr>
        <w:t> </w:t>
      </w:r>
      <w:r>
        <w:rPr>
          <w:w w:val="95"/>
        </w:rPr>
        <w:t>was</w:t>
      </w:r>
      <w:r>
        <w:rPr>
          <w:spacing w:val="5"/>
          <w:w w:val="95"/>
        </w:rPr>
        <w:t> </w:t>
      </w:r>
      <w:r>
        <w:rPr>
          <w:w w:val="95"/>
        </w:rPr>
        <w:t>rather</w:t>
      </w:r>
      <w:r>
        <w:rPr>
          <w:spacing w:val="6"/>
          <w:w w:val="95"/>
        </w:rPr>
        <w:t> </w:t>
      </w:r>
      <w:r>
        <w:rPr>
          <w:w w:val="95"/>
        </w:rPr>
        <w:t>modest.</w:t>
      </w:r>
      <w:r>
        <w:rPr>
          <w:spacing w:val="5"/>
          <w:w w:val="95"/>
        </w:rPr>
        <w:t> </w:t>
      </w:r>
      <w:r>
        <w:rPr>
          <w:w w:val="95"/>
        </w:rPr>
        <w:t>Still,</w:t>
      </w:r>
      <w:r>
        <w:rPr>
          <w:spacing w:val="5"/>
          <w:w w:val="95"/>
        </w:rPr>
        <w:t> </w:t>
      </w:r>
      <w:r>
        <w:rPr>
          <w:w w:val="95"/>
        </w:rPr>
        <w:t>we</w:t>
      </w:r>
      <w:r>
        <w:rPr>
          <w:spacing w:val="7"/>
          <w:w w:val="95"/>
        </w:rPr>
        <w:t> </w:t>
      </w:r>
      <w:r>
        <w:rPr>
          <w:w w:val="95"/>
        </w:rPr>
        <w:t>believe</w:t>
      </w:r>
      <w:r>
        <w:rPr>
          <w:spacing w:val="5"/>
          <w:w w:val="95"/>
        </w:rPr>
        <w:t> </w:t>
      </w:r>
      <w:r>
        <w:rPr>
          <w:w w:val="95"/>
        </w:rPr>
        <w:t>that</w:t>
      </w:r>
      <w:r>
        <w:rPr>
          <w:spacing w:val="4"/>
          <w:w w:val="95"/>
        </w:rPr>
        <w:t> </w:t>
      </w:r>
      <w:r>
        <w:rPr>
          <w:w w:val="95"/>
        </w:rPr>
        <w:t>our</w:t>
      </w:r>
      <w:r>
        <w:rPr>
          <w:spacing w:val="6"/>
          <w:w w:val="95"/>
        </w:rPr>
        <w:t> </w:t>
      </w:r>
      <w:r>
        <w:rPr>
          <w:w w:val="95"/>
        </w:rPr>
        <w:t>results</w:t>
      </w:r>
      <w:r>
        <w:rPr>
          <w:spacing w:val="6"/>
          <w:w w:val="95"/>
        </w:rPr>
        <w:t> </w:t>
      </w:r>
      <w:r>
        <w:rPr>
          <w:w w:val="95"/>
        </w:rPr>
        <w:t>might</w:t>
      </w:r>
      <w:r>
        <w:rPr>
          <w:spacing w:val="6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bookmarkStart w:name="_bookmark50" w:id="52"/>
      <w:bookmarkEnd w:id="52"/>
      <w:r>
        <w:rPr>
          <w:w w:val="95"/>
        </w:rPr>
        <w:t>confirme</w:t>
      </w:r>
      <w:r>
        <w:rPr>
          <w:w w:val="95"/>
        </w:rPr>
        <w:t>d</w:t>
      </w:r>
      <w:r>
        <w:rPr>
          <w:spacing w:val="9"/>
          <w:w w:val="95"/>
        </w:rPr>
        <w:t> </w:t>
      </w:r>
      <w:r>
        <w:rPr>
          <w:w w:val="95"/>
        </w:rPr>
        <w:t>on</w:t>
      </w:r>
      <w:r>
        <w:rPr>
          <w:spacing w:val="9"/>
          <w:w w:val="95"/>
        </w:rPr>
        <w:t> </w:t>
      </w:r>
      <w:r>
        <w:rPr>
          <w:w w:val="95"/>
        </w:rPr>
        <w:t>samples</w:t>
      </w:r>
      <w:r>
        <w:rPr>
          <w:spacing w:val="11"/>
          <w:w w:val="95"/>
        </w:rPr>
        <w:t> </w:t>
      </w:r>
      <w:r>
        <w:rPr>
          <w:w w:val="95"/>
        </w:rPr>
        <w:t>involving</w:t>
      </w:r>
      <w:r>
        <w:rPr>
          <w:spacing w:val="10"/>
          <w:w w:val="95"/>
        </w:rPr>
        <w:t> </w:t>
      </w:r>
      <w:r>
        <w:rPr>
          <w:w w:val="95"/>
        </w:rPr>
        <w:t>more</w:t>
      </w:r>
      <w:r>
        <w:rPr>
          <w:spacing w:val="9"/>
          <w:w w:val="95"/>
        </w:rPr>
        <w:t> </w:t>
      </w:r>
      <w:r>
        <w:rPr>
          <w:w w:val="95"/>
        </w:rPr>
        <w:t>cases</w:t>
      </w:r>
      <w:r>
        <w:rPr>
          <w:spacing w:val="10"/>
          <w:w w:val="95"/>
        </w:rPr>
        <w:t> </w:t>
      </w:r>
      <w:r>
        <w:rPr>
          <w:w w:val="95"/>
        </w:rPr>
        <w:t>and</w:t>
      </w:r>
      <w:r>
        <w:rPr>
          <w:spacing w:val="9"/>
          <w:w w:val="95"/>
        </w:rPr>
        <w:t> </w:t>
      </w:r>
      <w:r>
        <w:rPr>
          <w:w w:val="95"/>
        </w:rPr>
        <w:t>controls.</w:t>
      </w:r>
      <w:r>
        <w:rPr>
          <w:spacing w:val="9"/>
          <w:w w:val="95"/>
        </w:rPr>
        <w:t> </w:t>
      </w:r>
      <w:r>
        <w:rPr>
          <w:w w:val="95"/>
        </w:rPr>
        <w:t>Nevertheless,</w:t>
      </w:r>
      <w:r>
        <w:rPr>
          <w:spacing w:val="12"/>
          <w:w w:val="95"/>
        </w:rPr>
        <w:t> </w:t>
      </w:r>
      <w:r>
        <w:rPr>
          <w:w w:val="95"/>
        </w:rPr>
        <w:t>our</w:t>
      </w:r>
      <w:r>
        <w:rPr>
          <w:spacing w:val="8"/>
          <w:w w:val="95"/>
        </w:rPr>
        <w:t> </w:t>
      </w:r>
      <w:r>
        <w:rPr>
          <w:w w:val="95"/>
        </w:rPr>
        <w:t>study</w:t>
      </w:r>
      <w:r>
        <w:rPr>
          <w:spacing w:val="11"/>
          <w:w w:val="95"/>
        </w:rPr>
        <w:t> </w:t>
      </w:r>
      <w:r>
        <w:rPr>
          <w:w w:val="95"/>
        </w:rPr>
        <w:t>has</w:t>
      </w:r>
      <w:r>
        <w:rPr>
          <w:spacing w:val="9"/>
          <w:w w:val="95"/>
        </w:rPr>
        <w:t> </w:t>
      </w:r>
      <w:r>
        <w:rPr>
          <w:w w:val="95"/>
        </w:rPr>
        <w:t>several</w:t>
      </w:r>
      <w:r>
        <w:rPr>
          <w:spacing w:val="1"/>
          <w:w w:val="95"/>
        </w:rPr>
        <w:t> </w:t>
      </w:r>
      <w:r>
        <w:rPr>
          <w:w w:val="95"/>
        </w:rPr>
        <w:t>strengths.</w:t>
      </w:r>
      <w:r>
        <w:rPr>
          <w:spacing w:val="6"/>
          <w:w w:val="95"/>
        </w:rPr>
        <w:t> </w:t>
      </w:r>
      <w:r>
        <w:rPr>
          <w:w w:val="95"/>
        </w:rPr>
        <w:t>To</w:t>
      </w:r>
      <w:r>
        <w:rPr>
          <w:spacing w:val="7"/>
          <w:w w:val="95"/>
        </w:rPr>
        <w:t> </w:t>
      </w:r>
      <w:r>
        <w:rPr>
          <w:w w:val="95"/>
        </w:rPr>
        <w:t>our</w:t>
      </w:r>
      <w:r>
        <w:rPr>
          <w:spacing w:val="6"/>
          <w:w w:val="95"/>
        </w:rPr>
        <w:t> </w:t>
      </w:r>
      <w:r>
        <w:rPr>
          <w:w w:val="95"/>
        </w:rPr>
        <w:t>knowledge,</w:t>
      </w:r>
      <w:r>
        <w:rPr>
          <w:spacing w:val="8"/>
          <w:w w:val="95"/>
        </w:rPr>
        <w:t> </w:t>
      </w:r>
      <w:r>
        <w:rPr>
          <w:w w:val="95"/>
        </w:rPr>
        <w:t>this</w:t>
      </w:r>
      <w:r>
        <w:rPr>
          <w:spacing w:val="7"/>
          <w:w w:val="95"/>
        </w:rPr>
        <w:t> </w:t>
      </w:r>
      <w:r>
        <w:rPr>
          <w:w w:val="95"/>
        </w:rPr>
        <w:t>is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first</w:t>
      </w:r>
      <w:r>
        <w:rPr>
          <w:spacing w:val="7"/>
          <w:w w:val="95"/>
        </w:rPr>
        <w:t> </w:t>
      </w:r>
      <w:r>
        <w:rPr>
          <w:w w:val="95"/>
        </w:rPr>
        <w:t>investigation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rFonts w:ascii="Times New Roman"/>
          <w:i/>
          <w:w w:val="95"/>
        </w:rPr>
        <w:t>CRH-R1</w:t>
      </w:r>
      <w:r>
        <w:rPr>
          <w:rFonts w:ascii="Times New Roman"/>
          <w:i/>
          <w:spacing w:val="2"/>
          <w:w w:val="95"/>
        </w:rPr>
        <w:t> </w:t>
      </w:r>
      <w:r>
        <w:rPr>
          <w:w w:val="95"/>
        </w:rPr>
        <w:t>rs242924</w:t>
      </w:r>
      <w:r>
        <w:rPr>
          <w:spacing w:val="7"/>
          <w:w w:val="95"/>
        </w:rPr>
        <w:t> </w:t>
      </w:r>
      <w:r>
        <w:rPr>
          <w:w w:val="95"/>
        </w:rPr>
        <w:t>and</w:t>
      </w:r>
      <w:r>
        <w:rPr>
          <w:spacing w:val="6"/>
          <w:w w:val="95"/>
        </w:rPr>
        <w:t> </w:t>
      </w:r>
      <w:r>
        <w:rPr>
          <w:rFonts w:ascii="Times New Roman"/>
          <w:i/>
          <w:w w:val="95"/>
        </w:rPr>
        <w:t>BDNF</w:t>
      </w:r>
      <w:r>
        <w:rPr>
          <w:rFonts w:ascii="Times New Roman"/>
          <w:i/>
          <w:spacing w:val="1"/>
          <w:w w:val="95"/>
        </w:rPr>
        <w:t> </w:t>
      </w:r>
      <w:r>
        <w:rPr>
          <w:spacing w:val="-1"/>
        </w:rPr>
        <w:t>rs11030094 </w:t>
      </w:r>
      <w:r>
        <w:rPr/>
        <w:t>polymorphisms in subjects with vitiligo. Also, we compared the serum levels of</w:t>
      </w:r>
      <w:r>
        <w:rPr>
          <w:spacing w:val="1"/>
        </w:rPr>
        <w:t> </w:t>
      </w:r>
      <w:r>
        <w:rPr>
          <w:w w:val="95"/>
        </w:rPr>
        <w:t>neurotransmitters</w:t>
      </w:r>
      <w:r>
        <w:rPr>
          <w:spacing w:val="12"/>
          <w:w w:val="95"/>
        </w:rPr>
        <w:t> </w:t>
      </w:r>
      <w:r>
        <w:rPr>
          <w:w w:val="95"/>
        </w:rPr>
        <w:t>with</w:t>
      </w:r>
      <w:r>
        <w:rPr>
          <w:spacing w:val="10"/>
          <w:w w:val="95"/>
        </w:rPr>
        <w:t> </w:t>
      </w:r>
      <w:r>
        <w:rPr>
          <w:w w:val="95"/>
        </w:rPr>
        <w:t>regard</w:t>
      </w:r>
      <w:r>
        <w:rPr>
          <w:spacing w:val="9"/>
          <w:w w:val="95"/>
        </w:rPr>
        <w:t> </w:t>
      </w:r>
      <w:r>
        <w:rPr>
          <w:w w:val="95"/>
        </w:rPr>
        <w:t>to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genotype</w:t>
      </w:r>
      <w:r>
        <w:rPr>
          <w:spacing w:val="10"/>
          <w:w w:val="95"/>
        </w:rPr>
        <w:t> </w:t>
      </w:r>
      <w:r>
        <w:rPr>
          <w:w w:val="95"/>
        </w:rPr>
        <w:t>subgroups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SNPs.</w:t>
      </w:r>
      <w:r>
        <w:rPr>
          <w:spacing w:val="11"/>
          <w:w w:val="95"/>
        </w:rPr>
        <w:t> </w:t>
      </w:r>
      <w:r>
        <w:rPr>
          <w:w w:val="95"/>
        </w:rPr>
        <w:t>At</w:t>
      </w:r>
      <w:r>
        <w:rPr>
          <w:spacing w:val="9"/>
          <w:w w:val="95"/>
        </w:rPr>
        <w:t> </w:t>
      </w:r>
      <w:r>
        <w:rPr>
          <w:w w:val="95"/>
        </w:rPr>
        <w:t>last,</w:t>
      </w:r>
      <w:r>
        <w:rPr>
          <w:spacing w:val="9"/>
          <w:w w:val="95"/>
        </w:rPr>
        <w:t> </w:t>
      </w:r>
      <w:r>
        <w:rPr>
          <w:w w:val="95"/>
        </w:rPr>
        <w:t>we</w:t>
      </w:r>
      <w:r>
        <w:rPr>
          <w:spacing w:val="10"/>
          <w:w w:val="95"/>
        </w:rPr>
        <w:t> </w:t>
      </w:r>
      <w:r>
        <w:rPr>
          <w:w w:val="95"/>
        </w:rPr>
        <w:t>explored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possi-</w:t>
      </w:r>
      <w:r>
        <w:rPr>
          <w:spacing w:val="-40"/>
          <w:w w:val="95"/>
        </w:rPr>
        <w:t> </w:t>
      </w:r>
      <w:r>
        <w:rPr>
          <w:w w:val="95"/>
        </w:rPr>
        <w:t>ble</w:t>
      </w:r>
      <w:r>
        <w:rPr>
          <w:spacing w:val="6"/>
          <w:w w:val="95"/>
        </w:rPr>
        <w:t> </w:t>
      </w:r>
      <w:r>
        <w:rPr>
          <w:w w:val="95"/>
        </w:rPr>
        <w:t>contribution</w:t>
      </w:r>
      <w:r>
        <w:rPr>
          <w:spacing w:val="9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rFonts w:ascii="Times New Roman"/>
          <w:i/>
          <w:w w:val="95"/>
        </w:rPr>
        <w:t>CRH-R1</w:t>
      </w:r>
      <w:r>
        <w:rPr>
          <w:rFonts w:ascii="Times New Roman"/>
          <w:i/>
          <w:spacing w:val="3"/>
          <w:w w:val="95"/>
        </w:rPr>
        <w:t> </w:t>
      </w:r>
      <w:r>
        <w:rPr>
          <w:w w:val="95"/>
        </w:rPr>
        <w:t>and</w:t>
      </w:r>
      <w:r>
        <w:rPr>
          <w:spacing w:val="9"/>
          <w:w w:val="95"/>
        </w:rPr>
        <w:t> </w:t>
      </w:r>
      <w:r>
        <w:rPr>
          <w:rFonts w:ascii="Times New Roman"/>
          <w:i/>
          <w:w w:val="95"/>
        </w:rPr>
        <w:t>BDNF</w:t>
      </w:r>
      <w:r>
        <w:rPr>
          <w:rFonts w:ascii="Times New Roman"/>
          <w:i/>
          <w:spacing w:val="2"/>
          <w:w w:val="95"/>
        </w:rPr>
        <w:t> </w:t>
      </w:r>
      <w:r>
        <w:rPr>
          <w:w w:val="95"/>
        </w:rPr>
        <w:t>gene</w:t>
      </w:r>
      <w:r>
        <w:rPr>
          <w:spacing w:val="7"/>
          <w:w w:val="95"/>
        </w:rPr>
        <w:t> </w:t>
      </w:r>
      <w:r>
        <w:rPr>
          <w:w w:val="95"/>
        </w:rPr>
        <w:t>variations</w:t>
      </w:r>
      <w:r>
        <w:rPr>
          <w:spacing w:val="9"/>
          <w:w w:val="95"/>
        </w:rPr>
        <w:t> </w:t>
      </w:r>
      <w:r>
        <w:rPr>
          <w:w w:val="95"/>
        </w:rPr>
        <w:t>to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pathogenesis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</w:rPr>
        <w:t>vitiligo.</w:t>
      </w:r>
      <w:r>
        <w:rPr>
          <w:spacing w:val="8"/>
          <w:w w:val="95"/>
        </w:rPr>
        <w:t> </w:t>
      </w:r>
      <w:r>
        <w:rPr>
          <w:w w:val="95"/>
        </w:rPr>
        <w:t>Our</w:t>
      </w:r>
      <w:r>
        <w:rPr>
          <w:spacing w:val="1"/>
          <w:w w:val="95"/>
        </w:rPr>
        <w:t> </w:t>
      </w:r>
      <w:r>
        <w:rPr>
          <w:w w:val="95"/>
        </w:rPr>
        <w:t>results</w:t>
      </w:r>
      <w:r>
        <w:rPr>
          <w:spacing w:val="6"/>
          <w:w w:val="95"/>
        </w:rPr>
        <w:t> </w:t>
      </w:r>
      <w:r>
        <w:rPr>
          <w:w w:val="95"/>
        </w:rPr>
        <w:t>indicated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association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both</w:t>
      </w:r>
      <w:r>
        <w:rPr>
          <w:spacing w:val="8"/>
          <w:w w:val="95"/>
        </w:rPr>
        <w:t> </w:t>
      </w:r>
      <w:r>
        <w:rPr>
          <w:rFonts w:ascii="Times New Roman"/>
          <w:i/>
          <w:w w:val="95"/>
        </w:rPr>
        <w:t>CRH-R1</w:t>
      </w:r>
      <w:r>
        <w:rPr>
          <w:rFonts w:ascii="Times New Roman"/>
          <w:i/>
          <w:spacing w:val="2"/>
          <w:w w:val="95"/>
        </w:rPr>
        <w:t> </w:t>
      </w:r>
      <w:r>
        <w:rPr>
          <w:w w:val="95"/>
        </w:rPr>
        <w:t>rs242924</w:t>
      </w:r>
      <w:r>
        <w:rPr>
          <w:spacing w:val="6"/>
          <w:w w:val="95"/>
        </w:rPr>
        <w:t> </w:t>
      </w:r>
      <w:r>
        <w:rPr>
          <w:w w:val="95"/>
        </w:rPr>
        <w:t>and</w:t>
      </w:r>
      <w:r>
        <w:rPr>
          <w:spacing w:val="7"/>
          <w:w w:val="95"/>
        </w:rPr>
        <w:t> </w:t>
      </w:r>
      <w:r>
        <w:rPr>
          <w:rFonts w:ascii="Times New Roman"/>
          <w:i/>
          <w:w w:val="95"/>
        </w:rPr>
        <w:t>BDNF</w:t>
      </w:r>
      <w:r>
        <w:rPr>
          <w:rFonts w:ascii="Times New Roman"/>
          <w:i/>
          <w:spacing w:val="1"/>
          <w:w w:val="95"/>
        </w:rPr>
        <w:t> </w:t>
      </w:r>
      <w:r>
        <w:rPr>
          <w:w w:val="95"/>
        </w:rPr>
        <w:t>rs11030094</w:t>
      </w:r>
      <w:r>
        <w:rPr>
          <w:spacing w:val="8"/>
          <w:w w:val="95"/>
        </w:rPr>
        <w:t> </w:t>
      </w:r>
      <w:r>
        <w:rPr>
          <w:w w:val="95"/>
        </w:rPr>
        <w:t>polymor-</w:t>
      </w:r>
      <w:r>
        <w:rPr>
          <w:spacing w:val="1"/>
          <w:w w:val="95"/>
        </w:rPr>
        <w:t> </w:t>
      </w:r>
      <w:r>
        <w:rPr/>
        <w:t>phisms with the risk of vitiligo occurrence, but more research is certainly needed to confirm</w:t>
      </w:r>
      <w:r>
        <w:rPr>
          <w:spacing w:val="1"/>
        </w:rPr>
        <w:t> </w:t>
      </w:r>
      <w:r>
        <w:rPr/>
        <w:t>these</w:t>
      </w:r>
      <w:r>
        <w:rPr>
          <w:spacing w:val="-4"/>
        </w:rPr>
        <w:t> </w:t>
      </w:r>
      <w:r>
        <w:rPr/>
        <w:t>results.</w:t>
      </w: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ind w:left="3420" w:firstLine="0"/>
        <w:rPr>
          <w:rFonts w:ascii="Arial"/>
        </w:rPr>
      </w:pPr>
      <w:r>
        <w:rPr>
          <w:rFonts w:ascii="Arial"/>
          <w:spacing w:val="-1"/>
        </w:rPr>
        <w:t>Supporting</w:t>
      </w:r>
      <w:r>
        <w:rPr>
          <w:rFonts w:ascii="Arial"/>
          <w:spacing w:val="-13"/>
        </w:rPr>
        <w:t> </w:t>
      </w:r>
      <w:r>
        <w:rPr>
          <w:rFonts w:ascii="Arial"/>
          <w:spacing w:val="-1"/>
        </w:rPr>
        <w:t>information</w:t>
      </w:r>
    </w:p>
    <w:p>
      <w:pPr>
        <w:pStyle w:val="Heading3"/>
      </w:pPr>
      <w:r>
        <w:rPr/>
        <w:t>S1</w:t>
      </w:r>
      <w:r>
        <w:rPr>
          <w:spacing w:val="-8"/>
        </w:rPr>
        <w:t> </w:t>
      </w:r>
      <w:r>
        <w:rPr/>
        <w:t>Fig.</w:t>
      </w:r>
      <w:r>
        <w:rPr>
          <w:spacing w:val="-8"/>
        </w:rPr>
        <w:t> </w:t>
      </w:r>
      <w:r>
        <w:rPr/>
        <w:t>Serum</w:t>
      </w:r>
      <w:r>
        <w:rPr>
          <w:spacing w:val="-7"/>
        </w:rPr>
        <w:t> </w:t>
      </w:r>
      <w:r>
        <w:rPr/>
        <w:t>neurotransmitters</w:t>
      </w:r>
      <w:r>
        <w:rPr>
          <w:spacing w:val="-4"/>
        </w:rPr>
        <w:t> </w:t>
      </w:r>
      <w:r>
        <w:rPr/>
        <w:t>levels</w:t>
      </w:r>
      <w:r>
        <w:rPr>
          <w:spacing w:val="-8"/>
        </w:rPr>
        <w:t> </w:t>
      </w:r>
      <w:r>
        <w:rPr/>
        <w:t>(ng/ml)</w:t>
      </w:r>
      <w:r>
        <w:rPr>
          <w:spacing w:val="-5"/>
        </w:rPr>
        <w:t> </w:t>
      </w:r>
      <w:r>
        <w:rPr/>
        <w:t>between</w:t>
      </w:r>
      <w:r>
        <w:rPr>
          <w:spacing w:val="-7"/>
        </w:rPr>
        <w:t> </w:t>
      </w:r>
      <w:r>
        <w:rPr/>
        <w:t>controls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cases.</w:t>
      </w:r>
    </w:p>
    <w:p>
      <w:pPr>
        <w:pStyle w:val="BodyText"/>
        <w:spacing w:before="16"/>
        <w:ind w:left="3420"/>
      </w:pPr>
      <w:r>
        <w:rPr>
          <w:w w:val="120"/>
        </w:rPr>
        <w:t>(TIFF)</w:t>
      </w:r>
    </w:p>
    <w:p>
      <w:pPr>
        <w:pStyle w:val="Heading3"/>
        <w:spacing w:before="136"/>
      </w:pPr>
      <w:r>
        <w:rPr>
          <w:w w:val="105"/>
        </w:rPr>
        <w:t>S1</w:t>
      </w:r>
      <w:r>
        <w:rPr>
          <w:spacing w:val="-9"/>
          <w:w w:val="105"/>
        </w:rPr>
        <w:t> </w:t>
      </w:r>
      <w:r>
        <w:rPr>
          <w:w w:val="105"/>
        </w:rPr>
        <w:t>Table.</w:t>
      </w:r>
      <w:r>
        <w:rPr>
          <w:spacing w:val="-8"/>
          <w:w w:val="105"/>
        </w:rPr>
        <w:t> </w:t>
      </w:r>
      <w:r>
        <w:rPr>
          <w:w w:val="105"/>
        </w:rPr>
        <w:t>Correlation</w:t>
      </w:r>
      <w:r>
        <w:rPr>
          <w:spacing w:val="-8"/>
          <w:w w:val="105"/>
        </w:rPr>
        <w:t> </w:t>
      </w:r>
      <w:r>
        <w:rPr>
          <w:w w:val="105"/>
        </w:rPr>
        <w:t>analysis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BDNF,</w:t>
      </w:r>
      <w:r>
        <w:rPr>
          <w:spacing w:val="-8"/>
          <w:w w:val="105"/>
        </w:rPr>
        <w:t> </w:t>
      </w:r>
      <w:r>
        <w:rPr>
          <w:w w:val="105"/>
        </w:rPr>
        <w:t>CRH</w:t>
      </w:r>
      <w:r>
        <w:rPr>
          <w:spacing w:val="-9"/>
          <w:w w:val="105"/>
        </w:rPr>
        <w:t> </w:t>
      </w:r>
      <w:r>
        <w:rPr>
          <w:w w:val="105"/>
        </w:rPr>
        <w:t>levels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VES</w:t>
      </w:r>
      <w:r>
        <w:rPr>
          <w:spacing w:val="-8"/>
          <w:w w:val="105"/>
        </w:rPr>
        <w:t> </w:t>
      </w:r>
      <w:r>
        <w:rPr>
          <w:w w:val="105"/>
        </w:rPr>
        <w:t>score.</w:t>
      </w:r>
    </w:p>
    <w:p>
      <w:pPr>
        <w:pStyle w:val="BodyText"/>
        <w:spacing w:before="16"/>
        <w:ind w:left="3420"/>
      </w:pPr>
      <w:r>
        <w:rPr>
          <w:w w:val="120"/>
        </w:rPr>
        <w:t>(TIFF)</w:t>
      </w:r>
    </w:p>
    <w:p>
      <w:pPr>
        <w:pStyle w:val="Heading3"/>
        <w:spacing w:before="135"/>
      </w:pPr>
      <w:r>
        <w:rPr/>
        <w:t>S1</w:t>
      </w:r>
      <w:r>
        <w:rPr>
          <w:spacing w:val="1"/>
        </w:rPr>
        <w:t> </w:t>
      </w:r>
      <w:r>
        <w:rPr/>
        <w:t>Data.</w:t>
      </w:r>
    </w:p>
    <w:p>
      <w:pPr>
        <w:pStyle w:val="BodyText"/>
        <w:spacing w:before="16"/>
        <w:ind w:left="3420"/>
      </w:pPr>
      <w:r>
        <w:rPr>
          <w:w w:val="120"/>
        </w:rPr>
        <w:t>(XLSX)</w:t>
      </w: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ind w:left="3420" w:firstLine="0"/>
        <w:rPr>
          <w:rFonts w:ascii="Arial"/>
        </w:rPr>
      </w:pPr>
      <w:r>
        <w:rPr>
          <w:rFonts w:ascii="Arial"/>
        </w:rPr>
        <w:t>Acknowledgments</w:t>
      </w:r>
    </w:p>
    <w:p>
      <w:pPr>
        <w:pStyle w:val="BodyText"/>
        <w:spacing w:line="256" w:lineRule="auto" w:before="99"/>
        <w:ind w:left="3420" w:right="268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authors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article</w:t>
      </w:r>
      <w:r>
        <w:rPr>
          <w:spacing w:val="-9"/>
        </w:rPr>
        <w:t> </w:t>
      </w:r>
      <w:r>
        <w:rPr>
          <w:spacing w:val="-1"/>
        </w:rPr>
        <w:t>would</w:t>
      </w:r>
      <w:r>
        <w:rPr>
          <w:spacing w:val="-11"/>
        </w:rPr>
        <w:t> </w:t>
      </w:r>
      <w:r>
        <w:rPr>
          <w:spacing w:val="-1"/>
        </w:rPr>
        <w:t>like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express</w:t>
      </w:r>
      <w:r>
        <w:rPr>
          <w:spacing w:val="-10"/>
        </w:rPr>
        <w:t> </w:t>
      </w:r>
      <w:r>
        <w:rPr>
          <w:spacing w:val="-1"/>
        </w:rPr>
        <w:t>their</w:t>
      </w:r>
      <w:r>
        <w:rPr>
          <w:spacing w:val="-11"/>
        </w:rPr>
        <w:t> </w:t>
      </w:r>
      <w:r>
        <w:rPr>
          <w:spacing w:val="-1"/>
        </w:rPr>
        <w:t>gratitude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all</w:t>
      </w:r>
      <w:r>
        <w:rPr>
          <w:spacing w:val="-11"/>
        </w:rPr>
        <w:t> </w:t>
      </w:r>
      <w:r>
        <w:rPr>
          <w:spacing w:val="-1"/>
        </w:rPr>
        <w:t>patients</w:t>
      </w:r>
      <w:r>
        <w:rPr>
          <w:spacing w:val="-9"/>
        </w:rPr>
        <w:t> </w:t>
      </w:r>
      <w:r>
        <w:rPr/>
        <w:t>who</w:t>
      </w:r>
      <w:r>
        <w:rPr>
          <w:spacing w:val="-10"/>
        </w:rPr>
        <w:t> </w:t>
      </w:r>
      <w:r>
        <w:rPr/>
        <w:t>took</w:t>
      </w:r>
      <w:r>
        <w:rPr>
          <w:spacing w:val="-11"/>
        </w:rPr>
        <w:t> </w:t>
      </w:r>
      <w:r>
        <w:rPr/>
        <w:t>part</w:t>
      </w:r>
      <w:r>
        <w:rPr>
          <w:spacing w:val="-10"/>
        </w:rPr>
        <w:t> </w:t>
      </w:r>
      <w:r>
        <w:rPr/>
        <w:t>in</w:t>
      </w:r>
      <w:r>
        <w:rPr>
          <w:spacing w:val="-4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pStyle w:val="Heading1"/>
        <w:ind w:left="3420" w:firstLine="0"/>
        <w:rPr>
          <w:rFonts w:ascii="Arial"/>
        </w:rPr>
      </w:pPr>
      <w:r>
        <w:rPr>
          <w:rFonts w:ascii="Arial"/>
          <w:spacing w:val="-1"/>
        </w:rPr>
        <w:t>Author</w:t>
      </w:r>
      <w:r>
        <w:rPr>
          <w:rFonts w:ascii="Arial"/>
          <w:spacing w:val="-14"/>
        </w:rPr>
        <w:t> </w:t>
      </w:r>
      <w:r>
        <w:rPr>
          <w:rFonts w:ascii="Arial"/>
          <w:spacing w:val="-1"/>
        </w:rPr>
        <w:t>Contributions</w:t>
      </w:r>
    </w:p>
    <w:p>
      <w:pPr>
        <w:spacing w:before="99"/>
        <w:ind w:left="3420" w:right="0" w:firstLine="0"/>
        <w:jc w:val="left"/>
        <w:rPr>
          <w:sz w:val="20"/>
        </w:rPr>
      </w:pPr>
      <w:r>
        <w:rPr>
          <w:b/>
          <w:sz w:val="20"/>
        </w:rPr>
        <w:t>Conceptualization:</w:t>
      </w:r>
      <w:r>
        <w:rPr>
          <w:b/>
          <w:spacing w:val="3"/>
          <w:sz w:val="20"/>
        </w:rPr>
        <w:t> </w:t>
      </w:r>
      <w:r>
        <w:rPr>
          <w:sz w:val="20"/>
        </w:rPr>
        <w:t>Nazira</w:t>
      </w:r>
      <w:r>
        <w:rPr>
          <w:spacing w:val="3"/>
          <w:sz w:val="20"/>
        </w:rPr>
        <w:t> </w:t>
      </w:r>
      <w:r>
        <w:rPr>
          <w:sz w:val="20"/>
        </w:rPr>
        <w:t>Bekenova,</w:t>
      </w:r>
      <w:r>
        <w:rPr>
          <w:spacing w:val="2"/>
          <w:sz w:val="20"/>
        </w:rPr>
        <w:t> </w:t>
      </w:r>
      <w:r>
        <w:rPr>
          <w:sz w:val="20"/>
        </w:rPr>
        <w:t>Almira</w:t>
      </w:r>
      <w:r>
        <w:rPr>
          <w:spacing w:val="3"/>
          <w:sz w:val="20"/>
        </w:rPr>
        <w:t> </w:t>
      </w:r>
      <w:r>
        <w:rPr>
          <w:sz w:val="20"/>
        </w:rPr>
        <w:t>Akhmetova,</w:t>
      </w:r>
      <w:r>
        <w:rPr>
          <w:spacing w:val="3"/>
          <w:sz w:val="20"/>
        </w:rPr>
        <w:t> </w:t>
      </w:r>
      <w:r>
        <w:rPr>
          <w:sz w:val="20"/>
        </w:rPr>
        <w:t>Yuliya</w:t>
      </w:r>
      <w:r>
        <w:rPr>
          <w:spacing w:val="2"/>
          <w:sz w:val="20"/>
        </w:rPr>
        <w:t> </w:t>
      </w:r>
      <w:r>
        <w:rPr>
          <w:sz w:val="20"/>
        </w:rPr>
        <w:t>Semenova.</w:t>
      </w:r>
    </w:p>
    <w:p>
      <w:pPr>
        <w:pStyle w:val="BodyText"/>
        <w:spacing w:line="254" w:lineRule="auto" w:before="115"/>
        <w:ind w:left="3659" w:hanging="240"/>
      </w:pPr>
      <w:r>
        <w:rPr>
          <w:b/>
        </w:rPr>
        <w:t>Data</w:t>
      </w:r>
      <w:r>
        <w:rPr>
          <w:b/>
          <w:spacing w:val="9"/>
        </w:rPr>
        <w:t> </w:t>
      </w:r>
      <w:r>
        <w:rPr>
          <w:b/>
        </w:rPr>
        <w:t>curation:</w:t>
      </w:r>
      <w:r>
        <w:rPr>
          <w:b/>
          <w:spacing w:val="13"/>
        </w:rPr>
        <w:t> </w:t>
      </w:r>
      <w:r>
        <w:rPr/>
        <w:t>Almira</w:t>
      </w:r>
      <w:r>
        <w:rPr>
          <w:spacing w:val="9"/>
        </w:rPr>
        <w:t> </w:t>
      </w:r>
      <w:r>
        <w:rPr/>
        <w:t>Akhmetova,</w:t>
      </w:r>
      <w:r>
        <w:rPr>
          <w:spacing w:val="12"/>
        </w:rPr>
        <w:t> </w:t>
      </w:r>
      <w:r>
        <w:rPr/>
        <w:t>Almas</w:t>
      </w:r>
      <w:r>
        <w:rPr>
          <w:spacing w:val="11"/>
        </w:rPr>
        <w:t> </w:t>
      </w:r>
      <w:r>
        <w:rPr/>
        <w:t>Kussainov,</w:t>
      </w:r>
      <w:r>
        <w:rPr>
          <w:spacing w:val="11"/>
        </w:rPr>
        <w:t> </w:t>
      </w:r>
      <w:r>
        <w:rPr/>
        <w:t>Zhanar</w:t>
      </w:r>
      <w:r>
        <w:rPr>
          <w:spacing w:val="10"/>
        </w:rPr>
        <w:t> </w:t>
      </w:r>
      <w:r>
        <w:rPr/>
        <w:t>Urazalina,</w:t>
      </w:r>
      <w:r>
        <w:rPr>
          <w:spacing w:val="11"/>
        </w:rPr>
        <w:t> </w:t>
      </w:r>
      <w:r>
        <w:rPr/>
        <w:t>Oxana</w:t>
      </w:r>
      <w:r>
        <w:rPr>
          <w:spacing w:val="9"/>
        </w:rPr>
        <w:t> </w:t>
      </w:r>
      <w:r>
        <w:rPr/>
        <w:t>Yurkovskaya,</w:t>
      </w:r>
      <w:r>
        <w:rPr>
          <w:spacing w:val="-42"/>
        </w:rPr>
        <w:t> </w:t>
      </w:r>
      <w:r>
        <w:rPr>
          <w:w w:val="105"/>
        </w:rPr>
        <w:t>Yerbol</w:t>
      </w:r>
      <w:r>
        <w:rPr>
          <w:spacing w:val="-4"/>
          <w:w w:val="105"/>
        </w:rPr>
        <w:t> </w:t>
      </w:r>
      <w:r>
        <w:rPr>
          <w:w w:val="105"/>
        </w:rPr>
        <w:t>Smail,</w:t>
      </w:r>
      <w:r>
        <w:rPr>
          <w:spacing w:val="-5"/>
          <w:w w:val="105"/>
        </w:rPr>
        <w:t> </w:t>
      </w:r>
      <w:r>
        <w:rPr>
          <w:w w:val="105"/>
        </w:rPr>
        <w:t>Laura</w:t>
      </w:r>
      <w:r>
        <w:rPr>
          <w:spacing w:val="-4"/>
          <w:w w:val="105"/>
        </w:rPr>
        <w:t> </w:t>
      </w:r>
      <w:r>
        <w:rPr>
          <w:w w:val="105"/>
        </w:rPr>
        <w:t>Pak.</w:t>
      </w:r>
    </w:p>
    <w:p>
      <w:pPr>
        <w:spacing w:before="103"/>
        <w:ind w:left="3420" w:right="0" w:firstLine="0"/>
        <w:jc w:val="left"/>
        <w:rPr>
          <w:sz w:val="20"/>
        </w:rPr>
      </w:pPr>
      <w:r>
        <w:rPr>
          <w:b/>
          <w:sz w:val="20"/>
        </w:rPr>
        <w:t>Formal analysis: </w:t>
      </w:r>
      <w:r>
        <w:rPr>
          <w:sz w:val="20"/>
        </w:rPr>
        <w:t>Laura Kassym,</w:t>
      </w:r>
      <w:r>
        <w:rPr>
          <w:spacing w:val="1"/>
          <w:sz w:val="20"/>
        </w:rPr>
        <w:t> </w:t>
      </w:r>
      <w:r>
        <w:rPr>
          <w:sz w:val="20"/>
        </w:rPr>
        <w:t>Nazira</w:t>
      </w:r>
      <w:r>
        <w:rPr>
          <w:spacing w:val="-1"/>
          <w:sz w:val="20"/>
        </w:rPr>
        <w:t> </w:t>
      </w:r>
      <w:r>
        <w:rPr>
          <w:sz w:val="20"/>
        </w:rPr>
        <w:t>Bekenova, Natalya</w:t>
      </w:r>
      <w:r>
        <w:rPr>
          <w:spacing w:val="-1"/>
          <w:sz w:val="20"/>
        </w:rPr>
        <w:t> </w:t>
      </w:r>
      <w:r>
        <w:rPr>
          <w:sz w:val="20"/>
        </w:rPr>
        <w:t>Glushkova.</w:t>
      </w:r>
    </w:p>
    <w:p>
      <w:pPr>
        <w:spacing w:before="115"/>
        <w:ind w:left="3420" w:right="0" w:firstLine="0"/>
        <w:jc w:val="left"/>
        <w:rPr>
          <w:sz w:val="20"/>
        </w:rPr>
      </w:pPr>
      <w:r>
        <w:rPr>
          <w:b/>
          <w:sz w:val="20"/>
        </w:rPr>
        <w:t>Methodology:</w:t>
      </w:r>
      <w:r>
        <w:rPr>
          <w:b/>
          <w:spacing w:val="-2"/>
          <w:sz w:val="20"/>
        </w:rPr>
        <w:t> </w:t>
      </w:r>
      <w:r>
        <w:rPr>
          <w:sz w:val="20"/>
        </w:rPr>
        <w:t>Assiya</w:t>
      </w:r>
      <w:r>
        <w:rPr>
          <w:spacing w:val="-2"/>
          <w:sz w:val="20"/>
        </w:rPr>
        <w:t> </w:t>
      </w:r>
      <w:r>
        <w:rPr>
          <w:sz w:val="20"/>
        </w:rPr>
        <w:t>Kussainova,</w:t>
      </w:r>
      <w:r>
        <w:rPr>
          <w:spacing w:val="-2"/>
          <w:sz w:val="20"/>
        </w:rPr>
        <w:t> </w:t>
      </w:r>
      <w:r>
        <w:rPr>
          <w:sz w:val="20"/>
        </w:rPr>
        <w:t>Laura</w:t>
      </w:r>
      <w:r>
        <w:rPr>
          <w:spacing w:val="-1"/>
          <w:sz w:val="20"/>
        </w:rPr>
        <w:t> </w:t>
      </w:r>
      <w:r>
        <w:rPr>
          <w:sz w:val="20"/>
        </w:rPr>
        <w:t>Kassym,</w:t>
      </w:r>
      <w:r>
        <w:rPr>
          <w:spacing w:val="-2"/>
          <w:sz w:val="20"/>
        </w:rPr>
        <w:t> </w:t>
      </w:r>
      <w:r>
        <w:rPr>
          <w:sz w:val="20"/>
        </w:rPr>
        <w:t>Yuliya</w:t>
      </w:r>
      <w:r>
        <w:rPr>
          <w:spacing w:val="-3"/>
          <w:sz w:val="20"/>
        </w:rPr>
        <w:t> </w:t>
      </w:r>
      <w:r>
        <w:rPr>
          <w:sz w:val="20"/>
        </w:rPr>
        <w:t>Semenova.</w:t>
      </w:r>
    </w:p>
    <w:p>
      <w:pPr>
        <w:spacing w:before="117"/>
        <w:ind w:left="3420" w:right="0" w:firstLine="0"/>
        <w:jc w:val="left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administration:</w:t>
      </w:r>
      <w:r>
        <w:rPr>
          <w:b/>
          <w:spacing w:val="6"/>
          <w:sz w:val="20"/>
        </w:rPr>
        <w:t> </w:t>
      </w:r>
      <w:r>
        <w:rPr>
          <w:sz w:val="20"/>
        </w:rPr>
        <w:t>Assiya</w:t>
      </w:r>
      <w:r>
        <w:rPr>
          <w:spacing w:val="4"/>
          <w:sz w:val="20"/>
        </w:rPr>
        <w:t> </w:t>
      </w:r>
      <w:r>
        <w:rPr>
          <w:sz w:val="20"/>
        </w:rPr>
        <w:t>Kussainova,</w:t>
      </w:r>
      <w:r>
        <w:rPr>
          <w:spacing w:val="5"/>
          <w:sz w:val="20"/>
        </w:rPr>
        <w:t> </w:t>
      </w:r>
      <w:r>
        <w:rPr>
          <w:sz w:val="20"/>
        </w:rPr>
        <w:t>Laura</w:t>
      </w:r>
      <w:r>
        <w:rPr>
          <w:spacing w:val="4"/>
          <w:sz w:val="20"/>
        </w:rPr>
        <w:t> </w:t>
      </w:r>
      <w:r>
        <w:rPr>
          <w:sz w:val="20"/>
        </w:rPr>
        <w:t>Kassym,</w:t>
      </w:r>
      <w:r>
        <w:rPr>
          <w:spacing w:val="5"/>
          <w:sz w:val="20"/>
        </w:rPr>
        <w:t> </w:t>
      </w:r>
      <w:r>
        <w:rPr>
          <w:sz w:val="20"/>
        </w:rPr>
        <w:t>Yuliya</w:t>
      </w:r>
      <w:r>
        <w:rPr>
          <w:spacing w:val="4"/>
          <w:sz w:val="20"/>
        </w:rPr>
        <w:t> </w:t>
      </w:r>
      <w:r>
        <w:rPr>
          <w:sz w:val="20"/>
        </w:rPr>
        <w:t>Semenova.</w:t>
      </w:r>
    </w:p>
    <w:p>
      <w:pPr>
        <w:pStyle w:val="BodyText"/>
        <w:spacing w:line="256" w:lineRule="auto" w:before="115"/>
        <w:ind w:left="3659" w:hanging="240"/>
      </w:pPr>
      <w:r>
        <w:rPr>
          <w:b/>
        </w:rPr>
        <w:t>Resources:</w:t>
      </w:r>
      <w:r>
        <w:rPr>
          <w:b/>
          <w:spacing w:val="8"/>
        </w:rPr>
        <w:t> </w:t>
      </w:r>
      <w:r>
        <w:rPr/>
        <w:t>Almira</w:t>
      </w:r>
      <w:r>
        <w:rPr>
          <w:spacing w:val="7"/>
        </w:rPr>
        <w:t> </w:t>
      </w:r>
      <w:r>
        <w:rPr/>
        <w:t>Akhmetova,</w:t>
      </w:r>
      <w:r>
        <w:rPr>
          <w:spacing w:val="9"/>
        </w:rPr>
        <w:t> </w:t>
      </w:r>
      <w:r>
        <w:rPr/>
        <w:t>Almas</w:t>
      </w:r>
      <w:r>
        <w:rPr>
          <w:spacing w:val="8"/>
        </w:rPr>
        <w:t> </w:t>
      </w:r>
      <w:r>
        <w:rPr/>
        <w:t>Kussainov,</w:t>
      </w:r>
      <w:r>
        <w:rPr>
          <w:spacing w:val="8"/>
        </w:rPr>
        <w:t> </w:t>
      </w:r>
      <w:r>
        <w:rPr/>
        <w:t>Zhanar</w:t>
      </w:r>
      <w:r>
        <w:rPr>
          <w:spacing w:val="8"/>
        </w:rPr>
        <w:t> </w:t>
      </w:r>
      <w:r>
        <w:rPr/>
        <w:t>Urazalina,</w:t>
      </w:r>
      <w:r>
        <w:rPr>
          <w:spacing w:val="8"/>
        </w:rPr>
        <w:t> </w:t>
      </w:r>
      <w:r>
        <w:rPr/>
        <w:t>Oxana</w:t>
      </w:r>
      <w:r>
        <w:rPr>
          <w:spacing w:val="7"/>
        </w:rPr>
        <w:t> </w:t>
      </w:r>
      <w:r>
        <w:rPr/>
        <w:t>Yurkovskaya,</w:t>
      </w:r>
      <w:r>
        <w:rPr>
          <w:spacing w:val="-42"/>
        </w:rPr>
        <w:t> </w:t>
      </w:r>
      <w:r>
        <w:rPr/>
        <w:t>Yerbol</w:t>
      </w:r>
      <w:r>
        <w:rPr>
          <w:spacing w:val="-1"/>
        </w:rPr>
        <w:t> </w:t>
      </w:r>
      <w:r>
        <w:rPr/>
        <w:t>Smail,</w:t>
      </w:r>
      <w:r>
        <w:rPr>
          <w:spacing w:val="-2"/>
        </w:rPr>
        <w:t> </w:t>
      </w:r>
      <w:r>
        <w:rPr/>
        <w:t>Laura</w:t>
      </w:r>
      <w:r>
        <w:rPr>
          <w:spacing w:val="-1"/>
        </w:rPr>
        <w:t> </w:t>
      </w:r>
      <w:r>
        <w:rPr/>
        <w:t>Pak.</w:t>
      </w:r>
    </w:p>
    <w:p>
      <w:pPr>
        <w:pStyle w:val="BodyText"/>
        <w:spacing w:before="98"/>
        <w:ind w:left="3420"/>
      </w:pPr>
      <w:r>
        <w:rPr>
          <w:b/>
        </w:rPr>
        <w:t>Software:</w:t>
      </w:r>
      <w:r>
        <w:rPr>
          <w:b/>
          <w:spacing w:val="3"/>
        </w:rPr>
        <w:t> </w:t>
      </w:r>
      <w:r>
        <w:rPr/>
        <w:t>Almas</w:t>
      </w:r>
      <w:r>
        <w:rPr>
          <w:spacing w:val="5"/>
        </w:rPr>
        <w:t> </w:t>
      </w:r>
      <w:r>
        <w:rPr/>
        <w:t>Kussainov,</w:t>
      </w:r>
      <w:r>
        <w:rPr>
          <w:spacing w:val="5"/>
        </w:rPr>
        <w:t> </w:t>
      </w:r>
      <w:r>
        <w:rPr/>
        <w:t>Zhanar</w:t>
      </w:r>
      <w:r>
        <w:rPr>
          <w:spacing w:val="4"/>
        </w:rPr>
        <w:t> </w:t>
      </w:r>
      <w:r>
        <w:rPr/>
        <w:t>Urazalina,</w:t>
      </w:r>
      <w:r>
        <w:rPr>
          <w:spacing w:val="5"/>
        </w:rPr>
        <w:t> </w:t>
      </w:r>
      <w:r>
        <w:rPr/>
        <w:t>Oxana</w:t>
      </w:r>
      <w:r>
        <w:rPr>
          <w:spacing w:val="4"/>
        </w:rPr>
        <w:t> </w:t>
      </w:r>
      <w:r>
        <w:rPr/>
        <w:t>Yurkovskaya,</w:t>
      </w:r>
      <w:r>
        <w:rPr>
          <w:spacing w:val="6"/>
        </w:rPr>
        <w:t> </w:t>
      </w:r>
      <w:r>
        <w:rPr/>
        <w:t>Laura</w:t>
      </w:r>
      <w:r>
        <w:rPr>
          <w:spacing w:val="4"/>
        </w:rPr>
        <w:t> </w:t>
      </w:r>
      <w:r>
        <w:rPr/>
        <w:t>Pak.</w:t>
      </w:r>
    </w:p>
    <w:p>
      <w:pPr>
        <w:pStyle w:val="BodyText"/>
        <w:spacing w:line="254" w:lineRule="auto" w:before="116"/>
        <w:ind w:left="3659" w:hanging="240"/>
      </w:pPr>
      <w:r>
        <w:rPr>
          <w:b/>
        </w:rPr>
        <w:t>Supervision:</w:t>
      </w:r>
      <w:r>
        <w:rPr>
          <w:b/>
          <w:spacing w:val="12"/>
        </w:rPr>
        <w:t> </w:t>
      </w:r>
      <w:r>
        <w:rPr/>
        <w:t>Almira</w:t>
      </w:r>
      <w:r>
        <w:rPr>
          <w:spacing w:val="10"/>
        </w:rPr>
        <w:t> </w:t>
      </w:r>
      <w:r>
        <w:rPr/>
        <w:t>Akhmetova,</w:t>
      </w:r>
      <w:r>
        <w:rPr>
          <w:spacing w:val="11"/>
        </w:rPr>
        <w:t> </w:t>
      </w:r>
      <w:r>
        <w:rPr/>
        <w:t>Almas</w:t>
      </w:r>
      <w:r>
        <w:rPr>
          <w:spacing w:val="12"/>
        </w:rPr>
        <w:t> </w:t>
      </w:r>
      <w:r>
        <w:rPr/>
        <w:t>Kussainov,</w:t>
      </w:r>
      <w:r>
        <w:rPr>
          <w:spacing w:val="11"/>
        </w:rPr>
        <w:t> </w:t>
      </w:r>
      <w:r>
        <w:rPr/>
        <w:t>Zhanar</w:t>
      </w:r>
      <w:r>
        <w:rPr>
          <w:spacing w:val="10"/>
        </w:rPr>
        <w:t> </w:t>
      </w:r>
      <w:r>
        <w:rPr/>
        <w:t>Urazalina,</w:t>
      </w:r>
      <w:r>
        <w:rPr>
          <w:spacing w:val="11"/>
        </w:rPr>
        <w:t> </w:t>
      </w:r>
      <w:r>
        <w:rPr/>
        <w:t>Oxana</w:t>
      </w:r>
      <w:r>
        <w:rPr>
          <w:spacing w:val="10"/>
        </w:rPr>
        <w:t> </w:t>
      </w:r>
      <w:r>
        <w:rPr/>
        <w:t>Yurkovskaya,</w:t>
      </w:r>
      <w:r>
        <w:rPr>
          <w:spacing w:val="-42"/>
        </w:rPr>
        <w:t> </w:t>
      </w:r>
      <w:r>
        <w:rPr>
          <w:w w:val="105"/>
        </w:rPr>
        <w:t>Yerbol</w:t>
      </w:r>
      <w:r>
        <w:rPr>
          <w:spacing w:val="-5"/>
          <w:w w:val="105"/>
        </w:rPr>
        <w:t> </w:t>
      </w:r>
      <w:r>
        <w:rPr>
          <w:w w:val="105"/>
        </w:rPr>
        <w:t>Smail,</w:t>
      </w:r>
      <w:r>
        <w:rPr>
          <w:spacing w:val="-6"/>
          <w:w w:val="105"/>
        </w:rPr>
        <w:t> </w:t>
      </w:r>
      <w:r>
        <w:rPr>
          <w:w w:val="105"/>
        </w:rPr>
        <w:t>Laura</w:t>
      </w:r>
      <w:r>
        <w:rPr>
          <w:spacing w:val="-5"/>
          <w:w w:val="105"/>
        </w:rPr>
        <w:t> </w:t>
      </w:r>
      <w:r>
        <w:rPr>
          <w:w w:val="105"/>
        </w:rPr>
        <w:t>Pak,</w:t>
      </w:r>
      <w:r>
        <w:rPr>
          <w:spacing w:val="-6"/>
          <w:w w:val="105"/>
        </w:rPr>
        <w:t> </w:t>
      </w:r>
      <w:r>
        <w:rPr>
          <w:w w:val="105"/>
        </w:rPr>
        <w:t>Yuliya</w:t>
      </w:r>
      <w:r>
        <w:rPr>
          <w:spacing w:val="-5"/>
          <w:w w:val="105"/>
        </w:rPr>
        <w:t> </w:t>
      </w:r>
      <w:r>
        <w:rPr>
          <w:w w:val="105"/>
        </w:rPr>
        <w:t>Semenova.</w:t>
      </w:r>
    </w:p>
    <w:p>
      <w:pPr>
        <w:pStyle w:val="BodyText"/>
        <w:spacing w:before="102"/>
        <w:ind w:left="3420"/>
      </w:pPr>
      <w:r>
        <w:rPr>
          <w:b/>
        </w:rPr>
        <w:t>Validation:</w:t>
      </w:r>
      <w:r>
        <w:rPr>
          <w:b/>
          <w:spacing w:val="5"/>
        </w:rPr>
        <w:t> </w:t>
      </w:r>
      <w:r>
        <w:rPr/>
        <w:t>Assiya</w:t>
      </w:r>
      <w:r>
        <w:rPr>
          <w:spacing w:val="3"/>
        </w:rPr>
        <w:t> </w:t>
      </w:r>
      <w:r>
        <w:rPr/>
        <w:t>Kussainova,</w:t>
      </w:r>
      <w:r>
        <w:rPr>
          <w:spacing w:val="5"/>
        </w:rPr>
        <w:t> </w:t>
      </w:r>
      <w:r>
        <w:rPr/>
        <w:t>Laura</w:t>
      </w:r>
      <w:r>
        <w:rPr>
          <w:spacing w:val="3"/>
        </w:rPr>
        <w:t> </w:t>
      </w:r>
      <w:r>
        <w:rPr/>
        <w:t>Kassym,</w:t>
      </w:r>
      <w:r>
        <w:rPr>
          <w:spacing w:val="4"/>
        </w:rPr>
        <w:t> </w:t>
      </w:r>
      <w:r>
        <w:rPr/>
        <w:t>Nazira</w:t>
      </w:r>
      <w:r>
        <w:rPr>
          <w:spacing w:val="2"/>
        </w:rPr>
        <w:t> </w:t>
      </w:r>
      <w:r>
        <w:rPr/>
        <w:t>Bekenova.</w:t>
      </w:r>
    </w:p>
    <w:p>
      <w:pPr>
        <w:spacing w:before="116"/>
        <w:ind w:left="3420" w:right="0" w:firstLine="0"/>
        <w:jc w:val="left"/>
        <w:rPr>
          <w:sz w:val="20"/>
        </w:rPr>
      </w:pPr>
      <w:r>
        <w:rPr>
          <w:b/>
          <w:sz w:val="20"/>
        </w:rPr>
        <w:t>Visualization:</w:t>
      </w:r>
      <w:r>
        <w:rPr>
          <w:b/>
          <w:spacing w:val="7"/>
          <w:sz w:val="20"/>
        </w:rPr>
        <w:t> </w:t>
      </w:r>
      <w:r>
        <w:rPr>
          <w:sz w:val="20"/>
        </w:rPr>
        <w:t>Assiya</w:t>
      </w:r>
      <w:r>
        <w:rPr>
          <w:spacing w:val="6"/>
          <w:sz w:val="20"/>
        </w:rPr>
        <w:t> </w:t>
      </w:r>
      <w:r>
        <w:rPr>
          <w:sz w:val="20"/>
        </w:rPr>
        <w:t>Kussainova,</w:t>
      </w:r>
      <w:r>
        <w:rPr>
          <w:spacing w:val="6"/>
          <w:sz w:val="20"/>
        </w:rPr>
        <w:t> </w:t>
      </w:r>
      <w:r>
        <w:rPr>
          <w:sz w:val="20"/>
        </w:rPr>
        <w:t>Natalya</w:t>
      </w:r>
      <w:r>
        <w:rPr>
          <w:spacing w:val="6"/>
          <w:sz w:val="20"/>
        </w:rPr>
        <w:t> </w:t>
      </w:r>
      <w:r>
        <w:rPr>
          <w:sz w:val="20"/>
        </w:rPr>
        <w:t>Glushkova,</w:t>
      </w:r>
      <w:r>
        <w:rPr>
          <w:spacing w:val="7"/>
          <w:sz w:val="20"/>
        </w:rPr>
        <w:t> </w:t>
      </w:r>
      <w:r>
        <w:rPr>
          <w:sz w:val="20"/>
        </w:rPr>
        <w:t>Yerbol</w:t>
      </w:r>
      <w:r>
        <w:rPr>
          <w:spacing w:val="3"/>
          <w:sz w:val="20"/>
        </w:rPr>
        <w:t> </w:t>
      </w:r>
      <w:r>
        <w:rPr>
          <w:sz w:val="20"/>
        </w:rPr>
        <w:t>Smail.</w:t>
      </w:r>
    </w:p>
    <w:p>
      <w:pPr>
        <w:spacing w:line="256" w:lineRule="auto" w:before="116"/>
        <w:ind w:left="3659" w:right="0" w:hanging="240"/>
        <w:jc w:val="left"/>
        <w:rPr>
          <w:sz w:val="20"/>
        </w:rPr>
      </w:pPr>
      <w:r>
        <w:rPr>
          <w:b/>
          <w:sz w:val="20"/>
        </w:rPr>
        <w:t>Writing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original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draft:</w:t>
      </w:r>
      <w:r>
        <w:rPr>
          <w:b/>
          <w:spacing w:val="6"/>
          <w:sz w:val="20"/>
        </w:rPr>
        <w:t> </w:t>
      </w:r>
      <w:r>
        <w:rPr>
          <w:sz w:val="20"/>
        </w:rPr>
        <w:t>Assiya</w:t>
      </w:r>
      <w:r>
        <w:rPr>
          <w:spacing w:val="7"/>
          <w:sz w:val="20"/>
        </w:rPr>
        <w:t> </w:t>
      </w:r>
      <w:r>
        <w:rPr>
          <w:sz w:val="20"/>
        </w:rPr>
        <w:t>Kussainova,</w:t>
      </w:r>
      <w:r>
        <w:rPr>
          <w:spacing w:val="8"/>
          <w:sz w:val="20"/>
        </w:rPr>
        <w:t> </w:t>
      </w:r>
      <w:r>
        <w:rPr>
          <w:sz w:val="20"/>
        </w:rPr>
        <w:t>Laura</w:t>
      </w:r>
      <w:r>
        <w:rPr>
          <w:spacing w:val="7"/>
          <w:sz w:val="20"/>
        </w:rPr>
        <w:t> </w:t>
      </w:r>
      <w:r>
        <w:rPr>
          <w:sz w:val="20"/>
        </w:rPr>
        <w:t>Kassym,</w:t>
      </w:r>
      <w:r>
        <w:rPr>
          <w:spacing w:val="7"/>
          <w:sz w:val="20"/>
        </w:rPr>
        <w:t> </w:t>
      </w:r>
      <w:r>
        <w:rPr>
          <w:sz w:val="20"/>
        </w:rPr>
        <w:t>Nazira</w:t>
      </w:r>
      <w:r>
        <w:rPr>
          <w:spacing w:val="6"/>
          <w:sz w:val="20"/>
        </w:rPr>
        <w:t> </w:t>
      </w:r>
      <w:r>
        <w:rPr>
          <w:sz w:val="20"/>
        </w:rPr>
        <w:t>Bekenova,</w:t>
      </w:r>
      <w:r>
        <w:rPr>
          <w:spacing w:val="8"/>
          <w:sz w:val="20"/>
        </w:rPr>
        <w:t> </w:t>
      </w:r>
      <w:r>
        <w:rPr>
          <w:sz w:val="20"/>
        </w:rPr>
        <w:t>Natalya</w:t>
      </w:r>
      <w:r>
        <w:rPr>
          <w:spacing w:val="6"/>
          <w:sz w:val="20"/>
        </w:rPr>
        <w:t> </w:t>
      </w:r>
      <w:r>
        <w:rPr>
          <w:sz w:val="20"/>
        </w:rPr>
        <w:t>Glush-</w:t>
      </w:r>
      <w:r>
        <w:rPr>
          <w:spacing w:val="-42"/>
          <w:sz w:val="20"/>
        </w:rPr>
        <w:t> </w:t>
      </w:r>
      <w:r>
        <w:rPr>
          <w:sz w:val="20"/>
        </w:rPr>
        <w:t>kova,</w:t>
      </w:r>
      <w:r>
        <w:rPr>
          <w:spacing w:val="-2"/>
          <w:sz w:val="20"/>
        </w:rPr>
        <w:t> </w:t>
      </w:r>
      <w:r>
        <w:rPr>
          <w:sz w:val="20"/>
        </w:rPr>
        <w:t>Yuliya</w:t>
      </w:r>
      <w:r>
        <w:rPr>
          <w:spacing w:val="-2"/>
          <w:sz w:val="20"/>
        </w:rPr>
        <w:t> </w:t>
      </w:r>
      <w:r>
        <w:rPr>
          <w:sz w:val="20"/>
        </w:rPr>
        <w:t>Semenova.</w:t>
      </w:r>
    </w:p>
    <w:p>
      <w:pPr>
        <w:spacing w:after="0" w:line="256" w:lineRule="auto"/>
        <w:jc w:val="left"/>
        <w:rPr>
          <w:sz w:val="20"/>
        </w:rPr>
        <w:sectPr>
          <w:pgSz w:w="12240" w:h="15840"/>
          <w:pgMar w:header="705" w:footer="680" w:top="1080" w:bottom="880" w:left="580" w:right="60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line="256" w:lineRule="auto" w:before="61"/>
        <w:ind w:left="3659" w:right="119" w:hanging="240"/>
        <w:jc w:val="both"/>
      </w:pPr>
      <w:bookmarkStart w:name="_bookmark51" w:id="53"/>
      <w:bookmarkEnd w:id="53"/>
      <w:r>
        <w:rPr/>
      </w:r>
      <w:bookmarkStart w:name="_bookmark52" w:id="54"/>
      <w:bookmarkEnd w:id="54"/>
      <w:r>
        <w:rPr/>
      </w:r>
      <w:bookmarkStart w:name="_bookmark53" w:id="55"/>
      <w:bookmarkEnd w:id="55"/>
      <w:r>
        <w:rPr/>
      </w:r>
      <w:bookmarkStart w:name="_bookmark54" w:id="56"/>
      <w:bookmarkEnd w:id="56"/>
      <w:r>
        <w:rPr/>
      </w:r>
      <w:r>
        <w:rPr>
          <w:b/>
        </w:rPr>
        <w:t>Writing – review &amp; editing: </w:t>
      </w:r>
      <w:r>
        <w:rPr/>
        <w:t>Assiya Kussainova, Laura Kassym, Nazira Bekenova, Almira Akh-</w:t>
      </w:r>
      <w:r>
        <w:rPr>
          <w:spacing w:val="1"/>
        </w:rPr>
        <w:t> </w:t>
      </w:r>
      <w:r>
        <w:rPr/>
        <w:t>metova, Natalya Glushkova, Almas Kussainov, Zhanar Urazalina, Oxana Yurkovskaya, Yer-</w:t>
      </w:r>
      <w:r>
        <w:rPr>
          <w:spacing w:val="1"/>
        </w:rPr>
        <w:t> </w:t>
      </w:r>
      <w:r>
        <w:rPr/>
        <w:t>bol</w:t>
      </w:r>
      <w:r>
        <w:rPr>
          <w:spacing w:val="-1"/>
        </w:rPr>
        <w:t> </w:t>
      </w:r>
      <w:r>
        <w:rPr/>
        <w:t>Smail,</w:t>
      </w:r>
      <w:r>
        <w:rPr>
          <w:spacing w:val="-2"/>
        </w:rPr>
        <w:t> </w:t>
      </w:r>
      <w:r>
        <w:rPr/>
        <w:t>Laura</w:t>
      </w:r>
      <w:r>
        <w:rPr>
          <w:spacing w:val="-2"/>
        </w:rPr>
        <w:t> </w:t>
      </w:r>
      <w:r>
        <w:rPr/>
        <w:t>Pak,</w:t>
      </w:r>
      <w:r>
        <w:rPr>
          <w:spacing w:val="-2"/>
        </w:rPr>
        <w:t> </w:t>
      </w:r>
      <w:r>
        <w:rPr/>
        <w:t>Yuliya</w:t>
      </w:r>
      <w:r>
        <w:rPr>
          <w:spacing w:val="-1"/>
        </w:rPr>
        <w:t> </w:t>
      </w:r>
      <w:r>
        <w:rPr/>
        <w:t>Semenova.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left="3420" w:firstLine="0"/>
        <w:rPr>
          <w:rFonts w:ascii="Arial"/>
        </w:rPr>
      </w:pPr>
      <w:bookmarkStart w:name="_bookmark55" w:id="57"/>
      <w:bookmarkEnd w:id="57"/>
      <w:r>
        <w:rPr>
          <w:b w:val="0"/>
        </w:rPr>
      </w:r>
      <w:r>
        <w:rPr>
          <w:rFonts w:ascii="Arial"/>
        </w:rPr>
        <w:t>References</w:t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69" w:after="0"/>
        <w:ind w:left="3849" w:right="120" w:hanging="333"/>
        <w:jc w:val="left"/>
        <w:rPr>
          <w:sz w:val="16"/>
        </w:rPr>
      </w:pPr>
      <w:r>
        <w:rPr>
          <w:w w:val="95"/>
          <w:sz w:val="16"/>
        </w:rPr>
        <w:t>Saif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GB,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Khan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IA.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Association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genetic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variants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the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vitamin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receptor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gene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with vitiligo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in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a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tertiary</w:t>
      </w:r>
      <w:r>
        <w:rPr>
          <w:spacing w:val="1"/>
          <w:w w:val="95"/>
          <w:sz w:val="16"/>
        </w:rPr>
        <w:t> </w:t>
      </w:r>
      <w:bookmarkStart w:name="_bookmark56" w:id="58"/>
      <w:bookmarkEnd w:id="58"/>
      <w:r>
        <w:rPr>
          <w:spacing w:val="-2"/>
          <w:sz w:val="16"/>
        </w:rPr>
        <w:t>car</w:t>
      </w:r>
      <w:r>
        <w:rPr>
          <w:spacing w:val="-2"/>
          <w:sz w:val="16"/>
        </w:rPr>
        <w:t>e center in a Saudi population: </w:t>
      </w:r>
      <w:r>
        <w:rPr>
          <w:spacing w:val="-1"/>
          <w:sz w:val="16"/>
        </w:rPr>
        <w:t>a case-control study. Ann Saudi Med. 2022 Mar-Apr; 42(2):96–106.</w:t>
      </w:r>
      <w:r>
        <w:rPr>
          <w:spacing w:val="-42"/>
          <w:sz w:val="16"/>
        </w:rPr>
        <w:t> </w:t>
      </w:r>
      <w:hyperlink r:id="rId24">
        <w:r>
          <w:rPr>
            <w:color w:val="3E65AC"/>
            <w:spacing w:val="-2"/>
            <w:sz w:val="16"/>
          </w:rPr>
          <w:t>https://doi.org/10.5144/0256-4947.2022.96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pacing w:val="-1"/>
          <w:sz w:val="16"/>
        </w:rPr>
        <w:t>Epub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2022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Apr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7.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PMID:</w:t>
      </w:r>
      <w:r>
        <w:rPr>
          <w:spacing w:val="-10"/>
          <w:sz w:val="16"/>
        </w:rPr>
        <w:t> </w:t>
      </w:r>
      <w:hyperlink r:id="rId25">
        <w:r>
          <w:rPr>
            <w:color w:val="3E65AC"/>
            <w:spacing w:val="-1"/>
            <w:sz w:val="16"/>
          </w:rPr>
          <w:t>35380061</w:t>
        </w:r>
      </w:hyperlink>
      <w:r>
        <w:rPr>
          <w:spacing w:val="-1"/>
          <w:sz w:val="16"/>
        </w:rPr>
        <w:t>;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PMCID: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PMC8982003.</w:t>
      </w:r>
    </w:p>
    <w:p>
      <w:pPr>
        <w:tabs>
          <w:tab w:pos="8564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48.6pt;height:.1pt;mso-position-horizontal-relative:char;mso-position-vertical-relative:line" coordorigin="0,0" coordsize="2972,2">
            <v:shape style="position:absolute;left:0;top:0;width:2972;height:2" coordorigin="0,0" coordsize="2972,0" path="m2972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9" w:lineRule="auto" w:before="51" w:after="0"/>
        <w:ind w:left="3849" w:right="234" w:hanging="333"/>
        <w:jc w:val="both"/>
        <w:rPr>
          <w:sz w:val="16"/>
        </w:rPr>
      </w:pPr>
      <w:r>
        <w:rPr/>
        <w:pict>
          <v:shape style="position:absolute;margin-left:280.516998pt;margin-top:30.180931pt;width:123.75pt;height:.1pt;mso-position-horizontal-relative:page;mso-position-vertical-relative:paragraph;z-index:15784960" coordorigin="5610,604" coordsize="2475,0" path="m8084,604l5610,604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9.675995pt;margin-top:30.180931pt;width:34.950pt;height:.1pt;mso-position-horizontal-relative:page;mso-position-vertical-relative:paragraph;z-index:15785472" coordorigin="8594,604" coordsize="699,0" path="m9292,604l8594,604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Almohideb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M.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Associations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Angiotensin-Converting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Enzyme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Gene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Insertion/Deletion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(ACE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Gene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I/</w:t>
      </w:r>
      <w:r>
        <w:rPr>
          <w:sz w:val="16"/>
        </w:rPr>
        <w:t> </w:t>
      </w:r>
      <w:r>
        <w:rPr>
          <w:spacing w:val="-2"/>
          <w:sz w:val="16"/>
        </w:rPr>
        <w:t>D)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Polymorphism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With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Vitiligo: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Updated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Systematic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Review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Meta-Analysis.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Cureus.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2020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May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10;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12(5):e8046.</w:t>
      </w:r>
      <w:r>
        <w:rPr>
          <w:spacing w:val="-10"/>
          <w:sz w:val="16"/>
        </w:rPr>
        <w:t> </w:t>
      </w:r>
      <w:hyperlink r:id="rId26">
        <w:r>
          <w:rPr>
            <w:color w:val="3E65AC"/>
            <w:spacing w:val="-2"/>
            <w:sz w:val="16"/>
          </w:rPr>
          <w:t>https://doi.org/10.7759/cureus.8046</w:t>
        </w:r>
        <w:r>
          <w:rPr>
            <w:color w:val="3E65AC"/>
            <w:spacing w:val="-10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1"/>
          <w:sz w:val="16"/>
        </w:rPr>
        <w:t> </w:t>
      </w:r>
      <w:hyperlink r:id="rId27">
        <w:r>
          <w:rPr>
            <w:color w:val="3E65AC"/>
            <w:spacing w:val="-1"/>
            <w:sz w:val="16"/>
          </w:rPr>
          <w:t>32528781</w:t>
        </w:r>
      </w:hyperlink>
      <w:r>
        <w:rPr>
          <w:spacing w:val="-1"/>
          <w:sz w:val="16"/>
        </w:rPr>
        <w:t>;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PMCID: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PMC7282372.</w:t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67" w:after="0"/>
        <w:ind w:left="3849" w:right="448" w:hanging="333"/>
        <w:jc w:val="left"/>
        <w:rPr>
          <w:sz w:val="16"/>
        </w:rPr>
      </w:pPr>
      <w:r>
        <w:rPr>
          <w:spacing w:val="-2"/>
          <w:sz w:val="16"/>
        </w:rPr>
        <w:t>Ezzedine</w:t>
      </w:r>
      <w:r>
        <w:rPr>
          <w:spacing w:val="-13"/>
          <w:sz w:val="16"/>
        </w:rPr>
        <w:t> </w:t>
      </w:r>
      <w:r>
        <w:rPr>
          <w:spacing w:val="-2"/>
          <w:sz w:val="16"/>
        </w:rPr>
        <w:t>K,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Eleftheriadou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V,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Whitton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M,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van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Geel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N.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Vitiligo.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Lancet.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2015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Jul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4;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386(9988):74–84.</w:t>
      </w:r>
      <w:r>
        <w:rPr>
          <w:spacing w:val="-42"/>
          <w:sz w:val="16"/>
        </w:rPr>
        <w:t> </w:t>
      </w:r>
      <w:hyperlink r:id="rId28">
        <w:r>
          <w:rPr>
            <w:color w:val="3E65AC"/>
            <w:spacing w:val="-2"/>
            <w:sz w:val="16"/>
          </w:rPr>
          <w:t>https://doi.org/10.1016/S0140-6736(14)60763-7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pacing w:val="-1"/>
          <w:sz w:val="16"/>
        </w:rPr>
        <w:t>Epub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2015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Jan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15.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PMID:</w:t>
      </w:r>
      <w:r>
        <w:rPr>
          <w:spacing w:val="-10"/>
          <w:sz w:val="16"/>
        </w:rPr>
        <w:t> </w:t>
      </w:r>
      <w:hyperlink r:id="rId29">
        <w:r>
          <w:rPr>
            <w:color w:val="3E65AC"/>
            <w:spacing w:val="-1"/>
            <w:sz w:val="16"/>
          </w:rPr>
          <w:t>25596811</w:t>
        </w:r>
      </w:hyperlink>
      <w:r>
        <w:rPr>
          <w:spacing w:val="-1"/>
          <w:sz w:val="16"/>
        </w:rPr>
        <w:t>.</w:t>
      </w:r>
    </w:p>
    <w:p>
      <w:pPr>
        <w:tabs>
          <w:tab w:pos="9009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66.1pt;height:.1pt;mso-position-horizontal-relative:char;mso-position-vertical-relative:line" coordorigin="0,0" coordsize="3322,2">
            <v:shape style="position:absolute;left:0;top:0;width:3322;height:2" coordorigin="0,0" coordsize="3322,0" path="m3321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1" w:after="0"/>
        <w:ind w:left="3849" w:right="144" w:hanging="333"/>
        <w:jc w:val="left"/>
        <w:rPr>
          <w:sz w:val="16"/>
        </w:rPr>
      </w:pPr>
      <w:r>
        <w:rPr/>
        <w:pict>
          <v:shape style="position:absolute;margin-left:496.175995pt;margin-top:20.599417pt;width:60.85pt;height:.1pt;mso-position-horizontal-relative:page;mso-position-vertical-relative:paragraph;z-index:-16682496" coordorigin="9924,412" coordsize="1217,0" path="m11140,412l9924,412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Ezzedine</w:t>
      </w:r>
      <w:r>
        <w:rPr>
          <w:spacing w:val="-13"/>
          <w:sz w:val="16"/>
        </w:rPr>
        <w:t> </w:t>
      </w:r>
      <w:r>
        <w:rPr>
          <w:spacing w:val="-2"/>
          <w:sz w:val="16"/>
        </w:rPr>
        <w:t>K,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Eleftheriadou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V,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Jones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H,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Bibeau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K,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Kuo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FI,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Sturm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D,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et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al.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Psychosocial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Effects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Vitiligo:</w:t>
      </w:r>
      <w:r>
        <w:rPr>
          <w:spacing w:val="-41"/>
          <w:sz w:val="16"/>
        </w:rPr>
        <w:t> </w:t>
      </w:r>
      <w:r>
        <w:rPr>
          <w:spacing w:val="-2"/>
          <w:sz w:val="16"/>
        </w:rPr>
        <w:t>A Systematic Literature </w:t>
      </w:r>
      <w:r>
        <w:rPr>
          <w:spacing w:val="-1"/>
          <w:sz w:val="16"/>
        </w:rPr>
        <w:t>Review. Am J Clin Dermatol. 2021 Nov; 22(6):757–774. </w:t>
      </w:r>
      <w:hyperlink r:id="rId30">
        <w:r>
          <w:rPr>
            <w:color w:val="3E65AC"/>
            <w:spacing w:val="-1"/>
            <w:sz w:val="16"/>
          </w:rPr>
          <w:t>https://doi.org/10.</w:t>
        </w:r>
      </w:hyperlink>
      <w:r>
        <w:rPr>
          <w:color w:val="3E65AC"/>
          <w:sz w:val="16"/>
        </w:rPr>
        <w:t> </w:t>
      </w:r>
      <w:hyperlink r:id="rId30">
        <w:bookmarkStart w:name="_bookmark57" w:id="59"/>
        <w:bookmarkEnd w:id="59"/>
        <w:r>
          <w:rPr>
            <w:color w:val="3E65AC"/>
            <w:spacing w:val="-2"/>
            <w:sz w:val="16"/>
          </w:rPr>
          <w:t>1007/s4</w:t>
        </w:r>
        <w:r>
          <w:rPr>
            <w:color w:val="3E65AC"/>
            <w:spacing w:val="-2"/>
            <w:sz w:val="16"/>
          </w:rPr>
          <w:t>0257-021-00631-6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pacing w:val="-2"/>
          <w:sz w:val="16"/>
        </w:rPr>
        <w:t>Epub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2021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Sep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23.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PMID:</w:t>
      </w:r>
      <w:r>
        <w:rPr>
          <w:spacing w:val="-11"/>
          <w:sz w:val="16"/>
        </w:rPr>
        <w:t> </w:t>
      </w:r>
      <w:hyperlink r:id="rId31">
        <w:r>
          <w:rPr>
            <w:color w:val="3E65AC"/>
            <w:spacing w:val="-1"/>
            <w:sz w:val="16"/>
          </w:rPr>
          <w:t>34554406</w:t>
        </w:r>
      </w:hyperlink>
      <w:r>
        <w:rPr>
          <w:spacing w:val="-1"/>
          <w:sz w:val="16"/>
        </w:rPr>
        <w:t>;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PMCID: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PMC8566637.</w:t>
      </w:r>
    </w:p>
    <w:p>
      <w:pPr>
        <w:tabs>
          <w:tab w:pos="7566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92.6pt;height:.1pt;mso-position-horizontal-relative:char;mso-position-vertical-relative:line" coordorigin="0,0" coordsize="1852,2">
            <v:shape style="position:absolute;left:0;top:0;width:1852;height:2" coordorigin="0,0" coordsize="1852,0" path="m1852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pt;height:.1pt;mso-position-horizontal-relative:char;mso-position-vertical-relative:line" coordorigin="0,0" coordsize="698,2">
            <v:shape style="position:absolute;left:0;top:0;width:698;height:2" coordorigin="0,0" coordsize="698,0" path="m697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1" w:after="0"/>
        <w:ind w:left="3849" w:right="138" w:hanging="333"/>
        <w:jc w:val="both"/>
        <w:rPr>
          <w:sz w:val="16"/>
        </w:rPr>
      </w:pPr>
      <w:r>
        <w:rPr/>
        <w:pict>
          <v:shape style="position:absolute;margin-left:525.090027pt;margin-top:20.656595pt;width:49.9pt;height:.1pt;mso-position-horizontal-relative:page;mso-position-vertical-relative:paragraph;z-index:-16681984" coordorigin="10502,413" coordsize="998,0" path="m11500,413l10502,413e" filled="true" fillcolor="#3e65ac" stroked="false">
            <v:path arrowok="t"/>
            <v:fill type="solid"/>
            <w10:wrap type="none"/>
          </v:shape>
        </w:pict>
      </w:r>
      <w:r>
        <w:rPr>
          <w:w w:val="95"/>
          <w:sz w:val="16"/>
        </w:rPr>
        <w:t>Kussainova A, Kassym L, Akhmetova A, Glushkova N, Sabirov U, Adilgozhina S, et al. Vitiligo and anxi-</w:t>
      </w:r>
      <w:r>
        <w:rPr>
          <w:spacing w:val="1"/>
          <w:w w:val="95"/>
          <w:sz w:val="16"/>
        </w:rPr>
        <w:t> </w:t>
      </w:r>
      <w:r>
        <w:rPr>
          <w:spacing w:val="-2"/>
          <w:sz w:val="16"/>
        </w:rPr>
        <w:t>ety: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A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systematic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review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meta-analysis.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PLoS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One.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2020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Nov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10;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15(11):e0241445.</w:t>
      </w:r>
      <w:r>
        <w:rPr>
          <w:spacing w:val="-12"/>
          <w:sz w:val="16"/>
        </w:rPr>
        <w:t> </w:t>
      </w:r>
      <w:hyperlink r:id="rId32">
        <w:r>
          <w:rPr>
            <w:color w:val="3E65AC"/>
            <w:spacing w:val="-1"/>
            <w:sz w:val="16"/>
          </w:rPr>
          <w:t>https://doi.org/</w:t>
        </w:r>
      </w:hyperlink>
      <w:r>
        <w:rPr>
          <w:color w:val="3E65AC"/>
          <w:spacing w:val="-42"/>
          <w:sz w:val="16"/>
        </w:rPr>
        <w:t> </w:t>
      </w:r>
      <w:hyperlink r:id="rId32">
        <w:bookmarkStart w:name="_bookmark58" w:id="60"/>
        <w:bookmarkEnd w:id="60"/>
        <w:r>
          <w:rPr>
            <w:color w:val="3E65AC"/>
            <w:spacing w:val="-2"/>
            <w:sz w:val="16"/>
          </w:rPr>
          <w:t>10.1371</w:t>
        </w:r>
        <w:r>
          <w:rPr>
            <w:color w:val="3E65AC"/>
            <w:spacing w:val="-2"/>
            <w:sz w:val="16"/>
          </w:rPr>
          <w:t>/journal.pone.0241445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pacing w:val="-2"/>
          <w:sz w:val="16"/>
        </w:rPr>
        <w:t>PMID:</w:t>
      </w:r>
      <w:r>
        <w:rPr>
          <w:spacing w:val="-11"/>
          <w:sz w:val="16"/>
        </w:rPr>
        <w:t> </w:t>
      </w:r>
      <w:hyperlink r:id="rId33">
        <w:r>
          <w:rPr>
            <w:color w:val="3E65AC"/>
            <w:spacing w:val="-1"/>
            <w:sz w:val="16"/>
          </w:rPr>
          <w:t>33170870</w:t>
        </w:r>
      </w:hyperlink>
      <w:r>
        <w:rPr>
          <w:spacing w:val="-1"/>
          <w:sz w:val="16"/>
        </w:rPr>
        <w:t>;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PMCID: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PMC7654800.</w:t>
      </w:r>
    </w:p>
    <w:p>
      <w:pPr>
        <w:tabs>
          <w:tab w:pos="6489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06.55pt;height:.1pt;mso-position-horizontal-relative:char;mso-position-vertical-relative:line" coordorigin="0,0" coordsize="2131,2">
            <v:shape style="position:absolute;left:0;top:0;width:2131;height:2" coordorigin="0,0" coordsize="2131,0" path="m2131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pt;height:.1pt;mso-position-horizontal-relative:char;mso-position-vertical-relative:line" coordorigin="0,0" coordsize="698,2">
            <v:shape style="position:absolute;left:0;top:0;width:698;height:2" coordorigin="0,0" coordsize="698,0" path="m697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2" w:after="0"/>
        <w:ind w:left="3849" w:right="254" w:hanging="333"/>
        <w:jc w:val="left"/>
        <w:rPr>
          <w:sz w:val="16"/>
        </w:rPr>
      </w:pPr>
      <w:r>
        <w:rPr/>
        <w:pict>
          <v:shape style="position:absolute;margin-left:397.756989pt;margin-top:20.648979pt;width:115.45pt;height:.1pt;mso-position-horizontal-relative:page;mso-position-vertical-relative:paragraph;z-index:-16681472" coordorigin="7955,413" coordsize="2309,0" path="m10264,413l7955,413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Simons RE, Zevy DL, Jafferany </w:t>
      </w:r>
      <w:r>
        <w:rPr>
          <w:spacing w:val="-1"/>
          <w:sz w:val="16"/>
        </w:rPr>
        <w:t>M. Psychodermatology of vitiligo: Psychological impact and conse-</w:t>
      </w:r>
      <w:r>
        <w:rPr>
          <w:sz w:val="16"/>
        </w:rPr>
        <w:t> </w:t>
      </w:r>
      <w:bookmarkStart w:name="_bookmark59" w:id="61"/>
      <w:bookmarkEnd w:id="61"/>
      <w:r>
        <w:rPr>
          <w:spacing w:val="-2"/>
          <w:sz w:val="16"/>
        </w:rPr>
        <w:t>quences</w:t>
      </w:r>
      <w:r>
        <w:rPr>
          <w:spacing w:val="-2"/>
          <w:sz w:val="16"/>
        </w:rPr>
        <w:t>.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Dermatol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Ther.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2020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May;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33(3):e13418.</w:t>
      </w:r>
      <w:r>
        <w:rPr>
          <w:spacing w:val="-11"/>
          <w:sz w:val="16"/>
        </w:rPr>
        <w:t> </w:t>
      </w:r>
      <w:hyperlink r:id="rId34">
        <w:r>
          <w:rPr>
            <w:color w:val="3E65AC"/>
            <w:spacing w:val="-1"/>
            <w:sz w:val="16"/>
          </w:rPr>
          <w:t>https://doi.org/10.1111/dth.13418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pacing w:val="-1"/>
          <w:sz w:val="16"/>
        </w:rPr>
        <w:t>Epub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2020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May</w:t>
      </w:r>
      <w:r>
        <w:rPr>
          <w:spacing w:val="-42"/>
          <w:sz w:val="16"/>
        </w:rPr>
        <w:t> </w:t>
      </w:r>
      <w:r>
        <w:rPr>
          <w:sz w:val="16"/>
        </w:rPr>
        <w:t>4.</w:t>
      </w:r>
      <w:r>
        <w:rPr>
          <w:spacing w:val="-12"/>
          <w:sz w:val="16"/>
        </w:rPr>
        <w:t> </w:t>
      </w:r>
      <w:r>
        <w:rPr>
          <w:sz w:val="16"/>
        </w:rPr>
        <w:t>PMID:</w:t>
      </w:r>
      <w:r>
        <w:rPr>
          <w:spacing w:val="-11"/>
          <w:sz w:val="16"/>
        </w:rPr>
        <w:t> </w:t>
      </w:r>
      <w:hyperlink r:id="rId35">
        <w:r>
          <w:rPr>
            <w:color w:val="3E65AC"/>
            <w:sz w:val="16"/>
          </w:rPr>
          <w:t>32297399</w:t>
        </w:r>
      </w:hyperlink>
      <w:r>
        <w:rPr>
          <w:sz w:val="16"/>
        </w:rPr>
        <w:t>.</w:t>
      </w:r>
    </w:p>
    <w:p>
      <w:pPr>
        <w:pStyle w:val="BodyText"/>
        <w:spacing w:line="20" w:lineRule="exact"/>
        <w:ind w:left="4491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34.9pt;height:.1pt;mso-position-horizontal-relative:char;mso-position-vertical-relative:line" coordorigin="0,0" coordsize="698,2">
            <v:shape style="position:absolute;left:0;top:0;width:698;height:2" coordorigin="0,0" coordsize="698,0" path="m697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9" w:lineRule="auto" w:before="51" w:after="0"/>
        <w:ind w:left="3849" w:right="121" w:hanging="333"/>
        <w:jc w:val="left"/>
        <w:rPr>
          <w:sz w:val="16"/>
        </w:rPr>
      </w:pPr>
      <w:r>
        <w:rPr/>
        <w:pict>
          <v:shape style="position:absolute;margin-left:552.132019pt;margin-top:11.131979pt;width:23.7pt;height:.1pt;mso-position-horizontal-relative:page;mso-position-vertical-relative:paragraph;z-index:-16680960" coordorigin="11043,223" coordsize="474,0" path="m11517,223l11043,223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1.498993pt;margin-top:20.656979pt;width:107.45pt;height:.1pt;mso-position-horizontal-relative:page;mso-position-vertical-relative:paragraph;z-index:15788032" coordorigin="4430,413" coordsize="2149,0" path="m6579,413l4430,413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4.386993pt;margin-top:20.656979pt;width:34.950pt;height:.1pt;mso-position-horizontal-relative:page;mso-position-vertical-relative:paragraph;z-index:15788544" coordorigin="7088,413" coordsize="699,0" path="m7786,413l7088,413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Spritz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R.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A.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The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Genetics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Vitiligo.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Journal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Investigative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Dermatology,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2011,</w:t>
      </w:r>
      <w:r>
        <w:rPr>
          <w:spacing w:val="24"/>
          <w:sz w:val="16"/>
        </w:rPr>
        <w:t> </w:t>
      </w:r>
      <w:r>
        <w:rPr>
          <w:spacing w:val="-1"/>
          <w:sz w:val="16"/>
        </w:rPr>
        <w:t>131,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E18–E20.</w:t>
      </w:r>
      <w:r>
        <w:rPr>
          <w:spacing w:val="-12"/>
          <w:sz w:val="16"/>
        </w:rPr>
        <w:t> </w:t>
      </w:r>
      <w:hyperlink r:id="rId36">
        <w:r>
          <w:rPr>
            <w:color w:val="3E65AC"/>
            <w:spacing w:val="-1"/>
            <w:sz w:val="16"/>
          </w:rPr>
          <w:t>https://</w:t>
        </w:r>
      </w:hyperlink>
      <w:r>
        <w:rPr>
          <w:color w:val="3E65AC"/>
          <w:spacing w:val="-41"/>
          <w:sz w:val="16"/>
        </w:rPr>
        <w:t> </w:t>
      </w:r>
      <w:hyperlink r:id="rId36">
        <w:bookmarkStart w:name="_bookmark60" w:id="62"/>
        <w:bookmarkEnd w:id="62"/>
        <w:r>
          <w:rPr>
            <w:color w:val="3E65AC"/>
            <w:sz w:val="16"/>
          </w:rPr>
          <w:t>doi.org/10.1</w:t>
        </w:r>
        <w:r>
          <w:rPr>
            <w:color w:val="3E65AC"/>
            <w:sz w:val="16"/>
          </w:rPr>
          <w:t>038/skinbio.2011.7</w:t>
        </w:r>
        <w:r>
          <w:rPr>
            <w:color w:val="3E65AC"/>
            <w:spacing w:val="-13"/>
            <w:sz w:val="16"/>
          </w:rPr>
          <w:t> </w:t>
        </w:r>
      </w:hyperlink>
      <w:r>
        <w:rPr>
          <w:sz w:val="16"/>
        </w:rPr>
        <w:t>PMID:</w:t>
      </w:r>
      <w:r>
        <w:rPr>
          <w:spacing w:val="-12"/>
          <w:sz w:val="16"/>
        </w:rPr>
        <w:t> </w:t>
      </w:r>
      <w:hyperlink r:id="rId37">
        <w:r>
          <w:rPr>
            <w:color w:val="3E65AC"/>
            <w:sz w:val="16"/>
          </w:rPr>
          <w:t>22094401</w:t>
        </w:r>
      </w:hyperlink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67" w:after="0"/>
        <w:ind w:left="3849" w:right="329" w:hanging="333"/>
        <w:jc w:val="left"/>
        <w:rPr>
          <w:sz w:val="16"/>
        </w:rPr>
      </w:pPr>
      <w:r>
        <w:rPr/>
        <w:pict>
          <v:shape style="position:absolute;margin-left:317.253998pt;margin-top:21.457083pt;width:122.1pt;height:.1pt;mso-position-horizontal-relative:page;mso-position-vertical-relative:paragraph;z-index:-16679424" coordorigin="6345,429" coordsize="2442,0" path="m8786,429l6345,429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8.151001pt;margin-top:21.457083pt;width:34.950pt;height:.1pt;mso-position-horizontal-relative:page;mso-position-vertical-relative:paragraph;z-index:-16678912" coordorigin="10563,429" coordsize="699,0" path="m11261,429l10563,429e" filled="true" fillcolor="#3e65ac" stroked="false">
            <v:path arrowok="t"/>
            <v:fill type="solid"/>
            <w10:wrap type="none"/>
          </v:shape>
        </w:pict>
      </w:r>
      <w:r>
        <w:rPr>
          <w:w w:val="95"/>
          <w:sz w:val="16"/>
        </w:rPr>
        <w:t>Roberts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GHL,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Santorico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SA,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Spritz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RA.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The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genetic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architecture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vitiligo.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Pigment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Cell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Melanoma</w:t>
      </w:r>
      <w:r>
        <w:rPr>
          <w:spacing w:val="1"/>
          <w:w w:val="95"/>
          <w:sz w:val="16"/>
        </w:rPr>
        <w:t> </w:t>
      </w:r>
      <w:r>
        <w:rPr>
          <w:spacing w:val="-2"/>
          <w:sz w:val="16"/>
        </w:rPr>
        <w:t>Res.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2020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Jan;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33(1):8–15.</w:t>
      </w:r>
      <w:r>
        <w:rPr>
          <w:spacing w:val="-8"/>
          <w:sz w:val="16"/>
        </w:rPr>
        <w:t> </w:t>
      </w:r>
      <w:hyperlink r:id="rId38">
        <w:r>
          <w:rPr>
            <w:color w:val="3E65AC"/>
            <w:spacing w:val="-2"/>
            <w:sz w:val="16"/>
          </w:rPr>
          <w:t>https://doi.org/10.1111/pcmr.12848</w:t>
        </w:r>
        <w:r>
          <w:rPr>
            <w:color w:val="3E65AC"/>
            <w:spacing w:val="-8"/>
            <w:sz w:val="16"/>
          </w:rPr>
          <w:t> </w:t>
        </w:r>
      </w:hyperlink>
      <w:r>
        <w:rPr>
          <w:spacing w:val="-1"/>
          <w:sz w:val="16"/>
        </w:rPr>
        <w:t>Epub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2019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Dec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4.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PMID:</w:t>
      </w:r>
      <w:r>
        <w:rPr>
          <w:spacing w:val="-9"/>
          <w:sz w:val="16"/>
        </w:rPr>
        <w:t> </w:t>
      </w:r>
      <w:hyperlink r:id="rId39">
        <w:r>
          <w:rPr>
            <w:color w:val="3E65AC"/>
            <w:spacing w:val="-1"/>
            <w:sz w:val="16"/>
          </w:rPr>
          <w:t>31743585</w:t>
        </w:r>
      </w:hyperlink>
      <w:r>
        <w:rPr>
          <w:spacing w:val="-1"/>
          <w:sz w:val="16"/>
        </w:rPr>
        <w:t>;</w:t>
      </w:r>
      <w:r>
        <w:rPr>
          <w:spacing w:val="-42"/>
          <w:sz w:val="16"/>
        </w:rPr>
        <w:t> </w:t>
      </w:r>
      <w:bookmarkStart w:name="_bookmark61" w:id="63"/>
      <w:bookmarkEnd w:id="63"/>
      <w:r>
        <w:rPr>
          <w:sz w:val="16"/>
        </w:rPr>
        <w:t>PMCID</w:t>
      </w:r>
      <w:r>
        <w:rPr>
          <w:sz w:val="16"/>
        </w:rPr>
        <w:t>:</w:t>
      </w:r>
      <w:r>
        <w:rPr>
          <w:spacing w:val="-13"/>
          <w:sz w:val="16"/>
        </w:rPr>
        <w:t> </w:t>
      </w:r>
      <w:r>
        <w:rPr>
          <w:sz w:val="16"/>
        </w:rPr>
        <w:t>PMC6928395.</w:t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71" w:after="0"/>
        <w:ind w:left="3849" w:right="201" w:hanging="333"/>
        <w:jc w:val="left"/>
        <w:rPr>
          <w:sz w:val="16"/>
        </w:rPr>
      </w:pPr>
      <w:r>
        <w:rPr>
          <w:spacing w:val="-2"/>
          <w:sz w:val="16"/>
        </w:rPr>
        <w:t>Peters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E.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M.,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Raap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U.,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Welker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P.,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Tanaka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A.,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Matsuda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H.,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Pavlovic-Masnicosa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S.,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et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al.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Neurotrophins</w:t>
      </w:r>
      <w:r>
        <w:rPr>
          <w:spacing w:val="-41"/>
          <w:sz w:val="16"/>
        </w:rPr>
        <w:t> </w:t>
      </w:r>
      <w:r>
        <w:rPr>
          <w:w w:val="95"/>
          <w:sz w:val="16"/>
        </w:rPr>
        <w:t>act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as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neuroendocrine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regulators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skin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homeostasis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in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health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disease.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Hormone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metabolic</w:t>
      </w:r>
      <w:r>
        <w:rPr>
          <w:spacing w:val="1"/>
          <w:w w:val="95"/>
          <w:sz w:val="16"/>
        </w:rPr>
        <w:t> </w:t>
      </w:r>
      <w:bookmarkStart w:name="_bookmark62" w:id="64"/>
      <w:bookmarkEnd w:id="64"/>
      <w:r>
        <w:rPr>
          <w:w w:val="95"/>
          <w:sz w:val="16"/>
        </w:rPr>
        <w:t>researc</w:t>
      </w:r>
      <w:r>
        <w:rPr>
          <w:w w:val="95"/>
          <w:sz w:val="16"/>
        </w:rPr>
        <w:t>h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=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Hormon-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und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Stoffwechselforschung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=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Hormones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et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metabolisme,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2007,</w:t>
      </w:r>
      <w:r>
        <w:rPr>
          <w:spacing w:val="15"/>
          <w:w w:val="95"/>
          <w:sz w:val="16"/>
        </w:rPr>
        <w:t> </w:t>
      </w:r>
      <w:r>
        <w:rPr>
          <w:w w:val="95"/>
          <w:sz w:val="16"/>
        </w:rPr>
        <w:t>39(2),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110–124.</w:t>
      </w:r>
      <w:r>
        <w:rPr>
          <w:spacing w:val="1"/>
          <w:w w:val="95"/>
          <w:sz w:val="16"/>
        </w:rPr>
        <w:t> </w:t>
      </w:r>
      <w:hyperlink r:id="rId40">
        <w:r>
          <w:rPr>
            <w:color w:val="3E65AC"/>
            <w:spacing w:val="-2"/>
            <w:sz w:val="16"/>
          </w:rPr>
          <w:t>https://doi.org/10.1055/s-2007-961812</w:t>
        </w:r>
        <w:r>
          <w:rPr>
            <w:color w:val="3E65AC"/>
            <w:spacing w:val="-11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2"/>
          <w:sz w:val="16"/>
        </w:rPr>
        <w:t> </w:t>
      </w:r>
      <w:hyperlink r:id="rId41">
        <w:r>
          <w:rPr>
            <w:color w:val="3E65AC"/>
            <w:spacing w:val="-1"/>
            <w:sz w:val="16"/>
          </w:rPr>
          <w:t>17326007</w:t>
        </w:r>
      </w:hyperlink>
    </w:p>
    <w:p>
      <w:pPr>
        <w:tabs>
          <w:tab w:pos="7024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33.3pt;height:.1pt;mso-position-horizontal-relative:char;mso-position-vertical-relative:line" coordorigin="0,0" coordsize="2666,2">
            <v:shape style="position:absolute;left:0;top:0;width:2666;height:2" coordorigin="0,0" coordsize="2666,0" path="m2666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5pt;height:.1pt;mso-position-horizontal-relative:char;mso-position-vertical-relative:line" coordorigin="0,0" coordsize="700,2">
            <v:shape style="position:absolute;left:0;top:0;width:700;height:2" coordorigin="0,0" coordsize="700,0" path="m700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9" w:lineRule="auto" w:before="52" w:after="0"/>
        <w:ind w:left="3849" w:right="205" w:hanging="420"/>
        <w:jc w:val="left"/>
        <w:rPr>
          <w:sz w:val="16"/>
        </w:rPr>
      </w:pPr>
      <w:r>
        <w:rPr/>
        <w:pict>
          <v:shape style="position:absolute;margin-left:397.813995pt;margin-top:20.706778pt;width:133.35pt;height:.1pt;mso-position-horizontal-relative:page;mso-position-vertical-relative:paragraph;z-index:-16678400" coordorigin="7956,414" coordsize="2667,0" path="m10623,414l7956,414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1.498993pt;margin-top:30.230778pt;width:34.950pt;height:.1pt;mso-position-horizontal-relative:page;mso-position-vertical-relative:paragraph;z-index:15790592" coordorigin="4430,605" coordsize="699,0" path="m5128,605l4430,605e" filled="true" fillcolor="#3e65ac" stroked="false">
            <v:path arrowok="t"/>
            <v:fill type="solid"/>
            <w10:wrap type="none"/>
          </v:shape>
        </w:pict>
      </w:r>
      <w:bookmarkStart w:name="_bookmark63" w:id="65"/>
      <w:bookmarkEnd w:id="65"/>
      <w:r>
        <w:rPr/>
      </w:r>
      <w:bookmarkStart w:name="_bookmark63" w:id="66"/>
      <w:bookmarkEnd w:id="66"/>
      <w:r>
        <w:rPr>
          <w:w w:val="95"/>
          <w:sz w:val="16"/>
        </w:rPr>
        <w:t>Ziegle</w:t>
      </w:r>
      <w:r>
        <w:rPr>
          <w:w w:val="95"/>
          <w:sz w:val="16"/>
        </w:rPr>
        <w:t>r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CG,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Krug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AW,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Zouboulis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CC,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Bornstein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SR.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Corticotropin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releasing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hormone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its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function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in</w:t>
      </w:r>
      <w:r>
        <w:rPr>
          <w:spacing w:val="-39"/>
          <w:w w:val="95"/>
          <w:sz w:val="16"/>
        </w:rPr>
        <w:t> </w:t>
      </w:r>
      <w:r>
        <w:rPr>
          <w:spacing w:val="-2"/>
          <w:sz w:val="16"/>
        </w:rPr>
        <w:t>the skin. Horm Metab Res. 2007 </w:t>
      </w:r>
      <w:r>
        <w:rPr>
          <w:spacing w:val="-1"/>
          <w:sz w:val="16"/>
        </w:rPr>
        <w:t>Feb; 39(2):106–9. </w:t>
      </w:r>
      <w:hyperlink r:id="rId42">
        <w:r>
          <w:rPr>
            <w:color w:val="3E65AC"/>
            <w:spacing w:val="-1"/>
            <w:sz w:val="16"/>
          </w:rPr>
          <w:t>https://doi.org/10.1055/s-2007-961809 </w:t>
        </w:r>
      </w:hyperlink>
      <w:r>
        <w:rPr>
          <w:spacing w:val="-1"/>
          <w:sz w:val="16"/>
        </w:rPr>
        <w:t>PMID:</w:t>
      </w:r>
      <w:r>
        <w:rPr>
          <w:sz w:val="16"/>
        </w:rPr>
        <w:t> </w:t>
      </w:r>
      <w:hyperlink r:id="rId43">
        <w:bookmarkStart w:name="_bookmark64" w:id="67"/>
        <w:bookmarkEnd w:id="67"/>
        <w:r>
          <w:rPr>
            <w:color w:val="3E65AC"/>
            <w:sz w:val="16"/>
          </w:rPr>
          <w:t>17326006</w:t>
        </w:r>
      </w:hyperlink>
      <w:r>
        <w:rPr>
          <w:sz w:val="16"/>
        </w:rPr>
        <w:t>.</w:t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67" w:after="0"/>
        <w:ind w:left="3849" w:right="298" w:hanging="420"/>
        <w:jc w:val="left"/>
        <w:rPr>
          <w:sz w:val="16"/>
        </w:rPr>
      </w:pPr>
      <w:r>
        <w:rPr>
          <w:spacing w:val="-2"/>
          <w:sz w:val="16"/>
        </w:rPr>
        <w:t>Hempstead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BL.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Brain-Derived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Neurotrophic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Factor: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Three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Ligands,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Many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Actions.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Trans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Am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Clin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Cli-</w:t>
      </w:r>
      <w:r>
        <w:rPr>
          <w:spacing w:val="-41"/>
          <w:sz w:val="16"/>
        </w:rPr>
        <w:t> </w:t>
      </w:r>
      <w:r>
        <w:rPr>
          <w:spacing w:val="-2"/>
          <w:sz w:val="16"/>
        </w:rPr>
        <w:t>matol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Assoc.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2015;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126:9–19.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PMID:</w:t>
      </w:r>
      <w:r>
        <w:rPr>
          <w:spacing w:val="-11"/>
          <w:sz w:val="16"/>
        </w:rPr>
        <w:t> </w:t>
      </w:r>
      <w:hyperlink r:id="rId44">
        <w:r>
          <w:rPr>
            <w:color w:val="3E65AC"/>
            <w:spacing w:val="-1"/>
            <w:sz w:val="16"/>
          </w:rPr>
          <w:t>26330656</w:t>
        </w:r>
      </w:hyperlink>
      <w:r>
        <w:rPr>
          <w:spacing w:val="-1"/>
          <w:sz w:val="16"/>
        </w:rPr>
        <w:t>;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PMCID: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PMC4530710.</w:t>
      </w:r>
    </w:p>
    <w:p>
      <w:pPr>
        <w:pStyle w:val="BodyText"/>
        <w:spacing w:line="20" w:lineRule="exact"/>
        <w:ind w:left="6415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1" w:after="0"/>
        <w:ind w:left="3849" w:right="132" w:hanging="420"/>
        <w:jc w:val="left"/>
        <w:rPr>
          <w:sz w:val="16"/>
        </w:rPr>
      </w:pPr>
      <w:r>
        <w:rPr>
          <w:spacing w:val="-2"/>
          <w:sz w:val="16"/>
        </w:rPr>
        <w:t>Raap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U,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Werfel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T,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Goltz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Deneka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N,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Langer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K,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Bruder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M,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et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al.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Circulating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levels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brain-derived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neu-</w:t>
      </w:r>
      <w:r>
        <w:rPr>
          <w:spacing w:val="-42"/>
          <w:sz w:val="16"/>
        </w:rPr>
        <w:t> </w:t>
      </w:r>
      <w:bookmarkStart w:name="_bookmark65" w:id="68"/>
      <w:bookmarkEnd w:id="68"/>
      <w:r>
        <w:rPr>
          <w:w w:val="95"/>
          <w:sz w:val="16"/>
        </w:rPr>
        <w:t>rotrophi</w:t>
      </w:r>
      <w:r>
        <w:rPr>
          <w:w w:val="95"/>
          <w:sz w:val="16"/>
        </w:rPr>
        <w:t>c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factor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correlate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with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disease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severity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in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the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intrinsic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type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atopic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dermatitis.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Allergy.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2006</w:t>
      </w:r>
      <w:r>
        <w:rPr>
          <w:spacing w:val="1"/>
          <w:w w:val="95"/>
          <w:sz w:val="16"/>
        </w:rPr>
        <w:t> </w:t>
      </w:r>
      <w:r>
        <w:rPr>
          <w:spacing w:val="-2"/>
          <w:sz w:val="16"/>
        </w:rPr>
        <w:t>Dec;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61(12):1416–8.</w:t>
      </w:r>
      <w:r>
        <w:rPr>
          <w:spacing w:val="-10"/>
          <w:sz w:val="16"/>
        </w:rPr>
        <w:t> </w:t>
      </w:r>
      <w:hyperlink r:id="rId45">
        <w:r>
          <w:rPr>
            <w:color w:val="3E65AC"/>
            <w:spacing w:val="-2"/>
            <w:sz w:val="16"/>
          </w:rPr>
          <w:t>https://doi.org/10.1111/j.1398-9995.2006.01210.x</w:t>
        </w:r>
        <w:r>
          <w:rPr>
            <w:color w:val="3E65AC"/>
            <w:spacing w:val="-11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0"/>
          <w:sz w:val="16"/>
        </w:rPr>
        <w:t> </w:t>
      </w:r>
      <w:hyperlink r:id="rId46">
        <w:r>
          <w:rPr>
            <w:color w:val="3E65AC"/>
            <w:spacing w:val="-1"/>
            <w:sz w:val="16"/>
          </w:rPr>
          <w:t>17073871</w:t>
        </w:r>
      </w:hyperlink>
      <w:r>
        <w:rPr>
          <w:spacing w:val="-1"/>
          <w:sz w:val="16"/>
        </w:rPr>
        <w:t>.</w:t>
      </w:r>
    </w:p>
    <w:p>
      <w:pPr>
        <w:tabs>
          <w:tab w:pos="9253" w:val="left" w:leader="none"/>
        </w:tabs>
        <w:spacing w:line="20" w:lineRule="exact"/>
        <w:ind w:left="5310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71.75pt;height:.1pt;mso-position-horizontal-relative:char;mso-position-vertical-relative:line" coordorigin="0,0" coordsize="3435,2">
            <v:shape style="position:absolute;left:0;top:0;width:3435;height:2" coordorigin="0,0" coordsize="3435,0" path="m3434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1" w:after="0"/>
        <w:ind w:left="3849" w:right="222" w:hanging="420"/>
        <w:jc w:val="both"/>
        <w:rPr>
          <w:sz w:val="16"/>
        </w:rPr>
      </w:pPr>
      <w:r>
        <w:rPr/>
        <w:pict>
          <v:shape style="position:absolute;margin-left:425.140015pt;margin-top:20.657267pt;width:143.8pt;height:.1pt;mso-position-horizontal-relative:page;mso-position-vertical-relative:paragraph;z-index:-16677376" coordorigin="8503,413" coordsize="2876,0" path="m11378,413l8503,413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Panchaprateep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R,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Korkij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W,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Asawanonda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Brain-derived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nerve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factor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neurotrophins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in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androge-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netic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alopecia.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Br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J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Dermatol.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2011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Nov;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165(5):997–1002.</w:t>
      </w:r>
      <w:r>
        <w:rPr>
          <w:spacing w:val="-11"/>
          <w:sz w:val="16"/>
        </w:rPr>
        <w:t> </w:t>
      </w:r>
      <w:hyperlink r:id="rId47">
        <w:r>
          <w:rPr>
            <w:color w:val="3E65AC"/>
            <w:spacing w:val="-1"/>
            <w:sz w:val="16"/>
          </w:rPr>
          <w:t>https://doi.org/10.1111/j.1365-2133.2011.</w:t>
        </w:r>
      </w:hyperlink>
      <w:r>
        <w:rPr>
          <w:color w:val="3E65AC"/>
          <w:sz w:val="16"/>
        </w:rPr>
        <w:t> </w:t>
      </w:r>
      <w:hyperlink r:id="rId47">
        <w:r>
          <w:rPr>
            <w:color w:val="3E65AC"/>
            <w:sz w:val="16"/>
          </w:rPr>
          <w:t>10514.x</w:t>
        </w:r>
        <w:r>
          <w:rPr>
            <w:color w:val="3E65AC"/>
            <w:spacing w:val="-14"/>
            <w:sz w:val="16"/>
          </w:rPr>
          <w:t> </w:t>
        </w:r>
      </w:hyperlink>
      <w:r>
        <w:rPr>
          <w:sz w:val="16"/>
        </w:rPr>
        <w:t>Epub</w:t>
      </w:r>
      <w:r>
        <w:rPr>
          <w:spacing w:val="-12"/>
          <w:sz w:val="16"/>
        </w:rPr>
        <w:t> </w:t>
      </w:r>
      <w:r>
        <w:rPr>
          <w:sz w:val="16"/>
        </w:rPr>
        <w:t>2011</w:t>
      </w:r>
      <w:r>
        <w:rPr>
          <w:spacing w:val="-12"/>
          <w:sz w:val="16"/>
        </w:rPr>
        <w:t> </w:t>
      </w:r>
      <w:r>
        <w:rPr>
          <w:sz w:val="16"/>
        </w:rPr>
        <w:t>Sep</w:t>
      </w:r>
      <w:r>
        <w:rPr>
          <w:spacing w:val="-11"/>
          <w:sz w:val="16"/>
        </w:rPr>
        <w:t> </w:t>
      </w:r>
      <w:r>
        <w:rPr>
          <w:sz w:val="16"/>
        </w:rPr>
        <w:t>29.</w:t>
      </w:r>
      <w:r>
        <w:rPr>
          <w:spacing w:val="-11"/>
          <w:sz w:val="16"/>
        </w:rPr>
        <w:t> </w:t>
      </w:r>
      <w:r>
        <w:rPr>
          <w:sz w:val="16"/>
        </w:rPr>
        <w:t>PMID:</w:t>
      </w:r>
      <w:r>
        <w:rPr>
          <w:spacing w:val="-12"/>
          <w:sz w:val="16"/>
        </w:rPr>
        <w:t> </w:t>
      </w:r>
      <w:hyperlink r:id="rId48">
        <w:r>
          <w:rPr>
            <w:color w:val="3E65AC"/>
            <w:sz w:val="16"/>
          </w:rPr>
          <w:t>21729031</w:t>
        </w:r>
      </w:hyperlink>
      <w:r>
        <w:rPr>
          <w:sz w:val="16"/>
        </w:rPr>
        <w:t>.</w:t>
      </w:r>
    </w:p>
    <w:p>
      <w:pPr>
        <w:tabs>
          <w:tab w:pos="6275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28.05pt;height:.1pt;mso-position-horizontal-relative:char;mso-position-vertical-relative:line" coordorigin="0,0" coordsize="561,2">
            <v:shape style="position:absolute;left:0;top:0;width:561;height:2" coordorigin="0,0" coordsize="561,0" path="m560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pt;height:.1pt;mso-position-horizontal-relative:char;mso-position-vertical-relative:line" coordorigin="0,0" coordsize="698,2">
            <v:shape style="position:absolute;left:0;top:0;width:698;height:2" coordorigin="0,0" coordsize="698,0" path="m697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2" w:after="0"/>
        <w:ind w:left="3849" w:right="424" w:hanging="420"/>
        <w:jc w:val="both"/>
        <w:rPr>
          <w:sz w:val="16"/>
        </w:rPr>
      </w:pPr>
      <w:r>
        <w:rPr>
          <w:spacing w:val="-2"/>
          <w:sz w:val="16"/>
        </w:rPr>
        <w:t>Yanik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ME,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Erfan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G,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Albayrak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Y,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Aydin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M,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Kulac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M,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Kuloglu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M.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Reduced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serum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brain-derived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neuro-</w:t>
      </w:r>
      <w:r>
        <w:rPr>
          <w:spacing w:val="-42"/>
          <w:sz w:val="16"/>
        </w:rPr>
        <w:t> </w:t>
      </w:r>
      <w:r>
        <w:rPr>
          <w:w w:val="95"/>
          <w:sz w:val="16"/>
        </w:rPr>
        <w:t>trophic factor in patients with first onset vitiligo. Neuropsychiatr Dis Treat. 2014 Dec 12; 10:2361–7.</w:t>
      </w:r>
      <w:r>
        <w:rPr>
          <w:spacing w:val="1"/>
          <w:w w:val="95"/>
          <w:sz w:val="16"/>
        </w:rPr>
        <w:t> </w:t>
      </w:r>
      <w:hyperlink r:id="rId49">
        <w:r>
          <w:rPr>
            <w:color w:val="3E65AC"/>
            <w:spacing w:val="-2"/>
            <w:sz w:val="16"/>
          </w:rPr>
          <w:t>https://doi.org/10.2147/NDT.S74826</w:t>
        </w:r>
        <w:r>
          <w:rPr>
            <w:color w:val="3E65AC"/>
            <w:spacing w:val="-11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1"/>
          <w:sz w:val="16"/>
        </w:rPr>
        <w:t> </w:t>
      </w:r>
      <w:hyperlink r:id="rId50">
        <w:r>
          <w:rPr>
            <w:color w:val="3E65AC"/>
            <w:spacing w:val="-1"/>
            <w:sz w:val="16"/>
          </w:rPr>
          <w:t>25540586</w:t>
        </w:r>
      </w:hyperlink>
      <w:r>
        <w:rPr>
          <w:spacing w:val="-1"/>
          <w:sz w:val="16"/>
        </w:rPr>
        <w:t>;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PMCID: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PMC4270357.</w:t>
      </w:r>
    </w:p>
    <w:p>
      <w:pPr>
        <w:tabs>
          <w:tab w:pos="6879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26.05pt;height:.1pt;mso-position-horizontal-relative:char;mso-position-vertical-relative:line" coordorigin="0,0" coordsize="2521,2">
            <v:shape style="position:absolute;left:0;top:0;width:2521;height:2" coordorigin="0,0" coordsize="2521,0" path="m2521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9" w:lineRule="auto" w:before="51" w:after="0"/>
        <w:ind w:left="3849" w:right="119" w:hanging="420"/>
        <w:jc w:val="left"/>
        <w:rPr>
          <w:sz w:val="16"/>
        </w:rPr>
      </w:pPr>
      <w:r>
        <w:rPr/>
        <w:pict>
          <v:shape style="position:absolute;margin-left:313.682007pt;margin-top:20.657873pt;width:106.7pt;height:.1pt;mso-position-horizontal-relative:page;mso-position-vertical-relative:paragraph;z-index:15791616" coordorigin="6274,413" coordsize="2134,0" path="m8408,413l6274,413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5.833008pt;margin-top:20.657873pt;width:34.950pt;height:.1pt;mso-position-horizontal-relative:page;mso-position-vertical-relative:paragraph;z-index:15792128" coordorigin="8917,413" coordsize="699,0" path="m9615,413l8917,413e" filled="true" fillcolor="#3e65ac" stroked="false">
            <v:path arrowok="t"/>
            <v:fill type="solid"/>
            <w10:wrap type="none"/>
          </v:shape>
        </w:pict>
      </w:r>
      <w:r>
        <w:rPr>
          <w:w w:val="95"/>
          <w:sz w:val="16"/>
        </w:rPr>
        <w:t>Martinowich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K,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Manji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H,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Lu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B.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New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insights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into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BDNF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function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in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depression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anxiety.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Nat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Neurosci.</w:t>
      </w:r>
      <w:r>
        <w:rPr>
          <w:spacing w:val="-40"/>
          <w:w w:val="95"/>
          <w:sz w:val="16"/>
        </w:rPr>
        <w:t> </w:t>
      </w:r>
      <w:r>
        <w:rPr>
          <w:spacing w:val="-2"/>
          <w:sz w:val="16"/>
        </w:rPr>
        <w:t>2007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Sep;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10(9):1089–93.</w:t>
      </w:r>
      <w:r>
        <w:rPr>
          <w:spacing w:val="-11"/>
          <w:sz w:val="16"/>
        </w:rPr>
        <w:t> </w:t>
      </w:r>
      <w:hyperlink r:id="rId51">
        <w:r>
          <w:rPr>
            <w:color w:val="3E65AC"/>
            <w:spacing w:val="-2"/>
            <w:sz w:val="16"/>
          </w:rPr>
          <w:t>https://doi.org/10.1038/nn1971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0"/>
          <w:sz w:val="16"/>
        </w:rPr>
        <w:t> </w:t>
      </w:r>
      <w:hyperlink r:id="rId52">
        <w:r>
          <w:rPr>
            <w:color w:val="3E65AC"/>
            <w:spacing w:val="-1"/>
            <w:sz w:val="16"/>
          </w:rPr>
          <w:t>17726474</w:t>
        </w:r>
      </w:hyperlink>
      <w:r>
        <w:rPr>
          <w:spacing w:val="-1"/>
          <w:sz w:val="16"/>
        </w:rPr>
        <w:t>.</w:t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9" w:lineRule="auto" w:before="68" w:after="0"/>
        <w:ind w:left="3849" w:right="372" w:hanging="420"/>
        <w:jc w:val="left"/>
        <w:rPr>
          <w:sz w:val="16"/>
        </w:rPr>
      </w:pPr>
      <w:r>
        <w:rPr/>
        <w:pict>
          <v:shape style="position:absolute;margin-left:293.158997pt;margin-top:21.507944pt;width:130.25pt;height:.1pt;mso-position-horizontal-relative:page;mso-position-vertical-relative:paragraph;z-index:15792640" coordorigin="5863,430" coordsize="2605,0" path="m8468,430l5863,430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8.838013pt;margin-top:21.507944pt;width:34.950pt;height:.1pt;mso-position-horizontal-relative:page;mso-position-vertical-relative:paragraph;z-index:15793152" coordorigin="8977,430" coordsize="699,0" path="m9675,430l8977,430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Sternberg</w:t>
      </w:r>
      <w:r>
        <w:rPr>
          <w:spacing w:val="-13"/>
          <w:sz w:val="16"/>
        </w:rPr>
        <w:t> </w:t>
      </w:r>
      <w:r>
        <w:rPr>
          <w:spacing w:val="-2"/>
          <w:sz w:val="16"/>
        </w:rPr>
        <w:t>EM.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Neuroendocrine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regulation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autoimmune/inflammatory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disease.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J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Endocrinol.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2001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Jun;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169(3):429–35.</w:t>
      </w:r>
      <w:r>
        <w:rPr>
          <w:spacing w:val="-10"/>
          <w:sz w:val="16"/>
        </w:rPr>
        <w:t> </w:t>
      </w:r>
      <w:hyperlink r:id="rId53">
        <w:r>
          <w:rPr>
            <w:color w:val="3E65AC"/>
            <w:spacing w:val="-2"/>
            <w:sz w:val="16"/>
          </w:rPr>
          <w:t>https://doi.org/10.1677/joe.0.1690429</w:t>
        </w:r>
        <w:r>
          <w:rPr>
            <w:color w:val="3E65AC"/>
            <w:spacing w:val="-11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1"/>
          <w:sz w:val="16"/>
        </w:rPr>
        <w:t> </w:t>
      </w:r>
      <w:hyperlink r:id="rId54">
        <w:r>
          <w:rPr>
            <w:color w:val="3E65AC"/>
            <w:spacing w:val="-1"/>
            <w:sz w:val="16"/>
          </w:rPr>
          <w:t>11375112</w:t>
        </w:r>
      </w:hyperlink>
      <w:r>
        <w:rPr>
          <w:spacing w:val="-1"/>
          <w:sz w:val="16"/>
        </w:rPr>
        <w:t>.</w:t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67" w:after="0"/>
        <w:ind w:left="3849" w:right="129" w:hanging="420"/>
        <w:jc w:val="left"/>
        <w:rPr>
          <w:sz w:val="16"/>
        </w:rPr>
      </w:pPr>
      <w:r>
        <w:rPr/>
        <w:pict>
          <v:shape style="position:absolute;margin-left:525.543030pt;margin-top:30.926033pt;width:49.9pt;height:.1pt;mso-position-horizontal-relative:page;mso-position-vertical-relative:paragraph;z-index:-16674816" coordorigin="10511,619" coordsize="998,0" path="m11509,619l10511,619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Funasaka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Y,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Sato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H,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Chakraborty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AK,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Ohashi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Chrousos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GP,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Ichihashi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M.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Expression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proopiome-</w:t>
      </w:r>
      <w:r>
        <w:rPr>
          <w:sz w:val="16"/>
        </w:rPr>
        <w:t> </w:t>
      </w:r>
      <w:r>
        <w:rPr>
          <w:spacing w:val="-2"/>
          <w:sz w:val="16"/>
        </w:rPr>
        <w:t>lanocortin, corticotropin-releasing </w:t>
      </w:r>
      <w:r>
        <w:rPr>
          <w:spacing w:val="-1"/>
          <w:sz w:val="16"/>
        </w:rPr>
        <w:t>hormone (CRH), and CRH receptor in melanoma cells, nevus cells,</w:t>
      </w:r>
      <w:r>
        <w:rPr>
          <w:sz w:val="16"/>
        </w:rPr>
        <w:t> </w:t>
      </w:r>
      <w:r>
        <w:rPr>
          <w:spacing w:val="-2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normal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human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melanocytes.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J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Investig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Dermatol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Symp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Proc.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1999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Sep;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4(2):105–9.</w:t>
      </w:r>
      <w:r>
        <w:rPr>
          <w:spacing w:val="-11"/>
          <w:sz w:val="16"/>
        </w:rPr>
        <w:t> </w:t>
      </w:r>
      <w:hyperlink r:id="rId55">
        <w:r>
          <w:rPr>
            <w:color w:val="3E65AC"/>
            <w:spacing w:val="-1"/>
            <w:sz w:val="16"/>
          </w:rPr>
          <w:t>https://doi.org/</w:t>
        </w:r>
      </w:hyperlink>
      <w:r>
        <w:rPr>
          <w:color w:val="3E65AC"/>
          <w:spacing w:val="-41"/>
          <w:sz w:val="16"/>
        </w:rPr>
        <w:t> </w:t>
      </w:r>
      <w:hyperlink r:id="rId55">
        <w:r>
          <w:rPr>
            <w:color w:val="3E65AC"/>
            <w:sz w:val="16"/>
          </w:rPr>
          <w:t>10.1038/sj.jidsp.5640192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z w:val="16"/>
        </w:rPr>
        <w:t>PMID:</w:t>
      </w:r>
      <w:r>
        <w:rPr>
          <w:spacing w:val="-11"/>
          <w:sz w:val="16"/>
        </w:rPr>
        <w:t> </w:t>
      </w:r>
      <w:hyperlink r:id="rId56">
        <w:r>
          <w:rPr>
            <w:color w:val="3E65AC"/>
            <w:sz w:val="16"/>
          </w:rPr>
          <w:t>10536983</w:t>
        </w:r>
      </w:hyperlink>
      <w:r>
        <w:rPr>
          <w:sz w:val="16"/>
        </w:rPr>
        <w:t>.</w:t>
      </w:r>
    </w:p>
    <w:p>
      <w:pPr>
        <w:tabs>
          <w:tab w:pos="6105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87.35pt;height:.1pt;mso-position-horizontal-relative:char;mso-position-vertical-relative:line" coordorigin="0,0" coordsize="1747,2">
            <v:shape style="position:absolute;left:0;top:0;width:1747;height:2" coordorigin="0,0" coordsize="1747,0" path="m1746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2" w:after="0"/>
        <w:ind w:left="3849" w:right="170" w:hanging="420"/>
        <w:jc w:val="left"/>
        <w:rPr>
          <w:sz w:val="16"/>
        </w:rPr>
      </w:pPr>
      <w:r>
        <w:rPr/>
        <w:pict>
          <v:shape style="position:absolute;margin-left:536.939026pt;margin-top:20.651653pt;width:36.4pt;height:.1pt;mso-position-horizontal-relative:page;mso-position-vertical-relative:paragraph;z-index:-16674304" coordorigin="10739,413" coordsize="728,0" path="m11467,413l10739,413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Shaker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OG,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Eltahlawi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SM,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Tawfic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SO,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Eltawdy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AM,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Bedair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NI.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Corticotropin-releasing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hormone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(CRH)</w:t>
      </w:r>
      <w:r>
        <w:rPr>
          <w:sz w:val="16"/>
        </w:rPr>
        <w:t> </w:t>
      </w:r>
      <w:r>
        <w:rPr>
          <w:spacing w:val="-2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CRH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receptor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1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gene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expression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in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vitiligo.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Clin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Exp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Dermatol.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2016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Oct;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41(7):734–40.</w:t>
      </w:r>
      <w:r>
        <w:rPr>
          <w:spacing w:val="-12"/>
          <w:sz w:val="16"/>
        </w:rPr>
        <w:t> </w:t>
      </w:r>
      <w:hyperlink r:id="rId57">
        <w:r>
          <w:rPr>
            <w:color w:val="3E65AC"/>
            <w:spacing w:val="-1"/>
            <w:sz w:val="16"/>
          </w:rPr>
          <w:t>https://doi.</w:t>
        </w:r>
      </w:hyperlink>
      <w:r>
        <w:rPr>
          <w:color w:val="3E65AC"/>
          <w:spacing w:val="-41"/>
          <w:sz w:val="16"/>
        </w:rPr>
        <w:t> </w:t>
      </w:r>
      <w:hyperlink r:id="rId57">
        <w:r>
          <w:rPr>
            <w:color w:val="3E65AC"/>
            <w:sz w:val="16"/>
          </w:rPr>
          <w:t>org/10.1111/ced.12907</w:t>
        </w:r>
        <w:r>
          <w:rPr>
            <w:color w:val="3E65AC"/>
            <w:spacing w:val="-13"/>
            <w:sz w:val="16"/>
          </w:rPr>
          <w:t> </w:t>
        </w:r>
      </w:hyperlink>
      <w:r>
        <w:rPr>
          <w:sz w:val="16"/>
        </w:rPr>
        <w:t>PMID:</w:t>
      </w:r>
      <w:r>
        <w:rPr>
          <w:spacing w:val="-12"/>
          <w:sz w:val="16"/>
        </w:rPr>
        <w:t> </w:t>
      </w:r>
      <w:hyperlink r:id="rId58">
        <w:r>
          <w:rPr>
            <w:color w:val="3E65AC"/>
            <w:sz w:val="16"/>
          </w:rPr>
          <w:t>27663146</w:t>
        </w:r>
      </w:hyperlink>
      <w:r>
        <w:rPr>
          <w:sz w:val="16"/>
        </w:rPr>
        <w:t>.</w:t>
      </w:r>
    </w:p>
    <w:p>
      <w:pPr>
        <w:tabs>
          <w:tab w:pos="5975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80.850pt;height:.1pt;mso-position-horizontal-relative:char;mso-position-vertical-relative:line" coordorigin="0,0" coordsize="1617,2">
            <v:shape style="position:absolute;left:0;top:0;width:1617;height:2" coordorigin="0,0" coordsize="1617,0" path="m1617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spacing w:after="0" w:line="20" w:lineRule="exact"/>
        <w:rPr>
          <w:rFonts w:ascii="Arial MT"/>
          <w:sz w:val="2"/>
        </w:rPr>
        <w:sectPr>
          <w:pgSz w:w="12240" w:h="15840"/>
          <w:pgMar w:header="705" w:footer="680" w:top="1080" w:bottom="880" w:left="580" w:right="600"/>
        </w:sectPr>
      </w:pPr>
    </w:p>
    <w:p>
      <w:pPr>
        <w:pStyle w:val="BodyText"/>
        <w:spacing w:before="9"/>
        <w:rPr>
          <w:rFonts w:ascii="Arial MT"/>
          <w:sz w:val="29"/>
        </w:rPr>
      </w:pP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75" w:after="0"/>
        <w:ind w:left="3849" w:right="353" w:hanging="420"/>
        <w:jc w:val="left"/>
        <w:rPr>
          <w:sz w:val="16"/>
        </w:rPr>
      </w:pPr>
      <w:r>
        <w:rPr/>
        <w:pict>
          <v:shape style="position:absolute;margin-left:344.75pt;margin-top:31.322924pt;width:151.75pt;height:.1pt;mso-position-horizontal-relative:page;mso-position-vertical-relative:paragraph;z-index:-16661504" coordorigin="6895,626" coordsize="3035,0" path="m9929,626l6895,626e" filled="true" fillcolor="#3e65ac" stroked="false">
            <v:path arrowok="t"/>
            <v:fill type="solid"/>
            <w10:wrap type="none"/>
          </v:shape>
        </w:pict>
      </w:r>
      <w:bookmarkStart w:name="_bookmark66" w:id="69"/>
      <w:bookmarkEnd w:id="69"/>
      <w:r>
        <w:rPr/>
      </w:r>
      <w:bookmarkStart w:name="_bookmark67" w:id="70"/>
      <w:bookmarkEnd w:id="70"/>
      <w:r>
        <w:rPr/>
      </w:r>
      <w:bookmarkStart w:name="_bookmark68" w:id="71"/>
      <w:bookmarkEnd w:id="71"/>
      <w:r>
        <w:rPr/>
      </w:r>
      <w:bookmarkStart w:name="_bookmark68" w:id="72"/>
      <w:bookmarkEnd w:id="72"/>
      <w:r>
        <w:rPr>
          <w:spacing w:val="-2"/>
          <w:sz w:val="16"/>
        </w:rPr>
        <w:t>Warburto</w:t>
      </w:r>
      <w:r>
        <w:rPr>
          <w:spacing w:val="-2"/>
          <w:sz w:val="16"/>
        </w:rPr>
        <w:t>n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Miyajima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F,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Shazadi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K,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Crossley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J,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Johnson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MR,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Marson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AG,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et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al.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NRSF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BDNF</w:t>
      </w:r>
      <w:r>
        <w:rPr>
          <w:sz w:val="16"/>
        </w:rPr>
        <w:t> </w:t>
      </w:r>
      <w:bookmarkStart w:name="_bookmark69" w:id="73"/>
      <w:bookmarkEnd w:id="73"/>
      <w:r>
        <w:rPr>
          <w:spacing w:val="-2"/>
          <w:sz w:val="16"/>
        </w:rPr>
        <w:t>polymor</w:t>
      </w:r>
      <w:r>
        <w:rPr>
          <w:spacing w:val="-2"/>
          <w:sz w:val="16"/>
        </w:rPr>
        <w:t>phisms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as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biomarkers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cognitive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dysfunction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in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adults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with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newly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diagnosed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epilepsy.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Epi-</w:t>
      </w:r>
      <w:r>
        <w:rPr>
          <w:sz w:val="16"/>
        </w:rPr>
        <w:t> </w:t>
      </w:r>
      <w:r>
        <w:rPr>
          <w:spacing w:val="-2"/>
          <w:sz w:val="16"/>
        </w:rPr>
        <w:t>lepsy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Behav.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2016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Jan;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54:117–27.</w:t>
      </w:r>
      <w:r>
        <w:rPr>
          <w:spacing w:val="-13"/>
          <w:sz w:val="16"/>
        </w:rPr>
        <w:t> </w:t>
      </w:r>
      <w:hyperlink r:id="rId59">
        <w:r>
          <w:rPr>
            <w:color w:val="3E65AC"/>
            <w:spacing w:val="-1"/>
            <w:sz w:val="16"/>
          </w:rPr>
          <w:t>https://doi.org/10.1016/j.yebeh.2015.11.013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pacing w:val="-1"/>
          <w:sz w:val="16"/>
        </w:rPr>
        <w:t>Epub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2015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Dec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17.</w:t>
      </w:r>
      <w:r>
        <w:rPr>
          <w:spacing w:val="-42"/>
          <w:sz w:val="16"/>
        </w:rPr>
        <w:t> </w:t>
      </w:r>
      <w:r>
        <w:rPr>
          <w:sz w:val="16"/>
        </w:rPr>
        <w:t>PMID:</w:t>
      </w:r>
      <w:r>
        <w:rPr>
          <w:spacing w:val="-12"/>
          <w:sz w:val="16"/>
        </w:rPr>
        <w:t> </w:t>
      </w:r>
      <w:hyperlink r:id="rId60">
        <w:r>
          <w:rPr>
            <w:color w:val="3E65AC"/>
            <w:sz w:val="16"/>
          </w:rPr>
          <w:t>26708060</w:t>
        </w:r>
      </w:hyperlink>
      <w:r>
        <w:rPr>
          <w:sz w:val="16"/>
        </w:rPr>
        <w:t>;</w:t>
      </w:r>
      <w:r>
        <w:rPr>
          <w:spacing w:val="-11"/>
          <w:sz w:val="16"/>
        </w:rPr>
        <w:t> </w:t>
      </w:r>
      <w:r>
        <w:rPr>
          <w:sz w:val="16"/>
        </w:rPr>
        <w:t>PMCID:</w:t>
      </w:r>
      <w:r>
        <w:rPr>
          <w:spacing w:val="-13"/>
          <w:sz w:val="16"/>
        </w:rPr>
        <w:t> </w:t>
      </w:r>
      <w:r>
        <w:rPr>
          <w:sz w:val="16"/>
        </w:rPr>
        <w:t>PMC4732989.</w:t>
      </w:r>
    </w:p>
    <w:p>
      <w:pPr>
        <w:pStyle w:val="BodyText"/>
        <w:spacing w:line="20" w:lineRule="exact"/>
        <w:ind w:left="4325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34.9pt;height:.1pt;mso-position-horizontal-relative:char;mso-position-vertical-relative:line" coordorigin="0,0" coordsize="698,2">
            <v:shape style="position:absolute;left:0;top:0;width:698;height:2" coordorigin="0,0" coordsize="698,0" path="m697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2" w:after="0"/>
        <w:ind w:left="3849" w:right="219" w:hanging="420"/>
        <w:jc w:val="left"/>
        <w:rPr>
          <w:sz w:val="16"/>
        </w:rPr>
      </w:pPr>
      <w:r>
        <w:rPr/>
        <w:pict>
          <v:shape style="position:absolute;margin-left:276.548004pt;margin-top:30.173206pt;width:153.4pt;height:.1pt;mso-position-horizontal-relative:page;mso-position-vertical-relative:paragraph;z-index:-16660992" coordorigin="5531,603" coordsize="3068,0" path="m8598,603l5531,603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161987pt;margin-top:30.173206pt;width:34.9pt;height:.1pt;mso-position-horizontal-relative:page;mso-position-vertical-relative:paragraph;z-index:-16660480" coordorigin="10463,603" coordsize="698,0" path="m11161,603l10463,603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Fischer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DL,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Auinger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Goudreau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JL,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Cole-Strauss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A,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Kieburtz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K,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Elm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JJ,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et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al.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BDNF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rs6265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Variant</w:t>
      </w:r>
      <w:r>
        <w:rPr>
          <w:sz w:val="16"/>
        </w:rPr>
        <w:t> </w:t>
      </w:r>
      <w:bookmarkStart w:name="_bookmark70" w:id="74"/>
      <w:bookmarkEnd w:id="74"/>
      <w:r>
        <w:rPr>
          <w:spacing w:val="-2"/>
          <w:sz w:val="16"/>
        </w:rPr>
        <w:t>Alter</w:t>
      </w:r>
      <w:r>
        <w:rPr>
          <w:spacing w:val="-2"/>
          <w:sz w:val="16"/>
        </w:rPr>
        <w:t>s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Outcomes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with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Levodopa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in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Early-Stage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Parkinson’s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Disease.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Neurotherapeutics.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2020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Oct;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17</w:t>
      </w:r>
      <w:r>
        <w:rPr>
          <w:spacing w:val="-41"/>
          <w:sz w:val="16"/>
        </w:rPr>
        <w:t> </w:t>
      </w:r>
      <w:r>
        <w:rPr>
          <w:spacing w:val="-2"/>
          <w:sz w:val="16"/>
        </w:rPr>
        <w:t>(4):1785–1795. </w:t>
      </w:r>
      <w:hyperlink r:id="rId61">
        <w:r>
          <w:rPr>
            <w:color w:val="3E65AC"/>
            <w:spacing w:val="-2"/>
            <w:sz w:val="16"/>
          </w:rPr>
          <w:t>https://doi.org/10.1007/s13311-020-00965-9 </w:t>
        </w:r>
      </w:hyperlink>
      <w:r>
        <w:rPr>
          <w:spacing w:val="-1"/>
          <w:sz w:val="16"/>
        </w:rPr>
        <w:t>Epub 2020 Nov 19. PMID: </w:t>
      </w:r>
      <w:hyperlink r:id="rId62">
        <w:r>
          <w:rPr>
            <w:color w:val="3E65AC"/>
            <w:spacing w:val="-1"/>
            <w:sz w:val="16"/>
          </w:rPr>
          <w:t>33215284</w:t>
        </w:r>
      </w:hyperlink>
      <w:r>
        <w:rPr>
          <w:spacing w:val="-1"/>
          <w:sz w:val="16"/>
        </w:rPr>
        <w:t>;</w:t>
      </w:r>
      <w:r>
        <w:rPr>
          <w:sz w:val="16"/>
        </w:rPr>
        <w:t> PMCID:</w:t>
      </w:r>
      <w:r>
        <w:rPr>
          <w:spacing w:val="-13"/>
          <w:sz w:val="16"/>
        </w:rPr>
        <w:t> </w:t>
      </w:r>
      <w:r>
        <w:rPr>
          <w:sz w:val="16"/>
        </w:rPr>
        <w:t>PMC7851242.</w:t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72" w:after="0"/>
        <w:ind w:left="3849" w:right="117" w:hanging="420"/>
        <w:jc w:val="left"/>
        <w:rPr>
          <w:sz w:val="16"/>
        </w:rPr>
      </w:pPr>
      <w:bookmarkStart w:name="_bookmark71" w:id="75"/>
      <w:bookmarkEnd w:id="75"/>
      <w:r>
        <w:rPr/>
      </w:r>
      <w:bookmarkStart w:name="_bookmark71" w:id="76"/>
      <w:bookmarkEnd w:id="76"/>
      <w:r>
        <w:rPr>
          <w:spacing w:val="-1"/>
          <w:sz w:val="16"/>
        </w:rPr>
        <w:t>Fische</w:t>
      </w:r>
      <w:r>
        <w:rPr>
          <w:spacing w:val="-1"/>
          <w:sz w:val="16"/>
        </w:rPr>
        <w:t>r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D.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L.,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Auinger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P.,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Goudreau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J.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L.,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Paumier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K.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L.,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Cole-Strauss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A.,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Kemp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C.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J.,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et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al.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Bdnf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variant</w:t>
      </w:r>
      <w:r>
        <w:rPr>
          <w:spacing w:val="-41"/>
          <w:sz w:val="16"/>
        </w:rPr>
        <w:t> </w:t>
      </w:r>
      <w:r>
        <w:rPr>
          <w:spacing w:val="-2"/>
          <w:sz w:val="16"/>
        </w:rPr>
        <w:t>is associated with milder </w:t>
      </w:r>
      <w:r>
        <w:rPr>
          <w:spacing w:val="-1"/>
          <w:sz w:val="16"/>
        </w:rPr>
        <w:t>motor symptom severity in early-stage Parkinson’s disease. Parkinsonism &amp;</w:t>
      </w:r>
      <w:r>
        <w:rPr>
          <w:sz w:val="16"/>
        </w:rPr>
        <w:t> </w:t>
      </w:r>
      <w:r>
        <w:rPr>
          <w:spacing w:val="-2"/>
          <w:sz w:val="16"/>
        </w:rPr>
        <w:t>related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disorders,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2018,</w:t>
      </w:r>
      <w:r>
        <w:rPr>
          <w:spacing w:val="31"/>
          <w:sz w:val="16"/>
        </w:rPr>
        <w:t> </w:t>
      </w:r>
      <w:r>
        <w:rPr>
          <w:spacing w:val="-2"/>
          <w:sz w:val="16"/>
        </w:rPr>
        <w:t>53,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70–75.</w:t>
      </w:r>
      <w:r>
        <w:rPr>
          <w:spacing w:val="-8"/>
          <w:sz w:val="16"/>
        </w:rPr>
        <w:t> </w:t>
      </w:r>
      <w:hyperlink r:id="rId63">
        <w:r>
          <w:rPr>
            <w:color w:val="3E65AC"/>
            <w:spacing w:val="-2"/>
            <w:sz w:val="16"/>
          </w:rPr>
          <w:t>https://doi.org/10.1016/j.parkreldis.2018.05.003</w:t>
        </w:r>
        <w:r>
          <w:rPr>
            <w:color w:val="3E65AC"/>
            <w:spacing w:val="-8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8"/>
          <w:sz w:val="16"/>
        </w:rPr>
        <w:t> </w:t>
      </w:r>
      <w:hyperlink r:id="rId64">
        <w:r>
          <w:rPr>
            <w:color w:val="3E65AC"/>
            <w:spacing w:val="-1"/>
            <w:sz w:val="16"/>
          </w:rPr>
          <w:t>29759928</w:t>
        </w:r>
      </w:hyperlink>
    </w:p>
    <w:p>
      <w:pPr>
        <w:tabs>
          <w:tab w:pos="10116" w:val="left" w:leader="none"/>
        </w:tabs>
        <w:spacing w:line="20" w:lineRule="exact"/>
        <w:ind w:left="6322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64.25pt;height:.1pt;mso-position-horizontal-relative:char;mso-position-vertical-relative:line" coordorigin="0,0" coordsize="3285,2">
            <v:shape style="position:absolute;left:0;top:0;width:3285;height:2" coordorigin="0,0" coordsize="3285,0" path="m3285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1" w:after="0"/>
        <w:ind w:left="3849" w:right="267" w:hanging="420"/>
        <w:jc w:val="left"/>
        <w:rPr>
          <w:sz w:val="16"/>
        </w:rPr>
      </w:pPr>
      <w:r>
        <w:rPr/>
        <w:pict>
          <v:shape style="position:absolute;margin-left:450.084991pt;margin-top:30.180756pt;width:108.4pt;height:.1pt;mso-position-horizontal-relative:page;mso-position-vertical-relative:paragraph;z-index:-16659968" coordorigin="9002,604" coordsize="2168,0" path="m11170,604l9002,604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Hennings JM, Kohli </w:t>
      </w:r>
      <w:r>
        <w:rPr>
          <w:spacing w:val="-1"/>
          <w:sz w:val="16"/>
        </w:rPr>
        <w:t>MA, Uhr M, Holsboer F, Ising M, Lucae S. Polymorphisms in the BDNF and</w:t>
      </w:r>
      <w:r>
        <w:rPr>
          <w:sz w:val="16"/>
        </w:rPr>
        <w:t> </w:t>
      </w:r>
      <w:r>
        <w:rPr>
          <w:spacing w:val="-2"/>
          <w:sz w:val="16"/>
        </w:rPr>
        <w:t>BDNFOS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genes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are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associated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with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hypothalamus-pituitary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axis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regulation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in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major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depression.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Prog</w:t>
      </w:r>
      <w:r>
        <w:rPr>
          <w:spacing w:val="-41"/>
          <w:sz w:val="16"/>
        </w:rPr>
        <w:t> </w:t>
      </w:r>
      <w:r>
        <w:rPr>
          <w:spacing w:val="-2"/>
          <w:sz w:val="16"/>
        </w:rPr>
        <w:t>Neuropsychopharmacol Biol Psychiatry. 2019 </w:t>
      </w:r>
      <w:r>
        <w:rPr>
          <w:spacing w:val="-1"/>
          <w:sz w:val="16"/>
        </w:rPr>
        <w:t>Dec 20; 95:109686. </w:t>
      </w:r>
      <w:hyperlink r:id="rId65">
        <w:r>
          <w:rPr>
            <w:color w:val="3E65AC"/>
            <w:spacing w:val="-1"/>
            <w:sz w:val="16"/>
          </w:rPr>
          <w:t>https://doi.org/10.1016/j.pnpbp.</w:t>
        </w:r>
      </w:hyperlink>
      <w:r>
        <w:rPr>
          <w:color w:val="3E65AC"/>
          <w:sz w:val="16"/>
        </w:rPr>
        <w:t> </w:t>
      </w:r>
      <w:hyperlink r:id="rId65">
        <w:r>
          <w:rPr>
            <w:color w:val="3E65AC"/>
            <w:sz w:val="16"/>
          </w:rPr>
          <w:t>2019.109686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z w:val="16"/>
        </w:rPr>
        <w:t>Epub</w:t>
      </w:r>
      <w:r>
        <w:rPr>
          <w:spacing w:val="-12"/>
          <w:sz w:val="16"/>
        </w:rPr>
        <w:t> </w:t>
      </w:r>
      <w:r>
        <w:rPr>
          <w:sz w:val="16"/>
        </w:rPr>
        <w:t>2019</w:t>
      </w:r>
      <w:r>
        <w:rPr>
          <w:spacing w:val="-12"/>
          <w:sz w:val="16"/>
        </w:rPr>
        <w:t> </w:t>
      </w:r>
      <w:r>
        <w:rPr>
          <w:sz w:val="16"/>
        </w:rPr>
        <w:t>Jul</w:t>
      </w:r>
      <w:r>
        <w:rPr>
          <w:spacing w:val="-11"/>
          <w:sz w:val="16"/>
        </w:rPr>
        <w:t> </w:t>
      </w:r>
      <w:r>
        <w:rPr>
          <w:sz w:val="16"/>
        </w:rPr>
        <w:t>8.</w:t>
      </w:r>
      <w:r>
        <w:rPr>
          <w:spacing w:val="-12"/>
          <w:sz w:val="16"/>
        </w:rPr>
        <w:t> </w:t>
      </w:r>
      <w:r>
        <w:rPr>
          <w:sz w:val="16"/>
        </w:rPr>
        <w:t>PMID:</w:t>
      </w:r>
      <w:r>
        <w:rPr>
          <w:spacing w:val="-11"/>
          <w:sz w:val="16"/>
        </w:rPr>
        <w:t> </w:t>
      </w:r>
      <w:hyperlink r:id="rId66">
        <w:r>
          <w:rPr>
            <w:color w:val="3E65AC"/>
            <w:sz w:val="16"/>
          </w:rPr>
          <w:t>31295515</w:t>
        </w:r>
      </w:hyperlink>
      <w:r>
        <w:rPr>
          <w:sz w:val="16"/>
        </w:rPr>
        <w:t>.</w:t>
      </w:r>
    </w:p>
    <w:p>
      <w:pPr>
        <w:tabs>
          <w:tab w:pos="6465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45.9pt;height:.1pt;mso-position-horizontal-relative:char;mso-position-vertical-relative:line" coordorigin="0,0" coordsize="918,2">
            <v:shape style="position:absolute;left:0;top:0;width:918;height:2" coordorigin="0,0" coordsize="918,0" path="m917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pt;height:.1pt;mso-position-horizontal-relative:char;mso-position-vertical-relative:line" coordorigin="0,0" coordsize="698,2">
            <v:shape style="position:absolute;left:0;top:0;width:698;height:2" coordorigin="0,0" coordsize="698,0" path="m697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9" w:lineRule="auto" w:before="52" w:after="0"/>
        <w:ind w:left="3849" w:right="303" w:hanging="420"/>
        <w:jc w:val="left"/>
        <w:rPr>
          <w:sz w:val="16"/>
        </w:rPr>
      </w:pPr>
      <w:r>
        <w:rPr/>
        <w:pict>
          <v:shape style="position:absolute;margin-left:330.746002pt;margin-top:30.230244pt;width:141.65pt;height:.1pt;mso-position-horizontal-relative:page;mso-position-vertical-relative:paragraph;z-index:15809024" coordorigin="6615,605" coordsize="2833,0" path="m9447,605l6615,605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7.820007pt;margin-top:30.230244pt;width:35pt;height:.1pt;mso-position-horizontal-relative:page;mso-position-vertical-relative:paragraph;z-index:15809536" coordorigin="9956,605" coordsize="700,0" path="m10656,605l9956,605e" filled="true" fillcolor="#3e65ac" stroked="false">
            <v:path arrowok="t"/>
            <v:fill type="solid"/>
            <w10:wrap type="none"/>
          </v:shape>
        </w:pict>
      </w:r>
      <w:r>
        <w:rPr>
          <w:spacing w:val="-1"/>
          <w:w w:val="99"/>
          <w:sz w:val="16"/>
        </w:rPr>
        <w:t>Grim</w:t>
      </w:r>
      <w:r>
        <w:rPr>
          <w:w w:val="99"/>
          <w:sz w:val="16"/>
        </w:rPr>
        <w:t>m</w:t>
      </w:r>
      <w:r>
        <w:rPr>
          <w:spacing w:val="-11"/>
          <w:sz w:val="16"/>
        </w:rPr>
        <w:t> </w:t>
      </w:r>
      <w:r>
        <w:rPr>
          <w:spacing w:val="-1"/>
          <w:w w:val="100"/>
          <w:sz w:val="16"/>
        </w:rPr>
        <w:t>S.</w:t>
      </w:r>
      <w:r>
        <w:rPr>
          <w:w w:val="100"/>
          <w:sz w:val="16"/>
        </w:rPr>
        <w:t>,</w:t>
      </w:r>
      <w:r>
        <w:rPr>
          <w:spacing w:val="-12"/>
          <w:sz w:val="16"/>
        </w:rPr>
        <w:t> </w:t>
      </w:r>
      <w:r>
        <w:rPr>
          <w:spacing w:val="-1"/>
          <w:w w:val="99"/>
          <w:sz w:val="16"/>
        </w:rPr>
        <w:t>Wirt</w:t>
      </w:r>
      <w:r>
        <w:rPr>
          <w:w w:val="99"/>
          <w:sz w:val="16"/>
        </w:rPr>
        <w:t>h</w:t>
      </w:r>
      <w:r>
        <w:rPr>
          <w:spacing w:val="-11"/>
          <w:sz w:val="16"/>
        </w:rPr>
        <w:t> </w:t>
      </w:r>
      <w:r>
        <w:rPr>
          <w:spacing w:val="-1"/>
          <w:w w:val="100"/>
          <w:sz w:val="16"/>
        </w:rPr>
        <w:t>K.</w:t>
      </w:r>
      <w:r>
        <w:rPr>
          <w:w w:val="100"/>
          <w:sz w:val="16"/>
        </w:rPr>
        <w:t>,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Fa</w:t>
      </w:r>
      <w:r>
        <w:rPr>
          <w:w w:val="99"/>
          <w:sz w:val="16"/>
        </w:rPr>
        <w:t>n</w:t>
      </w:r>
      <w:r>
        <w:rPr>
          <w:spacing w:val="-11"/>
          <w:sz w:val="16"/>
        </w:rPr>
        <w:t> </w:t>
      </w:r>
      <w:r>
        <w:rPr>
          <w:spacing w:val="-1"/>
          <w:w w:val="100"/>
          <w:sz w:val="16"/>
        </w:rPr>
        <w:t>Y.</w:t>
      </w:r>
      <w:r>
        <w:rPr>
          <w:w w:val="100"/>
          <w:sz w:val="16"/>
        </w:rPr>
        <w:t>,</w:t>
      </w:r>
      <w:r>
        <w:rPr>
          <w:spacing w:val="-12"/>
          <w:sz w:val="16"/>
        </w:rPr>
        <w:t> </w:t>
      </w:r>
      <w:r>
        <w:rPr>
          <w:spacing w:val="-1"/>
          <w:w w:val="99"/>
          <w:sz w:val="16"/>
        </w:rPr>
        <w:t>Weigan</w:t>
      </w:r>
      <w:r>
        <w:rPr>
          <w:w w:val="99"/>
          <w:sz w:val="16"/>
        </w:rPr>
        <w:t>d</w:t>
      </w:r>
      <w:r>
        <w:rPr>
          <w:spacing w:val="-12"/>
          <w:sz w:val="16"/>
        </w:rPr>
        <w:t> </w:t>
      </w:r>
      <w:r>
        <w:rPr>
          <w:spacing w:val="-1"/>
          <w:w w:val="100"/>
          <w:sz w:val="16"/>
        </w:rPr>
        <w:t>A.</w:t>
      </w:r>
      <w:r>
        <w:rPr>
          <w:w w:val="100"/>
          <w:sz w:val="16"/>
        </w:rPr>
        <w:t>,</w:t>
      </w:r>
      <w:r>
        <w:rPr>
          <w:spacing w:val="-11"/>
          <w:sz w:val="16"/>
        </w:rPr>
        <w:t> </w:t>
      </w:r>
      <w:r>
        <w:rPr>
          <w:spacing w:val="-1"/>
          <w:w w:val="100"/>
          <w:sz w:val="16"/>
        </w:rPr>
        <w:t>G</w:t>
      </w:r>
      <w:r>
        <w:rPr>
          <w:spacing w:val="-72"/>
          <w:w w:val="99"/>
          <w:sz w:val="16"/>
        </w:rPr>
        <w:t>a</w:t>
      </w:r>
      <w:r>
        <w:rPr>
          <w:w w:val="99"/>
          <w:sz w:val="16"/>
        </w:rPr>
        <w:t>¨</w:t>
      </w:r>
      <w:r>
        <w:rPr>
          <w:spacing w:val="-28"/>
          <w:w w:val="99"/>
          <w:sz w:val="16"/>
        </w:rPr>
        <w:t> </w:t>
      </w:r>
      <w:r>
        <w:rPr>
          <w:spacing w:val="-1"/>
          <w:w w:val="99"/>
          <w:sz w:val="16"/>
        </w:rPr>
        <w:t>rtne</w:t>
      </w:r>
      <w:r>
        <w:rPr>
          <w:w w:val="99"/>
          <w:sz w:val="16"/>
        </w:rPr>
        <w:t>r</w:t>
      </w:r>
      <w:r>
        <w:rPr>
          <w:spacing w:val="-12"/>
          <w:sz w:val="16"/>
        </w:rPr>
        <w:t> </w:t>
      </w:r>
      <w:r>
        <w:rPr>
          <w:spacing w:val="-1"/>
          <w:w w:val="100"/>
          <w:sz w:val="16"/>
        </w:rPr>
        <w:t>M.</w:t>
      </w:r>
      <w:r>
        <w:rPr>
          <w:w w:val="100"/>
          <w:sz w:val="16"/>
        </w:rPr>
        <w:t>,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Feese</w:t>
      </w:r>
      <w:r>
        <w:rPr>
          <w:w w:val="99"/>
          <w:sz w:val="16"/>
        </w:rPr>
        <w:t>r</w:t>
      </w:r>
      <w:r>
        <w:rPr>
          <w:spacing w:val="-11"/>
          <w:sz w:val="16"/>
        </w:rPr>
        <w:t> </w:t>
      </w:r>
      <w:r>
        <w:rPr>
          <w:spacing w:val="-1"/>
          <w:w w:val="100"/>
          <w:sz w:val="16"/>
        </w:rPr>
        <w:t>M.</w:t>
      </w:r>
      <w:r>
        <w:rPr>
          <w:w w:val="100"/>
          <w:sz w:val="16"/>
        </w:rPr>
        <w:t>,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e</w:t>
      </w:r>
      <w:r>
        <w:rPr>
          <w:w w:val="99"/>
          <w:sz w:val="16"/>
        </w:rPr>
        <w:t>t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al</w:t>
      </w:r>
      <w:r>
        <w:rPr>
          <w:w w:val="99"/>
          <w:sz w:val="16"/>
        </w:rPr>
        <w:t>.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Th</w:t>
      </w:r>
      <w:r>
        <w:rPr>
          <w:w w:val="99"/>
          <w:sz w:val="16"/>
        </w:rPr>
        <w:t>e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inter</w:t>
      </w:r>
      <w:r>
        <w:rPr>
          <w:spacing w:val="-3"/>
          <w:w w:val="99"/>
          <w:sz w:val="16"/>
        </w:rPr>
        <w:t>a</w:t>
      </w:r>
      <w:r>
        <w:rPr>
          <w:spacing w:val="-1"/>
          <w:w w:val="99"/>
          <w:sz w:val="16"/>
        </w:rPr>
        <w:t>ctio</w:t>
      </w:r>
      <w:r>
        <w:rPr>
          <w:w w:val="99"/>
          <w:sz w:val="16"/>
        </w:rPr>
        <w:t>n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o</w:t>
      </w:r>
      <w:r>
        <w:rPr>
          <w:w w:val="99"/>
          <w:sz w:val="16"/>
        </w:rPr>
        <w:t>f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corticotr</w:t>
      </w:r>
      <w:r>
        <w:rPr>
          <w:spacing w:val="-3"/>
          <w:w w:val="99"/>
          <w:sz w:val="16"/>
        </w:rPr>
        <w:t>o</w:t>
      </w:r>
      <w:r>
        <w:rPr>
          <w:spacing w:val="-1"/>
          <w:w w:val="99"/>
          <w:sz w:val="16"/>
        </w:rPr>
        <w:t>pin- </w:t>
      </w:r>
      <w:bookmarkStart w:name="_bookmark72" w:id="77"/>
      <w:bookmarkEnd w:id="77"/>
      <w:r>
        <w:rPr>
          <w:w w:val="95"/>
          <w:sz w:val="16"/>
        </w:rPr>
        <w:t>releasin</w:t>
      </w:r>
      <w:r>
        <w:rPr>
          <w:w w:val="95"/>
          <w:sz w:val="16"/>
        </w:rPr>
        <w:t>g hormone receptor gene and early life stress on emotional empathy. Behavioural brain</w:t>
      </w:r>
      <w:r>
        <w:rPr>
          <w:spacing w:val="1"/>
          <w:w w:val="95"/>
          <w:sz w:val="16"/>
        </w:rPr>
        <w:t> </w:t>
      </w:r>
      <w:r>
        <w:rPr>
          <w:spacing w:val="-2"/>
          <w:sz w:val="16"/>
        </w:rPr>
        <w:t>research,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2017,</w:t>
      </w:r>
      <w:r>
        <w:rPr>
          <w:spacing w:val="26"/>
          <w:sz w:val="16"/>
        </w:rPr>
        <w:t> </w:t>
      </w:r>
      <w:r>
        <w:rPr>
          <w:spacing w:val="-2"/>
          <w:sz w:val="16"/>
        </w:rPr>
        <w:t>329,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180–185.</w:t>
      </w:r>
      <w:r>
        <w:rPr>
          <w:spacing w:val="-11"/>
          <w:sz w:val="16"/>
        </w:rPr>
        <w:t> </w:t>
      </w:r>
      <w:hyperlink r:id="rId67">
        <w:r>
          <w:rPr>
            <w:color w:val="3E65AC"/>
            <w:spacing w:val="-2"/>
            <w:sz w:val="16"/>
          </w:rPr>
          <w:t>https://doi.org/10.1016/j.bbr.2017.04.047</w:t>
        </w:r>
        <w:r>
          <w:rPr>
            <w:color w:val="3E65AC"/>
            <w:spacing w:val="-10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1"/>
          <w:sz w:val="16"/>
        </w:rPr>
        <w:t> </w:t>
      </w:r>
      <w:hyperlink r:id="rId68">
        <w:r>
          <w:rPr>
            <w:color w:val="3E65AC"/>
            <w:spacing w:val="-1"/>
            <w:sz w:val="16"/>
          </w:rPr>
          <w:t>28461011</w:t>
        </w:r>
      </w:hyperlink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66" w:after="0"/>
        <w:ind w:left="3849" w:right="207" w:hanging="420"/>
        <w:jc w:val="left"/>
        <w:rPr>
          <w:sz w:val="16"/>
        </w:rPr>
      </w:pPr>
      <w:r>
        <w:rPr/>
        <w:pict>
          <v:shape style="position:absolute;margin-left:354.841003pt;margin-top:30.874483pt;width:138.050pt;height:.1pt;mso-position-horizontal-relative:page;mso-position-vertical-relative:paragraph;z-index:-16658432" coordorigin="7097,617" coordsize="2761,0" path="m9858,617l7097,617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van Geel N, Lommerts </w:t>
      </w:r>
      <w:r>
        <w:rPr>
          <w:spacing w:val="-1"/>
          <w:sz w:val="16"/>
        </w:rPr>
        <w:t>J, Bekkenk M, Wolkerstorfer A, Prinsen CAC, Eleftheriadou V, et al. Develop-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ment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Validation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the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Vitiligo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Extent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Score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(VES):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International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Collaborative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Initiative.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J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Invest</w:t>
      </w:r>
      <w:r>
        <w:rPr>
          <w:spacing w:val="-42"/>
          <w:sz w:val="16"/>
        </w:rPr>
        <w:t> </w:t>
      </w:r>
      <w:bookmarkStart w:name="_bookmark73" w:id="78"/>
      <w:bookmarkEnd w:id="78"/>
      <w:r>
        <w:rPr>
          <w:spacing w:val="-2"/>
          <w:sz w:val="16"/>
        </w:rPr>
        <w:t>Dermatol</w:t>
      </w:r>
      <w:r>
        <w:rPr>
          <w:spacing w:val="-2"/>
          <w:sz w:val="16"/>
        </w:rPr>
        <w:t>. 2016 May; 136(5):978–984. </w:t>
      </w:r>
      <w:hyperlink r:id="rId69">
        <w:r>
          <w:rPr>
            <w:color w:val="3E65AC"/>
            <w:spacing w:val="-1"/>
            <w:sz w:val="16"/>
          </w:rPr>
          <w:t>https://doi.org/10.1016/j.jid.2015.12.040 </w:t>
        </w:r>
      </w:hyperlink>
      <w:r>
        <w:rPr>
          <w:spacing w:val="-1"/>
          <w:sz w:val="16"/>
        </w:rPr>
        <w:t>Epub 2016 Jan 28.</w:t>
      </w:r>
      <w:r>
        <w:rPr>
          <w:sz w:val="16"/>
        </w:rPr>
        <w:t> PMID:</w:t>
      </w:r>
      <w:r>
        <w:rPr>
          <w:spacing w:val="-12"/>
          <w:sz w:val="16"/>
        </w:rPr>
        <w:t> </w:t>
      </w:r>
      <w:hyperlink r:id="rId70">
        <w:r>
          <w:rPr>
            <w:color w:val="3E65AC"/>
            <w:sz w:val="16"/>
          </w:rPr>
          <w:t>26827762</w:t>
        </w:r>
      </w:hyperlink>
      <w:r>
        <w:rPr>
          <w:sz w:val="16"/>
        </w:rPr>
        <w:t>.</w:t>
      </w:r>
    </w:p>
    <w:p>
      <w:pPr>
        <w:pStyle w:val="BodyText"/>
        <w:spacing w:line="20" w:lineRule="exact"/>
        <w:ind w:left="4325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34.9pt;height:.1pt;mso-position-horizontal-relative:char;mso-position-vertical-relative:line" coordorigin="0,0" coordsize="698,2">
            <v:shape style="position:absolute;left:0;top:0;width:698;height:2" coordorigin="0,0" coordsize="698,0" path="m697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2" w:after="0"/>
        <w:ind w:left="3849" w:right="226" w:hanging="420"/>
        <w:jc w:val="both"/>
        <w:rPr>
          <w:sz w:val="16"/>
        </w:rPr>
      </w:pPr>
      <w:r>
        <w:rPr/>
        <w:pict>
          <v:shape style="position:absolute;margin-left:444.699005pt;margin-top:20.649971pt;width:125.95pt;height:.1pt;mso-position-horizontal-relative:page;mso-position-vertical-relative:paragraph;z-index:-16657920" coordorigin="8894,413" coordsize="2519,0" path="m11412,413l8894,413e" filled="true" fillcolor="#3e65ac" stroked="false">
            <v:path arrowok="t"/>
            <v:fill type="solid"/>
            <w10:wrap type="none"/>
          </v:shape>
        </w:pict>
      </w:r>
      <w:r>
        <w:rPr>
          <w:spacing w:val="-1"/>
          <w:w w:val="99"/>
          <w:sz w:val="16"/>
        </w:rPr>
        <w:t>Spitze</w:t>
      </w:r>
      <w:r>
        <w:rPr>
          <w:w w:val="99"/>
          <w:sz w:val="16"/>
        </w:rPr>
        <w:t>r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RL</w:t>
      </w:r>
      <w:r>
        <w:rPr>
          <w:w w:val="99"/>
          <w:sz w:val="16"/>
        </w:rPr>
        <w:t>,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Kroenk</w:t>
      </w:r>
      <w:r>
        <w:rPr>
          <w:w w:val="99"/>
          <w:sz w:val="16"/>
        </w:rPr>
        <w:t>e</w:t>
      </w:r>
      <w:r>
        <w:rPr>
          <w:spacing w:val="-12"/>
          <w:sz w:val="16"/>
        </w:rPr>
        <w:t> </w:t>
      </w:r>
      <w:r>
        <w:rPr>
          <w:spacing w:val="-1"/>
          <w:w w:val="100"/>
          <w:sz w:val="16"/>
        </w:rPr>
        <w:t>K</w:t>
      </w:r>
      <w:r>
        <w:rPr>
          <w:w w:val="100"/>
          <w:sz w:val="16"/>
        </w:rPr>
        <w:t>,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William</w:t>
      </w:r>
      <w:r>
        <w:rPr>
          <w:w w:val="99"/>
          <w:sz w:val="16"/>
        </w:rPr>
        <w:t>s</w:t>
      </w:r>
      <w:r>
        <w:rPr>
          <w:spacing w:val="-12"/>
          <w:sz w:val="16"/>
        </w:rPr>
        <w:t> </w:t>
      </w:r>
      <w:r>
        <w:rPr>
          <w:spacing w:val="-1"/>
          <w:w w:val="100"/>
          <w:sz w:val="16"/>
        </w:rPr>
        <w:t>JB</w:t>
      </w:r>
      <w:r>
        <w:rPr>
          <w:w w:val="100"/>
          <w:sz w:val="16"/>
        </w:rPr>
        <w:t>,</w:t>
      </w:r>
      <w:r>
        <w:rPr>
          <w:spacing w:val="-12"/>
          <w:sz w:val="16"/>
        </w:rPr>
        <w:t> </w:t>
      </w:r>
      <w:r>
        <w:rPr>
          <w:spacing w:val="-1"/>
          <w:w w:val="99"/>
          <w:sz w:val="16"/>
        </w:rPr>
        <w:t>L</w:t>
      </w:r>
      <w:r>
        <w:rPr>
          <w:spacing w:val="-71"/>
          <w:w w:val="99"/>
          <w:sz w:val="16"/>
        </w:rPr>
        <w:t>o</w:t>
      </w:r>
      <w:r>
        <w:rPr>
          <w:w w:val="99"/>
          <w:sz w:val="16"/>
        </w:rPr>
        <w:t>¨</w:t>
      </w:r>
      <w:r>
        <w:rPr>
          <w:spacing w:val="-29"/>
          <w:w w:val="99"/>
          <w:sz w:val="16"/>
        </w:rPr>
        <w:t> </w:t>
      </w:r>
      <w:r>
        <w:rPr>
          <w:spacing w:val="-1"/>
          <w:w w:val="99"/>
          <w:sz w:val="16"/>
        </w:rPr>
        <w:t>w</w:t>
      </w:r>
      <w:r>
        <w:rPr>
          <w:w w:val="99"/>
          <w:sz w:val="16"/>
        </w:rPr>
        <w:t>e</w:t>
      </w:r>
      <w:r>
        <w:rPr>
          <w:spacing w:val="-10"/>
          <w:sz w:val="16"/>
        </w:rPr>
        <w:t> </w:t>
      </w:r>
      <w:r>
        <w:rPr>
          <w:spacing w:val="-1"/>
          <w:w w:val="100"/>
          <w:sz w:val="16"/>
        </w:rPr>
        <w:t>B</w:t>
      </w:r>
      <w:r>
        <w:rPr>
          <w:w w:val="100"/>
          <w:sz w:val="16"/>
        </w:rPr>
        <w:t>.</w:t>
      </w:r>
      <w:r>
        <w:rPr>
          <w:spacing w:val="-11"/>
          <w:sz w:val="16"/>
        </w:rPr>
        <w:t> </w:t>
      </w:r>
      <w:r>
        <w:rPr>
          <w:w w:val="99"/>
          <w:sz w:val="16"/>
        </w:rPr>
        <w:t>A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brie</w:t>
      </w:r>
      <w:r>
        <w:rPr>
          <w:w w:val="99"/>
          <w:sz w:val="16"/>
        </w:rPr>
        <w:t>f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measur</w:t>
      </w:r>
      <w:r>
        <w:rPr>
          <w:w w:val="99"/>
          <w:sz w:val="16"/>
        </w:rPr>
        <w:t>e</w:t>
      </w:r>
      <w:r>
        <w:rPr>
          <w:spacing w:val="-13"/>
          <w:sz w:val="16"/>
        </w:rPr>
        <w:t> </w:t>
      </w:r>
      <w:r>
        <w:rPr>
          <w:spacing w:val="-1"/>
          <w:w w:val="99"/>
          <w:sz w:val="16"/>
        </w:rPr>
        <w:t>fo</w:t>
      </w:r>
      <w:r>
        <w:rPr>
          <w:w w:val="99"/>
          <w:sz w:val="16"/>
        </w:rPr>
        <w:t>r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assessi</w:t>
      </w:r>
      <w:r>
        <w:rPr>
          <w:spacing w:val="-4"/>
          <w:w w:val="99"/>
          <w:sz w:val="16"/>
        </w:rPr>
        <w:t>n</w:t>
      </w:r>
      <w:r>
        <w:rPr>
          <w:w w:val="99"/>
          <w:sz w:val="16"/>
        </w:rPr>
        <w:t>g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generalize</w:t>
      </w:r>
      <w:r>
        <w:rPr>
          <w:w w:val="99"/>
          <w:sz w:val="16"/>
        </w:rPr>
        <w:t>d</w:t>
      </w:r>
      <w:r>
        <w:rPr>
          <w:spacing w:val="-12"/>
          <w:sz w:val="16"/>
        </w:rPr>
        <w:t> </w:t>
      </w:r>
      <w:r>
        <w:rPr>
          <w:spacing w:val="-1"/>
          <w:w w:val="99"/>
          <w:sz w:val="16"/>
        </w:rPr>
        <w:t>anxiet</w:t>
      </w:r>
      <w:r>
        <w:rPr>
          <w:w w:val="99"/>
          <w:sz w:val="16"/>
        </w:rPr>
        <w:t>y</w:t>
      </w:r>
      <w:r>
        <w:rPr>
          <w:spacing w:val="-12"/>
          <w:sz w:val="16"/>
        </w:rPr>
        <w:t> </w:t>
      </w:r>
      <w:r>
        <w:rPr>
          <w:spacing w:val="-1"/>
          <w:w w:val="99"/>
          <w:sz w:val="16"/>
        </w:rPr>
        <w:t>disor- </w:t>
      </w:r>
      <w:bookmarkStart w:name="_bookmark74" w:id="79"/>
      <w:bookmarkEnd w:id="79"/>
      <w:r>
        <w:rPr>
          <w:spacing w:val="-2"/>
          <w:sz w:val="16"/>
        </w:rPr>
        <w:t>der</w:t>
      </w:r>
      <w:r>
        <w:rPr>
          <w:spacing w:val="-2"/>
          <w:sz w:val="16"/>
        </w:rPr>
        <w:t>: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the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GAD-7.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Arch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Intern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Med.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2006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May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22;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166(10):1092–7.</w:t>
      </w:r>
      <w:r>
        <w:rPr>
          <w:spacing w:val="-11"/>
          <w:sz w:val="16"/>
        </w:rPr>
        <w:t> </w:t>
      </w:r>
      <w:hyperlink r:id="rId71">
        <w:r>
          <w:rPr>
            <w:color w:val="3E65AC"/>
            <w:spacing w:val="-1"/>
            <w:sz w:val="16"/>
          </w:rPr>
          <w:t>https://doi.org/10.1001/archinte.166.</w:t>
        </w:r>
      </w:hyperlink>
      <w:r>
        <w:rPr>
          <w:color w:val="3E65AC"/>
          <w:spacing w:val="-42"/>
          <w:sz w:val="16"/>
        </w:rPr>
        <w:t> </w:t>
      </w:r>
      <w:hyperlink r:id="rId71">
        <w:r>
          <w:rPr>
            <w:color w:val="3E65AC"/>
            <w:sz w:val="16"/>
          </w:rPr>
          <w:t>10.1092</w:t>
        </w:r>
        <w:r>
          <w:rPr>
            <w:color w:val="3E65AC"/>
            <w:spacing w:val="-13"/>
            <w:sz w:val="16"/>
          </w:rPr>
          <w:t> </w:t>
        </w:r>
      </w:hyperlink>
      <w:r>
        <w:rPr>
          <w:sz w:val="16"/>
        </w:rPr>
        <w:t>PMID:</w:t>
      </w:r>
      <w:r>
        <w:rPr>
          <w:spacing w:val="-12"/>
          <w:sz w:val="16"/>
        </w:rPr>
        <w:t> </w:t>
      </w:r>
      <w:hyperlink r:id="rId72">
        <w:r>
          <w:rPr>
            <w:color w:val="3E65AC"/>
            <w:sz w:val="16"/>
          </w:rPr>
          <w:t>16717171</w:t>
        </w:r>
      </w:hyperlink>
      <w:r>
        <w:rPr>
          <w:sz w:val="16"/>
        </w:rPr>
        <w:t>.</w:t>
      </w:r>
    </w:p>
    <w:p>
      <w:pPr>
        <w:tabs>
          <w:tab w:pos="4927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28.45pt;height:.1pt;mso-position-horizontal-relative:char;mso-position-vertical-relative:line" coordorigin="0,0" coordsize="569,2">
            <v:shape style="position:absolute;left:0;top:0;width:569;height:2" coordorigin="0,0" coordsize="569,0" path="m56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1" w:after="0"/>
        <w:ind w:left="3849" w:right="148" w:hanging="420"/>
        <w:jc w:val="left"/>
        <w:rPr>
          <w:sz w:val="16"/>
        </w:rPr>
      </w:pPr>
      <w:r>
        <w:rPr/>
        <w:pict>
          <v:shape style="position:absolute;margin-left:477.751007pt;margin-top:30.181179pt;width:80.45pt;height:.1pt;mso-position-horizontal-relative:page;mso-position-vertical-relative:paragraph;z-index:-16657408" coordorigin="9555,604" coordsize="1609,0" path="m11164,604l9555,604e" filled="true" fillcolor="#3e65ac" stroked="false">
            <v:path arrowok="t"/>
            <v:fill type="solid"/>
            <w10:wrap type="none"/>
          </v:shape>
        </w:pict>
      </w:r>
      <w:r>
        <w:rPr>
          <w:spacing w:val="-1"/>
          <w:w w:val="99"/>
          <w:sz w:val="16"/>
        </w:rPr>
        <w:t>Ching-</w:t>
      </w:r>
      <w:r>
        <w:rPr>
          <w:spacing w:val="-3"/>
          <w:w w:val="99"/>
          <w:sz w:val="16"/>
        </w:rPr>
        <w:t>L</w:t>
      </w:r>
      <w:r>
        <w:rPr>
          <w:spacing w:val="-71"/>
          <w:w w:val="99"/>
          <w:sz w:val="16"/>
        </w:rPr>
        <w:t>o</w:t>
      </w:r>
      <w:r>
        <w:rPr>
          <w:spacing w:val="15"/>
          <w:w w:val="99"/>
          <w:sz w:val="16"/>
        </w:rPr>
        <w:t>´</w:t>
      </w:r>
      <w:r>
        <w:rPr>
          <w:spacing w:val="-1"/>
          <w:w w:val="99"/>
          <w:sz w:val="16"/>
        </w:rPr>
        <w:t>pe</w:t>
      </w:r>
      <w:r>
        <w:rPr>
          <w:w w:val="99"/>
          <w:sz w:val="16"/>
        </w:rPr>
        <w:t>z</w:t>
      </w:r>
      <w:r>
        <w:rPr>
          <w:spacing w:val="-11"/>
          <w:sz w:val="16"/>
        </w:rPr>
        <w:t> </w:t>
      </w:r>
      <w:r>
        <w:rPr>
          <w:spacing w:val="-1"/>
          <w:w w:val="100"/>
          <w:sz w:val="16"/>
        </w:rPr>
        <w:t>A</w:t>
      </w:r>
      <w:r>
        <w:rPr>
          <w:w w:val="100"/>
          <w:sz w:val="16"/>
        </w:rPr>
        <w:t>,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Cervill</w:t>
      </w:r>
      <w:r>
        <w:rPr>
          <w:w w:val="99"/>
          <w:sz w:val="16"/>
        </w:rPr>
        <w:t>a</w:t>
      </w:r>
      <w:r>
        <w:rPr>
          <w:spacing w:val="-12"/>
          <w:sz w:val="16"/>
        </w:rPr>
        <w:t> </w:t>
      </w:r>
      <w:r>
        <w:rPr>
          <w:spacing w:val="-1"/>
          <w:w w:val="100"/>
          <w:sz w:val="16"/>
        </w:rPr>
        <w:t>J</w:t>
      </w:r>
      <w:r>
        <w:rPr>
          <w:w w:val="100"/>
          <w:sz w:val="16"/>
        </w:rPr>
        <w:t>,</w:t>
      </w:r>
      <w:r>
        <w:rPr>
          <w:spacing w:val="-10"/>
          <w:sz w:val="16"/>
        </w:rPr>
        <w:t> </w:t>
      </w:r>
      <w:r>
        <w:rPr>
          <w:spacing w:val="-1"/>
          <w:w w:val="99"/>
          <w:sz w:val="16"/>
        </w:rPr>
        <w:t>River</w:t>
      </w:r>
      <w:r>
        <w:rPr>
          <w:w w:val="99"/>
          <w:sz w:val="16"/>
        </w:rPr>
        <w:t>a</w:t>
      </w:r>
      <w:r>
        <w:rPr>
          <w:spacing w:val="-12"/>
          <w:sz w:val="16"/>
        </w:rPr>
        <w:t> </w:t>
      </w:r>
      <w:r>
        <w:rPr>
          <w:spacing w:val="-1"/>
          <w:w w:val="100"/>
          <w:sz w:val="16"/>
        </w:rPr>
        <w:t>M</w:t>
      </w:r>
      <w:r>
        <w:rPr>
          <w:w w:val="100"/>
          <w:sz w:val="16"/>
        </w:rPr>
        <w:t>,</w:t>
      </w:r>
      <w:r>
        <w:rPr>
          <w:spacing w:val="-10"/>
          <w:sz w:val="16"/>
        </w:rPr>
        <w:t> </w:t>
      </w:r>
      <w:r>
        <w:rPr>
          <w:spacing w:val="-1"/>
          <w:w w:val="99"/>
          <w:sz w:val="16"/>
        </w:rPr>
        <w:t>Molin</w:t>
      </w:r>
      <w:r>
        <w:rPr>
          <w:w w:val="99"/>
          <w:sz w:val="16"/>
        </w:rPr>
        <w:t>a</w:t>
      </w:r>
      <w:r>
        <w:rPr>
          <w:spacing w:val="-12"/>
          <w:sz w:val="16"/>
        </w:rPr>
        <w:t> </w:t>
      </w:r>
      <w:r>
        <w:rPr>
          <w:spacing w:val="-1"/>
          <w:w w:val="100"/>
          <w:sz w:val="16"/>
        </w:rPr>
        <w:t>E</w:t>
      </w:r>
      <w:r>
        <w:rPr>
          <w:w w:val="100"/>
          <w:sz w:val="16"/>
        </w:rPr>
        <w:t>,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McKenne</w:t>
      </w:r>
      <w:r>
        <w:rPr>
          <w:w w:val="99"/>
          <w:sz w:val="16"/>
        </w:rPr>
        <w:t>y</w:t>
      </w:r>
      <w:r>
        <w:rPr>
          <w:spacing w:val="-12"/>
          <w:sz w:val="16"/>
        </w:rPr>
        <w:t> </w:t>
      </w:r>
      <w:r>
        <w:rPr>
          <w:spacing w:val="-1"/>
          <w:w w:val="100"/>
          <w:sz w:val="16"/>
        </w:rPr>
        <w:t>K</w:t>
      </w:r>
      <w:r>
        <w:rPr>
          <w:w w:val="100"/>
          <w:sz w:val="16"/>
        </w:rPr>
        <w:t>,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Ruiz-Pe</w:t>
      </w:r>
      <w:r>
        <w:rPr>
          <w:spacing w:val="-3"/>
          <w:w w:val="99"/>
          <w:sz w:val="16"/>
        </w:rPr>
        <w:t>r</w:t>
      </w:r>
      <w:r>
        <w:rPr>
          <w:spacing w:val="-1"/>
          <w:w w:val="99"/>
          <w:sz w:val="16"/>
        </w:rPr>
        <w:t>e</w:t>
      </w:r>
      <w:r>
        <w:rPr>
          <w:w w:val="99"/>
          <w:sz w:val="16"/>
        </w:rPr>
        <w:t>z</w:t>
      </w:r>
      <w:r>
        <w:rPr>
          <w:spacing w:val="-11"/>
          <w:sz w:val="16"/>
        </w:rPr>
        <w:t> </w:t>
      </w:r>
      <w:r>
        <w:rPr>
          <w:spacing w:val="-1"/>
          <w:w w:val="101"/>
          <w:sz w:val="16"/>
        </w:rPr>
        <w:t>I</w:t>
      </w:r>
      <w:r>
        <w:rPr>
          <w:w w:val="101"/>
          <w:sz w:val="16"/>
        </w:rPr>
        <w:t>,</w:t>
      </w:r>
      <w:r>
        <w:rPr>
          <w:spacing w:val="-10"/>
          <w:sz w:val="16"/>
        </w:rPr>
        <w:t> </w:t>
      </w:r>
      <w:r>
        <w:rPr>
          <w:spacing w:val="-1"/>
          <w:w w:val="99"/>
          <w:sz w:val="16"/>
        </w:rPr>
        <w:t>e</w:t>
      </w:r>
      <w:r>
        <w:rPr>
          <w:w w:val="99"/>
          <w:sz w:val="16"/>
        </w:rPr>
        <w:t>t</w:t>
      </w:r>
      <w:r>
        <w:rPr>
          <w:spacing w:val="-12"/>
          <w:sz w:val="16"/>
        </w:rPr>
        <w:t> </w:t>
      </w:r>
      <w:r>
        <w:rPr>
          <w:spacing w:val="-1"/>
          <w:w w:val="99"/>
          <w:sz w:val="16"/>
        </w:rPr>
        <w:t>al</w:t>
      </w:r>
      <w:r>
        <w:rPr>
          <w:w w:val="99"/>
          <w:sz w:val="16"/>
        </w:rPr>
        <w:t>.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Epidemiolog</w:t>
      </w:r>
      <w:r>
        <w:rPr>
          <w:spacing w:val="-3"/>
          <w:w w:val="99"/>
          <w:sz w:val="16"/>
        </w:rPr>
        <w:t>i</w:t>
      </w:r>
      <w:r>
        <w:rPr>
          <w:spacing w:val="-1"/>
          <w:w w:val="99"/>
          <w:sz w:val="16"/>
        </w:rPr>
        <w:t>ca</w:t>
      </w:r>
      <w:r>
        <w:rPr>
          <w:w w:val="99"/>
          <w:sz w:val="16"/>
        </w:rPr>
        <w:t>l</w:t>
      </w:r>
      <w:r>
        <w:rPr>
          <w:spacing w:val="-11"/>
          <w:sz w:val="16"/>
        </w:rPr>
        <w:t> </w:t>
      </w:r>
      <w:r>
        <w:rPr>
          <w:spacing w:val="-1"/>
          <w:w w:val="99"/>
          <w:sz w:val="16"/>
        </w:rPr>
        <w:t>sup- </w:t>
      </w:r>
      <w:bookmarkStart w:name="_bookmark75" w:id="80"/>
      <w:bookmarkEnd w:id="80"/>
      <w:r>
        <w:rPr>
          <w:spacing w:val="-2"/>
          <w:sz w:val="16"/>
        </w:rPr>
        <w:t>por</w:t>
      </w:r>
      <w:r>
        <w:rPr>
          <w:spacing w:val="-2"/>
          <w:sz w:val="16"/>
        </w:rPr>
        <w:t>t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for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genetic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variability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at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hypothalamic-pituitary-adrenal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axis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serotonergic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system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as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risk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factors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for major depression. Neuropsychiatr </w:t>
      </w:r>
      <w:r>
        <w:rPr>
          <w:spacing w:val="-1"/>
          <w:sz w:val="16"/>
        </w:rPr>
        <w:t>Dis Treat. 2015 Oct 22; 11:2743–54. </w:t>
      </w:r>
      <w:hyperlink r:id="rId73">
        <w:r>
          <w:rPr>
            <w:color w:val="3E65AC"/>
            <w:spacing w:val="-1"/>
            <w:sz w:val="16"/>
          </w:rPr>
          <w:t>https://doi.org/10.2147/</w:t>
        </w:r>
      </w:hyperlink>
      <w:r>
        <w:rPr>
          <w:color w:val="3E65AC"/>
          <w:sz w:val="16"/>
        </w:rPr>
        <w:t> </w:t>
      </w:r>
      <w:hyperlink r:id="rId73">
        <w:r>
          <w:rPr>
            <w:color w:val="3E65AC"/>
            <w:sz w:val="16"/>
          </w:rPr>
          <w:t>NDT.S90369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z w:val="16"/>
        </w:rPr>
        <w:t>PMID:</w:t>
      </w:r>
      <w:r>
        <w:rPr>
          <w:spacing w:val="-12"/>
          <w:sz w:val="16"/>
        </w:rPr>
        <w:t> </w:t>
      </w:r>
      <w:hyperlink r:id="rId74">
        <w:r>
          <w:rPr>
            <w:color w:val="3E65AC"/>
            <w:sz w:val="16"/>
          </w:rPr>
          <w:t>26543368</w:t>
        </w:r>
      </w:hyperlink>
      <w:r>
        <w:rPr>
          <w:sz w:val="16"/>
        </w:rPr>
        <w:t>;</w:t>
      </w:r>
      <w:r>
        <w:rPr>
          <w:spacing w:val="-12"/>
          <w:sz w:val="16"/>
        </w:rPr>
        <w:t> </w:t>
      </w:r>
      <w:r>
        <w:rPr>
          <w:sz w:val="16"/>
        </w:rPr>
        <w:t>PMCID:</w:t>
      </w:r>
      <w:r>
        <w:rPr>
          <w:spacing w:val="-13"/>
          <w:sz w:val="16"/>
        </w:rPr>
        <w:t> </w:t>
      </w:r>
      <w:r>
        <w:rPr>
          <w:sz w:val="16"/>
        </w:rPr>
        <w:t>PMC4622554.</w:t>
      </w:r>
    </w:p>
    <w:p>
      <w:pPr>
        <w:tabs>
          <w:tab w:pos="5270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45.6pt;height:.1pt;mso-position-horizontal-relative:char;mso-position-vertical-relative:line" coordorigin="0,0" coordsize="912,2">
            <v:shape style="position:absolute;left:0;top:0;width:912;height:2" coordorigin="0,0" coordsize="912,0" path="m912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2" w:after="0"/>
        <w:ind w:left="3849" w:right="273" w:hanging="420"/>
        <w:jc w:val="left"/>
        <w:rPr>
          <w:sz w:val="16"/>
        </w:rPr>
      </w:pPr>
      <w:bookmarkStart w:name="_bookmark76" w:id="81"/>
      <w:bookmarkEnd w:id="81"/>
      <w:r>
        <w:rPr/>
      </w:r>
      <w:bookmarkStart w:name="_bookmark76" w:id="82"/>
      <w:bookmarkEnd w:id="82"/>
      <w:r>
        <w:rPr>
          <w:spacing w:val="-2"/>
          <w:sz w:val="16"/>
        </w:rPr>
        <w:t>Ishitob</w:t>
      </w:r>
      <w:r>
        <w:rPr>
          <w:spacing w:val="-2"/>
          <w:sz w:val="16"/>
        </w:rPr>
        <w:t>i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Y.,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Nakayama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S.,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Yamaguchi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K.,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Kanehisa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M.,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Higuma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H.,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Maruyama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Y.,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et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al.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Association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42"/>
          <w:sz w:val="16"/>
        </w:rPr>
        <w:t> </w:t>
      </w:r>
      <w:r>
        <w:rPr>
          <w:w w:val="95"/>
          <w:sz w:val="16"/>
        </w:rPr>
        <w:t>CRHR1 and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CRHR2 with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major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depressive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disorder and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panic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disorder in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a Japanese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population.</w:t>
      </w:r>
      <w:r>
        <w:rPr>
          <w:spacing w:val="1"/>
          <w:w w:val="95"/>
          <w:sz w:val="16"/>
        </w:rPr>
        <w:t> </w:t>
      </w:r>
      <w:r>
        <w:rPr>
          <w:spacing w:val="-2"/>
          <w:sz w:val="16"/>
        </w:rPr>
        <w:t>American Journal of Medical </w:t>
      </w:r>
      <w:r>
        <w:rPr>
          <w:spacing w:val="-1"/>
          <w:sz w:val="16"/>
        </w:rPr>
        <w:t>Genetics Part B: Neuropsychiatric Genetics, 2012, 159B(4), 429–436.</w:t>
      </w:r>
      <w:r>
        <w:rPr>
          <w:sz w:val="16"/>
        </w:rPr>
        <w:t> </w:t>
      </w:r>
      <w:hyperlink r:id="rId75">
        <w:r>
          <w:rPr>
            <w:color w:val="3E65AC"/>
            <w:spacing w:val="-2"/>
            <w:sz w:val="16"/>
          </w:rPr>
          <w:t>https://doi.org/10.1002/ajmg.b.32046</w:t>
        </w:r>
        <w:r>
          <w:rPr>
            <w:color w:val="3E65AC"/>
            <w:spacing w:val="-11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1"/>
          <w:sz w:val="16"/>
        </w:rPr>
        <w:t> </w:t>
      </w:r>
      <w:hyperlink r:id="rId76">
        <w:r>
          <w:rPr>
            <w:color w:val="3E65AC"/>
            <w:spacing w:val="-1"/>
            <w:sz w:val="16"/>
          </w:rPr>
          <w:t>22467522</w:t>
        </w:r>
      </w:hyperlink>
    </w:p>
    <w:p>
      <w:pPr>
        <w:tabs>
          <w:tab w:pos="6921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28.15pt;height:.1pt;mso-position-horizontal-relative:char;mso-position-vertical-relative:line" coordorigin="0,0" coordsize="2563,2">
            <v:shape style="position:absolute;left:0;top:0;width:2563;height:2" coordorigin="0,0" coordsize="2563,0" path="m2563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2" w:after="0"/>
        <w:ind w:left="3849" w:right="148" w:hanging="420"/>
        <w:jc w:val="left"/>
        <w:rPr>
          <w:sz w:val="16"/>
        </w:rPr>
      </w:pPr>
      <w:r>
        <w:rPr/>
        <w:pict>
          <v:shape style="position:absolute;margin-left:295.427002pt;margin-top:30.231833pt;width:148.6pt;height:.1pt;mso-position-horizontal-relative:page;mso-position-vertical-relative:paragraph;z-index:-16656896" coordorigin="5909,605" coordsize="2972,0" path="m8880,605l5909,605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7.221985pt;margin-top:30.231833pt;width:34.950pt;height:.1pt;mso-position-horizontal-relative:page;mso-position-vertical-relative:paragraph;z-index:-16656384" coordorigin="10744,605" coordsize="699,0" path="m11443,605l10744,605e" filled="true" fillcolor="#3e65ac" stroked="false">
            <v:path arrowok="t"/>
            <v:fill type="solid"/>
            <w10:wrap type="none"/>
          </v:shape>
        </w:pict>
      </w:r>
      <w:bookmarkStart w:name="_bookmark77" w:id="83"/>
      <w:bookmarkEnd w:id="83"/>
      <w:r>
        <w:rPr/>
      </w:r>
      <w:bookmarkStart w:name="_bookmark77" w:id="84"/>
      <w:bookmarkEnd w:id="84"/>
      <w:r>
        <w:rPr>
          <w:w w:val="95"/>
          <w:sz w:val="16"/>
        </w:rPr>
        <w:t>Maho</w:t>
      </w:r>
      <w:r>
        <w:rPr>
          <w:w w:val="95"/>
          <w:sz w:val="16"/>
        </w:rPr>
        <w:t>n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PB,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Zandi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PP,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Potash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JB,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Nestadt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G,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Wand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GS.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Genetic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association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FKBP5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CRHR1</w:t>
      </w:r>
      <w:r>
        <w:rPr>
          <w:spacing w:val="1"/>
          <w:w w:val="95"/>
          <w:sz w:val="16"/>
        </w:rPr>
        <w:t> </w:t>
      </w:r>
      <w:r>
        <w:rPr>
          <w:spacing w:val="-2"/>
          <w:sz w:val="16"/>
        </w:rPr>
        <w:t>with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cortisol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response</w:t>
      </w:r>
      <w:r>
        <w:rPr>
          <w:spacing w:val="-13"/>
          <w:sz w:val="16"/>
        </w:rPr>
        <w:t> </w:t>
      </w:r>
      <w:r>
        <w:rPr>
          <w:spacing w:val="-2"/>
          <w:sz w:val="16"/>
        </w:rPr>
        <w:t>to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acute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psychosocial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stress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in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healthy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adults.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Psychopharmacology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(Berl).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2013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May;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227(2):231–41.</w:t>
      </w:r>
      <w:r>
        <w:rPr>
          <w:spacing w:val="-8"/>
          <w:sz w:val="16"/>
        </w:rPr>
        <w:t> </w:t>
      </w:r>
      <w:hyperlink r:id="rId77">
        <w:r>
          <w:rPr>
            <w:color w:val="3E65AC"/>
            <w:spacing w:val="-2"/>
            <w:sz w:val="16"/>
          </w:rPr>
          <w:t>https://doi.org/10.1007/s00213-012-2956-x</w:t>
        </w:r>
        <w:r>
          <w:rPr>
            <w:color w:val="3E65AC"/>
            <w:spacing w:val="-8"/>
            <w:sz w:val="16"/>
          </w:rPr>
          <w:t> </w:t>
        </w:r>
      </w:hyperlink>
      <w:r>
        <w:rPr>
          <w:spacing w:val="-1"/>
          <w:sz w:val="16"/>
        </w:rPr>
        <w:t>Epub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2012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Dec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30.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PMID:</w:t>
      </w:r>
      <w:r>
        <w:rPr>
          <w:spacing w:val="-9"/>
          <w:sz w:val="16"/>
        </w:rPr>
        <w:t> </w:t>
      </w:r>
      <w:hyperlink r:id="rId78">
        <w:r>
          <w:rPr>
            <w:color w:val="3E65AC"/>
            <w:spacing w:val="-1"/>
            <w:sz w:val="16"/>
          </w:rPr>
          <w:t>23274505</w:t>
        </w:r>
      </w:hyperlink>
      <w:r>
        <w:rPr>
          <w:spacing w:val="-1"/>
          <w:sz w:val="16"/>
        </w:rPr>
        <w:t>;</w:t>
      </w:r>
      <w:r>
        <w:rPr>
          <w:spacing w:val="-42"/>
          <w:sz w:val="16"/>
        </w:rPr>
        <w:t> </w:t>
      </w:r>
      <w:r>
        <w:rPr>
          <w:sz w:val="16"/>
        </w:rPr>
        <w:t>PMCID:</w:t>
      </w:r>
      <w:r>
        <w:rPr>
          <w:spacing w:val="-13"/>
          <w:sz w:val="16"/>
        </w:rPr>
        <w:t> </w:t>
      </w:r>
      <w:r>
        <w:rPr>
          <w:sz w:val="16"/>
        </w:rPr>
        <w:t>PMC3628278.</w:t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9" w:lineRule="auto" w:before="72" w:after="0"/>
        <w:ind w:left="3849" w:right="274" w:hanging="420"/>
        <w:jc w:val="left"/>
        <w:rPr>
          <w:sz w:val="16"/>
        </w:rPr>
      </w:pPr>
      <w:r>
        <w:rPr/>
        <w:pict>
          <v:shape style="position:absolute;margin-left:531.780029pt;margin-top:21.707352pt;width:36.4pt;height:.1pt;mso-position-horizontal-relative:page;mso-position-vertical-relative:paragraph;z-index:-16655872" coordorigin="10636,434" coordsize="728,0" path="m11364,434l10636,434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1.498993pt;margin-top:31.231352pt;width:120.05pt;height:.1pt;mso-position-horizontal-relative:page;mso-position-vertical-relative:paragraph;z-index:15813120" coordorigin="4430,625" coordsize="2401,0" path="m6830,625l4430,625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0.412994pt;margin-top:31.231352pt;width:34.950pt;height:.1pt;mso-position-horizontal-relative:page;mso-position-vertical-relative:paragraph;z-index:15813632" coordorigin="8608,625" coordsize="699,0" path="m9307,625l8608,625e" filled="true" fillcolor="#3e65ac" stroked="false">
            <v:path arrowok="t"/>
            <v:fill type="solid"/>
            <w10:wrap type="none"/>
          </v:shape>
        </w:pict>
      </w:r>
      <w:bookmarkStart w:name="_bookmark78" w:id="85"/>
      <w:bookmarkEnd w:id="85"/>
      <w:r>
        <w:rPr/>
      </w:r>
      <w:bookmarkStart w:name="_bookmark78" w:id="86"/>
      <w:bookmarkEnd w:id="86"/>
      <w:r>
        <w:rPr>
          <w:spacing w:val="-2"/>
          <w:sz w:val="16"/>
        </w:rPr>
        <w:t>Sat</w:t>
      </w:r>
      <w:r>
        <w:rPr>
          <w:spacing w:val="-2"/>
          <w:sz w:val="16"/>
        </w:rPr>
        <w:t>o N, Suzuki N, </w:t>
      </w:r>
      <w:r>
        <w:rPr>
          <w:spacing w:val="-1"/>
          <w:sz w:val="16"/>
        </w:rPr>
        <w:t>Sasaki A, Aizawa E, Obayashi T, Kanazawa M, et al. Corticotropin-releasing hor-</w:t>
      </w:r>
      <w:r>
        <w:rPr>
          <w:spacing w:val="-42"/>
          <w:sz w:val="16"/>
        </w:rPr>
        <w:t> </w:t>
      </w:r>
      <w:r>
        <w:rPr>
          <w:w w:val="95"/>
          <w:sz w:val="16"/>
        </w:rPr>
        <w:t>mone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receptor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1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gene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variants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in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irritable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bowel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syndrome.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PLoS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One.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2012;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7(9):e42450.</w:t>
      </w:r>
      <w:r>
        <w:rPr>
          <w:spacing w:val="7"/>
          <w:w w:val="95"/>
          <w:sz w:val="16"/>
        </w:rPr>
        <w:t> </w:t>
      </w:r>
      <w:hyperlink r:id="rId79">
        <w:r>
          <w:rPr>
            <w:color w:val="3E65AC"/>
            <w:w w:val="95"/>
            <w:sz w:val="16"/>
          </w:rPr>
          <w:t>https://doi.</w:t>
        </w:r>
      </w:hyperlink>
      <w:r>
        <w:rPr>
          <w:color w:val="3E65AC"/>
          <w:spacing w:val="-39"/>
          <w:w w:val="95"/>
          <w:sz w:val="16"/>
        </w:rPr>
        <w:t> </w:t>
      </w:r>
      <w:hyperlink r:id="rId79">
        <w:r>
          <w:rPr>
            <w:color w:val="3E65AC"/>
            <w:spacing w:val="-2"/>
            <w:sz w:val="16"/>
          </w:rPr>
          <w:t>org/10.1371/journal.pone.0042450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pacing w:val="-1"/>
          <w:sz w:val="16"/>
        </w:rPr>
        <w:t>Epub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2012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Sep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5.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PMID:</w:t>
      </w:r>
      <w:r>
        <w:rPr>
          <w:spacing w:val="-11"/>
          <w:sz w:val="16"/>
        </w:rPr>
        <w:t> </w:t>
      </w:r>
      <w:hyperlink r:id="rId80">
        <w:r>
          <w:rPr>
            <w:color w:val="3E65AC"/>
            <w:spacing w:val="-1"/>
            <w:sz w:val="16"/>
          </w:rPr>
          <w:t>22957021</w:t>
        </w:r>
      </w:hyperlink>
      <w:r>
        <w:rPr>
          <w:spacing w:val="-1"/>
          <w:sz w:val="16"/>
        </w:rPr>
        <w:t>;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PMCID: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PMC3434156.</w:t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67" w:after="0"/>
        <w:ind w:left="3849" w:right="213" w:hanging="420"/>
        <w:jc w:val="left"/>
        <w:rPr>
          <w:sz w:val="16"/>
        </w:rPr>
      </w:pPr>
      <w:r>
        <w:rPr/>
        <w:pict>
          <v:shape style="position:absolute;margin-left:510.350006pt;margin-top:21.401529pt;width:60.85pt;height:.1pt;mso-position-horizontal-relative:page;mso-position-vertical-relative:paragraph;z-index:-16654336" coordorigin="10207,428" coordsize="1217,0" path="m11424,428l10207,428e" filled="true" fillcolor="#3e65ac" stroked="false">
            <v:path arrowok="t"/>
            <v:fill type="solid"/>
            <w10:wrap type="none"/>
          </v:shape>
        </w:pict>
      </w:r>
      <w:bookmarkStart w:name="_bookmark79" w:id="87"/>
      <w:bookmarkEnd w:id="87"/>
      <w:r>
        <w:rPr/>
      </w:r>
      <w:bookmarkStart w:name="_bookmark79" w:id="88"/>
      <w:bookmarkEnd w:id="88"/>
      <w:r>
        <w:rPr>
          <w:w w:val="95"/>
          <w:sz w:val="16"/>
        </w:rPr>
        <w:t>Cemi</w:t>
      </w:r>
      <w:r>
        <w:rPr>
          <w:w w:val="95"/>
          <w:sz w:val="16"/>
        </w:rPr>
        <w:t>l BC, Canpolat F, Yilmazer D, Eskioğlu F, Alper M. The association of PASI scores with CRH-R1</w:t>
      </w:r>
      <w:r>
        <w:rPr>
          <w:spacing w:val="1"/>
          <w:w w:val="95"/>
          <w:sz w:val="16"/>
        </w:rPr>
        <w:t> </w:t>
      </w:r>
      <w:r>
        <w:rPr>
          <w:spacing w:val="-2"/>
          <w:sz w:val="16"/>
        </w:rPr>
        <w:t>expression</w:t>
      </w:r>
      <w:r>
        <w:rPr>
          <w:spacing w:val="-13"/>
          <w:sz w:val="16"/>
        </w:rPr>
        <w:t> </w:t>
      </w:r>
      <w:r>
        <w:rPr>
          <w:spacing w:val="-2"/>
          <w:sz w:val="16"/>
        </w:rPr>
        <w:t>in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patients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with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psoriasis.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Arch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Dermatol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Res.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2012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Mar;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304(2):127–32.</w:t>
      </w:r>
      <w:r>
        <w:rPr>
          <w:spacing w:val="-12"/>
          <w:sz w:val="16"/>
        </w:rPr>
        <w:t> </w:t>
      </w:r>
      <w:hyperlink r:id="rId81">
        <w:r>
          <w:rPr>
            <w:color w:val="3E65AC"/>
            <w:spacing w:val="-1"/>
            <w:sz w:val="16"/>
          </w:rPr>
          <w:t>https://doi.org/10.</w:t>
        </w:r>
      </w:hyperlink>
      <w:r>
        <w:rPr>
          <w:color w:val="3E65AC"/>
          <w:spacing w:val="-42"/>
          <w:sz w:val="16"/>
        </w:rPr>
        <w:t> </w:t>
      </w:r>
      <w:hyperlink r:id="rId81">
        <w:r>
          <w:rPr>
            <w:color w:val="3E65AC"/>
            <w:spacing w:val="-2"/>
            <w:sz w:val="16"/>
          </w:rPr>
          <w:t>1007/s00403-012-1218-4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pacing w:val="-1"/>
          <w:sz w:val="16"/>
        </w:rPr>
        <w:t>Epub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2012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Feb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15.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PMID:</w:t>
      </w:r>
      <w:r>
        <w:rPr>
          <w:spacing w:val="-12"/>
          <w:sz w:val="16"/>
        </w:rPr>
        <w:t> </w:t>
      </w:r>
      <w:hyperlink r:id="rId82">
        <w:r>
          <w:rPr>
            <w:color w:val="3E65AC"/>
            <w:spacing w:val="-1"/>
            <w:sz w:val="16"/>
          </w:rPr>
          <w:t>22350180</w:t>
        </w:r>
      </w:hyperlink>
      <w:r>
        <w:rPr>
          <w:spacing w:val="-1"/>
          <w:sz w:val="16"/>
        </w:rPr>
        <w:t>.</w:t>
      </w:r>
    </w:p>
    <w:p>
      <w:pPr>
        <w:tabs>
          <w:tab w:pos="7470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88.25pt;height:.1pt;mso-position-horizontal-relative:char;mso-position-vertical-relative:line" coordorigin="0,0" coordsize="1765,2">
            <v:shape style="position:absolute;left:0;top:0;width:1765;height:2" coordorigin="0,0" coordsize="1765,0" path="m1764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1" w:after="0"/>
        <w:ind w:left="3849" w:right="168" w:hanging="420"/>
        <w:jc w:val="left"/>
        <w:rPr>
          <w:sz w:val="16"/>
        </w:rPr>
      </w:pPr>
      <w:r>
        <w:rPr>
          <w:spacing w:val="-2"/>
          <w:sz w:val="16"/>
        </w:rPr>
        <w:t>Papadopoulou N, Kalogeromitros D, </w:t>
      </w:r>
      <w:r>
        <w:rPr>
          <w:spacing w:val="-1"/>
          <w:sz w:val="16"/>
        </w:rPr>
        <w:t>Staurianeas NG, Tiblalexi D, Theoharides TC. Corticotropin-</w:t>
      </w:r>
      <w:r>
        <w:rPr>
          <w:sz w:val="16"/>
        </w:rPr>
        <w:t> </w:t>
      </w:r>
      <w:r>
        <w:rPr>
          <w:w w:val="95"/>
          <w:sz w:val="16"/>
        </w:rPr>
        <w:t>releasing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hormone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receptor-1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histidine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decarboxylase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expression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in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chronic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urticaria.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J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Invest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Der-</w:t>
      </w:r>
      <w:r>
        <w:rPr>
          <w:spacing w:val="-39"/>
          <w:w w:val="95"/>
          <w:sz w:val="16"/>
        </w:rPr>
        <w:t> </w:t>
      </w:r>
      <w:r>
        <w:rPr>
          <w:spacing w:val="-2"/>
          <w:sz w:val="16"/>
        </w:rPr>
        <w:t>matol.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2005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Nov;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125(5):952–5.</w:t>
      </w:r>
      <w:r>
        <w:rPr>
          <w:spacing w:val="-7"/>
          <w:sz w:val="16"/>
        </w:rPr>
        <w:t> </w:t>
      </w:r>
      <w:hyperlink r:id="rId83">
        <w:r>
          <w:rPr>
            <w:color w:val="3E65AC"/>
            <w:spacing w:val="-2"/>
            <w:sz w:val="16"/>
          </w:rPr>
          <w:t>https://doi.org/10.1111/j.0022-202X.2005.23913.x</w:t>
        </w:r>
        <w:r>
          <w:rPr>
            <w:color w:val="3E65AC"/>
            <w:spacing w:val="-8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7"/>
          <w:sz w:val="16"/>
        </w:rPr>
        <w:t> </w:t>
      </w:r>
      <w:hyperlink r:id="rId84">
        <w:r>
          <w:rPr>
            <w:color w:val="3E65AC"/>
            <w:spacing w:val="-1"/>
            <w:sz w:val="16"/>
          </w:rPr>
          <w:t>16297195</w:t>
        </w:r>
      </w:hyperlink>
      <w:r>
        <w:rPr>
          <w:spacing w:val="-1"/>
          <w:sz w:val="16"/>
        </w:rPr>
        <w:t>.</w:t>
      </w:r>
    </w:p>
    <w:p>
      <w:pPr>
        <w:tabs>
          <w:tab w:pos="10032" w:val="left" w:leader="none"/>
        </w:tabs>
        <w:spacing w:line="20" w:lineRule="exact"/>
        <w:ind w:left="6071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72.65pt;height:.1pt;mso-position-horizontal-relative:char;mso-position-vertical-relative:line" coordorigin="0,0" coordsize="3453,2">
            <v:shape style="position:absolute;left:0;top:0;width:3453;height:2" coordorigin="0,0" coordsize="3453,0" path="m3453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2" w:after="0"/>
        <w:ind w:left="3849" w:right="202" w:hanging="420"/>
        <w:jc w:val="left"/>
        <w:rPr>
          <w:sz w:val="16"/>
        </w:rPr>
      </w:pPr>
      <w:r>
        <w:rPr/>
        <w:pict>
          <v:shape style="position:absolute;margin-left:490.506989pt;margin-top:30.176136pt;width:80.55pt;height:.1pt;mso-position-horizontal-relative:page;mso-position-vertical-relative:paragraph;z-index:-16653824" coordorigin="9810,604" coordsize="1611,0" path="m11420,604l9810,604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Tsartsali L, Papadopoulos </w:t>
      </w:r>
      <w:r>
        <w:rPr>
          <w:spacing w:val="-1"/>
          <w:sz w:val="16"/>
        </w:rPr>
        <w:t>M, Lagona E, Papadimitriou A, Kanaka-Gantenbein C, Louizou E, et al.</w:t>
      </w:r>
      <w:r>
        <w:rPr>
          <w:sz w:val="16"/>
        </w:rPr>
        <w:t> </w:t>
      </w:r>
      <w:r>
        <w:rPr>
          <w:spacing w:val="-2"/>
          <w:sz w:val="16"/>
        </w:rPr>
        <w:t>Association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hypothalamic-pituitary-adrenal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axis-related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polymorphisms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with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stress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in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asthmatic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chil-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dren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on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inhaled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corticosteroids.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Neuroimmunomodulation.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2012;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19(2):88–95.</w:t>
      </w:r>
      <w:r>
        <w:rPr>
          <w:spacing w:val="-10"/>
          <w:sz w:val="16"/>
        </w:rPr>
        <w:t> </w:t>
      </w:r>
      <w:hyperlink r:id="rId85">
        <w:r>
          <w:rPr>
            <w:color w:val="3E65AC"/>
            <w:spacing w:val="-1"/>
            <w:sz w:val="16"/>
          </w:rPr>
          <w:t>https://doi.org/10.1159/</w:t>
        </w:r>
      </w:hyperlink>
      <w:r>
        <w:rPr>
          <w:color w:val="3E65AC"/>
          <w:spacing w:val="-42"/>
          <w:sz w:val="16"/>
        </w:rPr>
        <w:t> </w:t>
      </w:r>
      <w:hyperlink r:id="rId85">
        <w:r>
          <w:rPr>
            <w:color w:val="3E65AC"/>
            <w:sz w:val="16"/>
          </w:rPr>
          <w:t>000329592</w:t>
        </w:r>
        <w:r>
          <w:rPr>
            <w:color w:val="3E65AC"/>
            <w:spacing w:val="-13"/>
            <w:sz w:val="16"/>
          </w:rPr>
          <w:t> </w:t>
        </w:r>
      </w:hyperlink>
      <w:r>
        <w:rPr>
          <w:sz w:val="16"/>
        </w:rPr>
        <w:t>Epub</w:t>
      </w:r>
      <w:r>
        <w:rPr>
          <w:spacing w:val="-12"/>
          <w:sz w:val="16"/>
        </w:rPr>
        <w:t> </w:t>
      </w:r>
      <w:r>
        <w:rPr>
          <w:sz w:val="16"/>
        </w:rPr>
        <w:t>2012</w:t>
      </w:r>
      <w:r>
        <w:rPr>
          <w:spacing w:val="-14"/>
          <w:sz w:val="16"/>
        </w:rPr>
        <w:t> </w:t>
      </w:r>
      <w:r>
        <w:rPr>
          <w:sz w:val="16"/>
        </w:rPr>
        <w:t>Jan</w:t>
      </w:r>
      <w:r>
        <w:rPr>
          <w:spacing w:val="-11"/>
          <w:sz w:val="16"/>
        </w:rPr>
        <w:t> </w:t>
      </w:r>
      <w:r>
        <w:rPr>
          <w:sz w:val="16"/>
        </w:rPr>
        <w:t>11.</w:t>
      </w:r>
      <w:r>
        <w:rPr>
          <w:spacing w:val="-12"/>
          <w:sz w:val="16"/>
        </w:rPr>
        <w:t> </w:t>
      </w:r>
      <w:r>
        <w:rPr>
          <w:sz w:val="16"/>
        </w:rPr>
        <w:t>PMID:</w:t>
      </w:r>
      <w:r>
        <w:rPr>
          <w:spacing w:val="-11"/>
          <w:sz w:val="16"/>
        </w:rPr>
        <w:t> </w:t>
      </w:r>
      <w:hyperlink r:id="rId86">
        <w:r>
          <w:rPr>
            <w:color w:val="3E65AC"/>
            <w:sz w:val="16"/>
          </w:rPr>
          <w:t>22248724</w:t>
        </w:r>
      </w:hyperlink>
      <w:r>
        <w:rPr>
          <w:sz w:val="16"/>
        </w:rPr>
        <w:t>.</w:t>
      </w:r>
    </w:p>
    <w:p>
      <w:pPr>
        <w:tabs>
          <w:tab w:pos="6474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39.3pt;height:.1pt;mso-position-horizontal-relative:char;mso-position-vertical-relative:line" coordorigin="0,0" coordsize="786,2">
            <v:shape style="position:absolute;left:0;top:0;width:786;height:2" coordorigin="0,0" coordsize="786,0" path="m786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pt;height:.1pt;mso-position-horizontal-relative:char;mso-position-vertical-relative:line" coordorigin="0,0" coordsize="698,2">
            <v:shape style="position:absolute;left:0;top:0;width:698;height:2" coordorigin="0,0" coordsize="698,0" path="m697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2" w:after="0"/>
        <w:ind w:left="3849" w:right="286" w:hanging="420"/>
        <w:jc w:val="left"/>
        <w:rPr>
          <w:sz w:val="16"/>
        </w:rPr>
      </w:pPr>
      <w:r>
        <w:rPr/>
        <w:pict>
          <v:shape style="position:absolute;margin-left:455.697998pt;margin-top:30.176464pt;width:108.85pt;height:.1pt;mso-position-horizontal-relative:page;mso-position-vertical-relative:paragraph;z-index:-16653312" coordorigin="9114,604" coordsize="2177,0" path="m11291,604l9114,604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Kussainova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Kassym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L,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Akhmetova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Dvoryankova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Glushkova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N,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Khismetova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Z,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et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al.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Associa-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tions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between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serum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levels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brain-derived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neurotrophic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factor,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corticotropin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releasing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hormone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and</w:t>
      </w:r>
      <w:r>
        <w:rPr>
          <w:sz w:val="16"/>
        </w:rPr>
        <w:t> </w:t>
      </w:r>
      <w:r>
        <w:rPr>
          <w:spacing w:val="-2"/>
          <w:sz w:val="16"/>
        </w:rPr>
        <w:t>mental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distress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in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vitiligo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patients.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Sci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Rep.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2022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May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4;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12(1):7260.</w:t>
      </w:r>
      <w:r>
        <w:rPr>
          <w:spacing w:val="-10"/>
          <w:sz w:val="16"/>
        </w:rPr>
        <w:t> </w:t>
      </w:r>
      <w:hyperlink r:id="rId87">
        <w:r>
          <w:rPr>
            <w:color w:val="3E65AC"/>
            <w:spacing w:val="-1"/>
            <w:sz w:val="16"/>
          </w:rPr>
          <w:t>https://doi.org/10.1038/s41598-</w:t>
        </w:r>
      </w:hyperlink>
      <w:r>
        <w:rPr>
          <w:color w:val="3E65AC"/>
          <w:sz w:val="16"/>
        </w:rPr>
        <w:t> </w:t>
      </w:r>
      <w:hyperlink r:id="rId87">
        <w:r>
          <w:rPr>
            <w:color w:val="3E65AC"/>
            <w:spacing w:val="-2"/>
            <w:sz w:val="16"/>
          </w:rPr>
          <w:t>022-11028-8</w:t>
        </w:r>
        <w:r>
          <w:rPr>
            <w:color w:val="3E65AC"/>
            <w:spacing w:val="-11"/>
            <w:sz w:val="16"/>
          </w:rPr>
          <w:t> </w:t>
        </w:r>
      </w:hyperlink>
      <w:r>
        <w:rPr>
          <w:spacing w:val="-2"/>
          <w:sz w:val="16"/>
        </w:rPr>
        <w:t>PMID:</w:t>
      </w:r>
      <w:r>
        <w:rPr>
          <w:spacing w:val="-11"/>
          <w:sz w:val="16"/>
        </w:rPr>
        <w:t> </w:t>
      </w:r>
      <w:hyperlink r:id="rId88">
        <w:r>
          <w:rPr>
            <w:color w:val="3E65AC"/>
            <w:spacing w:val="-2"/>
            <w:sz w:val="16"/>
          </w:rPr>
          <w:t>35508633</w:t>
        </w:r>
      </w:hyperlink>
      <w:r>
        <w:rPr>
          <w:spacing w:val="-2"/>
          <w:sz w:val="16"/>
        </w:rPr>
        <w:t>;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PMCID: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PMC9068776.</w:t>
      </w:r>
    </w:p>
    <w:p>
      <w:pPr>
        <w:tabs>
          <w:tab w:pos="5250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44.6pt;height:.1pt;mso-position-horizontal-relative:char;mso-position-vertical-relative:line" coordorigin="0,0" coordsize="892,2">
            <v:shape style="position:absolute;left:0;top:0;width:892;height:2" coordorigin="0,0" coordsize="892,0" path="m891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pt;height:.1pt;mso-position-horizontal-relative:char;mso-position-vertical-relative:line" coordorigin="0,0" coordsize="698,2">
            <v:shape style="position:absolute;left:0;top:0;width:698;height:2" coordorigin="0,0" coordsize="698,0" path="m697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2" w:after="0"/>
        <w:ind w:left="3849" w:right="173" w:hanging="420"/>
        <w:jc w:val="left"/>
        <w:rPr>
          <w:sz w:val="16"/>
        </w:rPr>
      </w:pPr>
      <w:r>
        <w:rPr/>
        <w:pict>
          <v:shape style="position:absolute;margin-left:465.846008pt;margin-top:20.651981pt;width:101.55pt;height:.1pt;mso-position-horizontal-relative:page;mso-position-vertical-relative:paragraph;z-index:-16652800" coordorigin="9317,413" coordsize="2031,0" path="m11348,413l9317,413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Hoffjan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S,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Parwez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Q,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Petrasch-Parwez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Stemmler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S.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Variation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in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the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BDNF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NGFB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genes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in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Ger-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man atopic dermatitis patients. </w:t>
      </w:r>
      <w:r>
        <w:rPr>
          <w:spacing w:val="-1"/>
          <w:sz w:val="16"/>
        </w:rPr>
        <w:t>Mol Cell Probes. 2009 Feb; 23(1):35–8. </w:t>
      </w:r>
      <w:hyperlink r:id="rId89">
        <w:r>
          <w:rPr>
            <w:color w:val="3E65AC"/>
            <w:spacing w:val="-1"/>
            <w:sz w:val="16"/>
          </w:rPr>
          <w:t>https://doi.org/10.1016/j.mcp.</w:t>
        </w:r>
      </w:hyperlink>
      <w:r>
        <w:rPr>
          <w:color w:val="3E65AC"/>
          <w:sz w:val="16"/>
        </w:rPr>
        <w:t> </w:t>
      </w:r>
      <w:hyperlink r:id="rId89">
        <w:r>
          <w:rPr>
            <w:color w:val="3E65AC"/>
            <w:sz w:val="16"/>
          </w:rPr>
          <w:t>2008.10.005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z w:val="16"/>
        </w:rPr>
        <w:t>Epub</w:t>
      </w:r>
      <w:r>
        <w:rPr>
          <w:spacing w:val="-12"/>
          <w:sz w:val="16"/>
        </w:rPr>
        <w:t> </w:t>
      </w:r>
      <w:r>
        <w:rPr>
          <w:sz w:val="16"/>
        </w:rPr>
        <w:t>2008</w:t>
      </w:r>
      <w:r>
        <w:rPr>
          <w:spacing w:val="-12"/>
          <w:sz w:val="16"/>
        </w:rPr>
        <w:t> </w:t>
      </w:r>
      <w:r>
        <w:rPr>
          <w:sz w:val="16"/>
        </w:rPr>
        <w:t>Nov</w:t>
      </w:r>
      <w:r>
        <w:rPr>
          <w:spacing w:val="-11"/>
          <w:sz w:val="16"/>
        </w:rPr>
        <w:t> </w:t>
      </w:r>
      <w:r>
        <w:rPr>
          <w:sz w:val="16"/>
        </w:rPr>
        <w:t>11.</w:t>
      </w:r>
      <w:r>
        <w:rPr>
          <w:spacing w:val="-12"/>
          <w:sz w:val="16"/>
        </w:rPr>
        <w:t> </w:t>
      </w:r>
      <w:r>
        <w:rPr>
          <w:sz w:val="16"/>
        </w:rPr>
        <w:t>PMID:</w:t>
      </w:r>
      <w:r>
        <w:rPr>
          <w:spacing w:val="-11"/>
          <w:sz w:val="16"/>
        </w:rPr>
        <w:t> </w:t>
      </w:r>
      <w:hyperlink r:id="rId90">
        <w:r>
          <w:rPr>
            <w:color w:val="3E65AC"/>
            <w:sz w:val="16"/>
          </w:rPr>
          <w:t>19038326</w:t>
        </w:r>
      </w:hyperlink>
      <w:r>
        <w:rPr>
          <w:sz w:val="16"/>
        </w:rPr>
        <w:t>.</w:t>
      </w:r>
    </w:p>
    <w:p>
      <w:pPr>
        <w:tabs>
          <w:tab w:pos="6589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43.75pt;height:.1pt;mso-position-horizontal-relative:char;mso-position-vertical-relative:line" coordorigin="0,0" coordsize="875,2">
            <v:shape style="position:absolute;left:0;top:0;width:875;height:2" coordorigin="0,0" coordsize="875,0" path="m874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pt;height:.1pt;mso-position-horizontal-relative:char;mso-position-vertical-relative:line" coordorigin="0,0" coordsize="698,2">
            <v:shape style="position:absolute;left:0;top:0;width:698;height:2" coordorigin="0,0" coordsize="698,0" path="m697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1" w:after="0"/>
        <w:ind w:left="3849" w:right="118" w:hanging="420"/>
        <w:jc w:val="both"/>
        <w:rPr>
          <w:sz w:val="16"/>
        </w:rPr>
      </w:pPr>
      <w:r>
        <w:rPr>
          <w:spacing w:val="-2"/>
          <w:sz w:val="16"/>
        </w:rPr>
        <w:t>Quan</w:t>
      </w:r>
      <w:r>
        <w:rPr>
          <w:spacing w:val="-13"/>
          <w:sz w:val="16"/>
        </w:rPr>
        <w:t> </w:t>
      </w:r>
      <w:r>
        <w:rPr>
          <w:spacing w:val="-2"/>
          <w:sz w:val="16"/>
        </w:rPr>
        <w:t>C,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Zhu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KJ,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Zhang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C,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Liu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Z,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Liu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H,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Zhu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CY,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et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al.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Combined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effects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the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BDNF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rs6265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(Val66Met)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polymorphism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environment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risk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factors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on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psoriasis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vulgaris.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Mol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Biol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Rep.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2014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Oct;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41(10):7015–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22.</w:t>
      </w:r>
      <w:r>
        <w:rPr>
          <w:spacing w:val="-11"/>
          <w:sz w:val="16"/>
        </w:rPr>
        <w:t> </w:t>
      </w:r>
      <w:hyperlink r:id="rId91">
        <w:r>
          <w:rPr>
            <w:color w:val="3E65AC"/>
            <w:spacing w:val="-2"/>
            <w:sz w:val="16"/>
          </w:rPr>
          <w:t>https://doi.org/10.1007/s11033-014-3589-4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pacing w:val="-1"/>
          <w:sz w:val="16"/>
        </w:rPr>
        <w:t>Epub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2014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Jul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23.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PMID:</w:t>
      </w:r>
      <w:r>
        <w:rPr>
          <w:spacing w:val="-10"/>
          <w:sz w:val="16"/>
        </w:rPr>
        <w:t> </w:t>
      </w:r>
      <w:hyperlink r:id="rId92">
        <w:r>
          <w:rPr>
            <w:color w:val="3E65AC"/>
            <w:spacing w:val="-1"/>
            <w:sz w:val="16"/>
          </w:rPr>
          <w:t>25052186</w:t>
        </w:r>
      </w:hyperlink>
      <w:r>
        <w:rPr>
          <w:spacing w:val="-1"/>
          <w:sz w:val="16"/>
        </w:rPr>
        <w:t>.</w:t>
      </w:r>
    </w:p>
    <w:p>
      <w:pPr>
        <w:tabs>
          <w:tab w:pos="8869" w:val="left" w:leader="none"/>
        </w:tabs>
        <w:spacing w:line="20" w:lineRule="exact"/>
        <w:ind w:left="4103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49pt;height:.1pt;mso-position-horizontal-relative:char;mso-position-vertical-relative:line" coordorigin="0,0" coordsize="2980,2">
            <v:shape style="position:absolute;left:0;top:0;width:2980;height:2" coordorigin="0,0" coordsize="2980,0" path="m2980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pt;height:.1pt;mso-position-horizontal-relative:char;mso-position-vertical-relative:line" coordorigin="0,0" coordsize="698,2">
            <v:shape style="position:absolute;left:0;top:0;width:698;height:2" coordorigin="0,0" coordsize="698,0" path="m697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spacing w:after="0" w:line="20" w:lineRule="exact"/>
        <w:rPr>
          <w:rFonts w:ascii="Arial MT"/>
          <w:sz w:val="2"/>
        </w:rPr>
        <w:sectPr>
          <w:pgSz w:w="12240" w:h="15840"/>
          <w:pgMar w:header="705" w:footer="680" w:top="1080" w:bottom="880" w:left="580" w:right="600"/>
        </w:sectPr>
      </w:pPr>
    </w:p>
    <w:p>
      <w:pPr>
        <w:pStyle w:val="BodyText"/>
        <w:spacing w:before="9"/>
        <w:rPr>
          <w:rFonts w:ascii="Arial MT"/>
          <w:sz w:val="29"/>
        </w:rPr>
      </w:pP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75" w:after="0"/>
        <w:ind w:left="3849" w:right="230" w:hanging="420"/>
        <w:jc w:val="left"/>
        <w:rPr>
          <w:sz w:val="16"/>
        </w:rPr>
      </w:pPr>
      <w:bookmarkStart w:name="_bookmark80" w:id="89"/>
      <w:bookmarkEnd w:id="89"/>
      <w:r>
        <w:rPr/>
      </w:r>
      <w:bookmarkStart w:name="_bookmark81" w:id="90"/>
      <w:bookmarkEnd w:id="90"/>
      <w:r>
        <w:rPr/>
      </w:r>
      <w:bookmarkStart w:name="_bookmark82" w:id="91"/>
      <w:bookmarkEnd w:id="91"/>
      <w:r>
        <w:rPr/>
      </w:r>
      <w:bookmarkStart w:name="_bookmark82" w:id="92"/>
      <w:bookmarkEnd w:id="92"/>
      <w:r>
        <w:rPr>
          <w:w w:val="95"/>
          <w:sz w:val="16"/>
        </w:rPr>
        <w:t>Abd</w:t>
      </w:r>
      <w:r>
        <w:rPr>
          <w:w w:val="95"/>
          <w:sz w:val="16"/>
        </w:rPr>
        <w:t>u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Allah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AMK,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Mohammed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KI,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Farag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AGA,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Hagag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MM,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Essam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M,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Tayel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NR.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Interleukin-6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serum</w:t>
      </w:r>
      <w:r>
        <w:rPr>
          <w:spacing w:val="1"/>
          <w:w w:val="95"/>
          <w:sz w:val="16"/>
        </w:rPr>
        <w:t> </w:t>
      </w:r>
      <w:bookmarkStart w:name="_bookmark83" w:id="93"/>
      <w:bookmarkEnd w:id="93"/>
      <w:r>
        <w:rPr>
          <w:spacing w:val="-2"/>
          <w:sz w:val="16"/>
        </w:rPr>
        <w:t>leve</w:t>
      </w:r>
      <w:r>
        <w:rPr>
          <w:spacing w:val="-2"/>
          <w:sz w:val="16"/>
        </w:rPr>
        <w:t>l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gene</w:t>
      </w:r>
      <w:r>
        <w:rPr>
          <w:spacing w:val="-13"/>
          <w:sz w:val="16"/>
        </w:rPr>
        <w:t> </w:t>
      </w:r>
      <w:r>
        <w:rPr>
          <w:spacing w:val="-2"/>
          <w:sz w:val="16"/>
        </w:rPr>
        <w:t>polymorphism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in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keloid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patients.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Cell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Mol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Biol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(Noisy-le-grand).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2019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Jun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30;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65(5):43–</w:t>
      </w:r>
      <w:r>
        <w:rPr>
          <w:spacing w:val="-41"/>
          <w:sz w:val="16"/>
        </w:rPr>
        <w:t> </w:t>
      </w:r>
      <w:r>
        <w:rPr>
          <w:sz w:val="16"/>
        </w:rPr>
        <w:t>48.</w:t>
      </w:r>
      <w:r>
        <w:rPr>
          <w:spacing w:val="-12"/>
          <w:sz w:val="16"/>
        </w:rPr>
        <w:t> </w:t>
      </w:r>
      <w:r>
        <w:rPr>
          <w:sz w:val="16"/>
        </w:rPr>
        <w:t>PMID:</w:t>
      </w:r>
      <w:r>
        <w:rPr>
          <w:spacing w:val="-11"/>
          <w:sz w:val="16"/>
        </w:rPr>
        <w:t> </w:t>
      </w:r>
      <w:hyperlink r:id="rId93">
        <w:r>
          <w:rPr>
            <w:color w:val="3E65AC"/>
            <w:sz w:val="16"/>
          </w:rPr>
          <w:t>31304905</w:t>
        </w:r>
      </w:hyperlink>
      <w:r>
        <w:rPr>
          <w:sz w:val="16"/>
        </w:rPr>
        <w:t>.</w:t>
      </w:r>
    </w:p>
    <w:p>
      <w:pPr>
        <w:pStyle w:val="BodyText"/>
        <w:spacing w:line="20" w:lineRule="exact"/>
        <w:ind w:left="4579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34.9pt;height:.1pt;mso-position-horizontal-relative:char;mso-position-vertical-relative:line" coordorigin="0,0" coordsize="698,2">
            <v:shape style="position:absolute;left:0;top:0;width:698;height:2" coordorigin="0,0" coordsize="698,0" path="m697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9" w:lineRule="auto" w:before="51" w:after="0"/>
        <w:ind w:left="3849" w:right="284" w:hanging="420"/>
        <w:jc w:val="left"/>
        <w:rPr>
          <w:sz w:val="16"/>
        </w:rPr>
      </w:pPr>
      <w:r>
        <w:rPr/>
        <w:pict>
          <v:shape style="position:absolute;margin-left:267.816986pt;margin-top:30.180925pt;width:167.8pt;height:.1pt;mso-position-horizontal-relative:page;mso-position-vertical-relative:paragraph;z-index:15827456" coordorigin="5356,604" coordsize="3356,0" path="m8711,604l5356,604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4.862976pt;margin-top:30.180925pt;width:34.9pt;height:.1pt;mso-position-horizontal-relative:page;mso-position-vertical-relative:paragraph;z-index:15827968" coordorigin="10497,604" coordsize="698,0" path="m11195,604l10497,604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Bazid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H,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Marae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Tayel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N,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Sleem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R,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Mahrous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E,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Mostafa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MI,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et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al.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Interleukin19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gene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polymorphism</w:t>
      </w:r>
      <w:r>
        <w:rPr>
          <w:spacing w:val="-42"/>
          <w:sz w:val="16"/>
        </w:rPr>
        <w:t> </w:t>
      </w:r>
      <w:bookmarkStart w:name="_bookmark84" w:id="94"/>
      <w:bookmarkEnd w:id="94"/>
      <w:r>
        <w:rPr>
          <w:spacing w:val="-2"/>
          <w:sz w:val="16"/>
        </w:rPr>
        <w:t>an</w:t>
      </w:r>
      <w:r>
        <w:rPr>
          <w:spacing w:val="-2"/>
          <w:sz w:val="16"/>
        </w:rPr>
        <w:t>d its serum level in </w:t>
      </w:r>
      <w:r>
        <w:rPr>
          <w:spacing w:val="-1"/>
          <w:sz w:val="16"/>
        </w:rPr>
        <w:t>acne vulgaris patients. J Immunoassay Immunochem. 2022 Jan 2; 43</w:t>
      </w:r>
      <w:r>
        <w:rPr>
          <w:sz w:val="16"/>
        </w:rPr>
        <w:t> </w:t>
      </w:r>
      <w:r>
        <w:rPr>
          <w:spacing w:val="-2"/>
          <w:sz w:val="16"/>
        </w:rPr>
        <w:t>(1):1951291.</w:t>
      </w:r>
      <w:r>
        <w:rPr>
          <w:spacing w:val="-10"/>
          <w:sz w:val="16"/>
        </w:rPr>
        <w:t> </w:t>
      </w:r>
      <w:hyperlink r:id="rId94">
        <w:r>
          <w:rPr>
            <w:color w:val="3E65AC"/>
            <w:spacing w:val="-2"/>
            <w:sz w:val="16"/>
          </w:rPr>
          <w:t>https://doi.org/10.1080/15321819.2021.1952425</w:t>
        </w:r>
        <w:r>
          <w:rPr>
            <w:color w:val="3E65AC"/>
            <w:spacing w:val="-9"/>
            <w:sz w:val="16"/>
          </w:rPr>
          <w:t> </w:t>
        </w:r>
      </w:hyperlink>
      <w:r>
        <w:rPr>
          <w:spacing w:val="-1"/>
          <w:sz w:val="16"/>
        </w:rPr>
        <w:t>Epub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2021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Jul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22.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PMID:</w:t>
      </w:r>
      <w:r>
        <w:rPr>
          <w:spacing w:val="-9"/>
          <w:sz w:val="16"/>
        </w:rPr>
        <w:t> </w:t>
      </w:r>
      <w:hyperlink r:id="rId95">
        <w:r>
          <w:rPr>
            <w:color w:val="3E65AC"/>
            <w:spacing w:val="-1"/>
            <w:sz w:val="16"/>
          </w:rPr>
          <w:t>34292139</w:t>
        </w:r>
      </w:hyperlink>
      <w:r>
        <w:rPr>
          <w:spacing w:val="-1"/>
          <w:sz w:val="16"/>
        </w:rPr>
        <w:t>.</w:t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66" w:after="0"/>
        <w:ind w:left="3849" w:right="118" w:hanging="420"/>
        <w:jc w:val="left"/>
        <w:rPr>
          <w:sz w:val="16"/>
        </w:rPr>
      </w:pPr>
      <w:r>
        <w:rPr/>
        <w:pict>
          <v:shape style="position:absolute;margin-left:372.699005pt;margin-top:21.349308pt;width:149.85pt;height:.1pt;mso-position-horizontal-relative:page;mso-position-vertical-relative:paragraph;z-index:-16640000" coordorigin="7454,427" coordsize="2997,0" path="m10451,427l7454,427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Giri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PS,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Begum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R,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Dwivedi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M.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Meta-analysis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for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association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TNFA-308(G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&gt;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A)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SNP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with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vitiligo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sus-</w:t>
      </w:r>
      <w:r>
        <w:rPr>
          <w:sz w:val="16"/>
        </w:rPr>
        <w:t> </w:t>
      </w:r>
      <w:bookmarkStart w:name="_bookmark85" w:id="95"/>
      <w:bookmarkEnd w:id="95"/>
      <w:r>
        <w:rPr>
          <w:spacing w:val="-2"/>
          <w:sz w:val="16"/>
        </w:rPr>
        <w:t>ceptibili</w:t>
      </w:r>
      <w:r>
        <w:rPr>
          <w:spacing w:val="-2"/>
          <w:sz w:val="16"/>
        </w:rPr>
        <w:t>ty.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Gene.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2022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Jan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30;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809:146027.</w:t>
      </w:r>
      <w:r>
        <w:rPr>
          <w:spacing w:val="-12"/>
          <w:sz w:val="16"/>
        </w:rPr>
        <w:t> </w:t>
      </w:r>
      <w:hyperlink r:id="rId96">
        <w:r>
          <w:rPr>
            <w:color w:val="3E65AC"/>
            <w:spacing w:val="-1"/>
            <w:sz w:val="16"/>
          </w:rPr>
          <w:t>https://doi.org/10.1016/j.gene.2021.146027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pacing w:val="-1"/>
          <w:sz w:val="16"/>
        </w:rPr>
        <w:t>Epub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2021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Oct</w:t>
      </w:r>
      <w:r>
        <w:rPr>
          <w:spacing w:val="-42"/>
          <w:sz w:val="16"/>
        </w:rPr>
        <w:t> </w:t>
      </w:r>
      <w:r>
        <w:rPr>
          <w:sz w:val="16"/>
        </w:rPr>
        <w:t>18.</w:t>
      </w:r>
      <w:r>
        <w:rPr>
          <w:spacing w:val="-12"/>
          <w:sz w:val="16"/>
        </w:rPr>
        <w:t> </w:t>
      </w:r>
      <w:r>
        <w:rPr>
          <w:sz w:val="16"/>
        </w:rPr>
        <w:t>PMID:</w:t>
      </w:r>
      <w:r>
        <w:rPr>
          <w:spacing w:val="-11"/>
          <w:sz w:val="16"/>
        </w:rPr>
        <w:t> </w:t>
      </w:r>
      <w:hyperlink r:id="rId97">
        <w:r>
          <w:rPr>
            <w:color w:val="3E65AC"/>
            <w:sz w:val="16"/>
          </w:rPr>
          <w:t>34673212</w:t>
        </w:r>
      </w:hyperlink>
      <w:r>
        <w:rPr>
          <w:sz w:val="16"/>
        </w:rPr>
        <w:t>.</w:t>
      </w:r>
    </w:p>
    <w:p>
      <w:pPr>
        <w:pStyle w:val="BodyText"/>
        <w:spacing w:line="20" w:lineRule="exact"/>
        <w:ind w:left="4579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34.9pt;height:.1pt;mso-position-horizontal-relative:char;mso-position-vertical-relative:line" coordorigin="0,0" coordsize="698,2">
            <v:shape style="position:absolute;left:0;top:0;width:698;height:2" coordorigin="0,0" coordsize="698,0" path="m697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1" w:after="0"/>
        <w:ind w:left="3849" w:right="172" w:hanging="420"/>
        <w:jc w:val="left"/>
        <w:rPr>
          <w:sz w:val="16"/>
        </w:rPr>
      </w:pPr>
      <w:r>
        <w:rPr/>
        <w:pict>
          <v:shape style="position:absolute;margin-left:460.970001pt;margin-top:20.656517pt;width:112.35pt;height:.1pt;mso-position-horizontal-relative:page;mso-position-vertical-relative:paragraph;z-index:-16639488" coordorigin="9219,413" coordsize="2247,0" path="m11466,413l9219,413e" filled="true" fillcolor="#3e65ac" stroked="false">
            <v:path arrowok="t"/>
            <v:fill type="solid"/>
            <w10:wrap type="none"/>
          </v:shape>
        </w:pict>
      </w:r>
      <w:r>
        <w:rPr>
          <w:w w:val="95"/>
          <w:sz w:val="16"/>
        </w:rPr>
        <w:t>Wu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D, Shi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D,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Zhu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X.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The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association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between tumor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necrosis factor-α-308 G/A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polymorphism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risk</w:t>
      </w:r>
      <w:r>
        <w:rPr>
          <w:spacing w:val="1"/>
          <w:w w:val="95"/>
          <w:sz w:val="16"/>
        </w:rPr>
        <w:t> </w:t>
      </w:r>
      <w:bookmarkStart w:name="_bookmark86" w:id="96"/>
      <w:bookmarkEnd w:id="96"/>
      <w:r>
        <w:rPr>
          <w:spacing w:val="-2"/>
          <w:sz w:val="16"/>
        </w:rPr>
        <w:t>fo</w:t>
      </w:r>
      <w:r>
        <w:rPr>
          <w:spacing w:val="-2"/>
          <w:sz w:val="16"/>
        </w:rPr>
        <w:t>r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vitiligo: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meta-analysis.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Int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J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Dermatol.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2015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Sep;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54(9):1045–53.</w:t>
      </w:r>
      <w:r>
        <w:rPr>
          <w:spacing w:val="-12"/>
          <w:sz w:val="16"/>
        </w:rPr>
        <w:t> </w:t>
      </w:r>
      <w:hyperlink r:id="rId98">
        <w:r>
          <w:rPr>
            <w:color w:val="3E65AC"/>
            <w:spacing w:val="-1"/>
            <w:sz w:val="16"/>
          </w:rPr>
          <w:t>https://doi.org/10.1111/ijd.12866</w:t>
        </w:r>
      </w:hyperlink>
      <w:r>
        <w:rPr>
          <w:color w:val="3E65AC"/>
          <w:spacing w:val="-42"/>
          <w:sz w:val="16"/>
        </w:rPr>
        <w:t> </w:t>
      </w:r>
      <w:r>
        <w:rPr>
          <w:sz w:val="16"/>
        </w:rPr>
        <w:t>Epub</w:t>
      </w:r>
      <w:r>
        <w:rPr>
          <w:spacing w:val="-13"/>
          <w:sz w:val="16"/>
        </w:rPr>
        <w:t> </w:t>
      </w:r>
      <w:r>
        <w:rPr>
          <w:sz w:val="16"/>
        </w:rPr>
        <w:t>2015</w:t>
      </w:r>
      <w:r>
        <w:rPr>
          <w:spacing w:val="-11"/>
          <w:sz w:val="16"/>
        </w:rPr>
        <w:t> </w:t>
      </w:r>
      <w:r>
        <w:rPr>
          <w:sz w:val="16"/>
        </w:rPr>
        <w:t>Jul</w:t>
      </w:r>
      <w:r>
        <w:rPr>
          <w:spacing w:val="-11"/>
          <w:sz w:val="16"/>
        </w:rPr>
        <w:t> </w:t>
      </w:r>
      <w:r>
        <w:rPr>
          <w:sz w:val="16"/>
        </w:rPr>
        <w:t>29.</w:t>
      </w:r>
      <w:r>
        <w:rPr>
          <w:spacing w:val="-12"/>
          <w:sz w:val="16"/>
        </w:rPr>
        <w:t> </w:t>
      </w:r>
      <w:r>
        <w:rPr>
          <w:sz w:val="16"/>
        </w:rPr>
        <w:t>PMID:</w:t>
      </w:r>
      <w:r>
        <w:rPr>
          <w:spacing w:val="-12"/>
          <w:sz w:val="16"/>
        </w:rPr>
        <w:t> </w:t>
      </w:r>
      <w:hyperlink r:id="rId99">
        <w:r>
          <w:rPr>
            <w:color w:val="3E65AC"/>
            <w:sz w:val="16"/>
          </w:rPr>
          <w:t>26224639</w:t>
        </w:r>
      </w:hyperlink>
      <w:r>
        <w:rPr>
          <w:sz w:val="16"/>
        </w:rPr>
        <w:t>.</w:t>
      </w:r>
    </w:p>
    <w:p>
      <w:pPr>
        <w:pStyle w:val="BodyText"/>
        <w:spacing w:line="20" w:lineRule="exact"/>
        <w:ind w:left="560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2" w:after="0"/>
        <w:ind w:left="3849" w:right="239" w:hanging="420"/>
        <w:jc w:val="left"/>
        <w:rPr>
          <w:sz w:val="16"/>
        </w:rPr>
      </w:pPr>
      <w:r>
        <w:rPr/>
        <w:pict>
          <v:shape style="position:absolute;margin-left:443.054993pt;margin-top:20.648899pt;width:100.15pt;height:.1pt;mso-position-horizontal-relative:page;mso-position-vertical-relative:paragraph;z-index:-16638976" coordorigin="8861,413" coordsize="2003,0" path="m10863,413l8861,413e" filled="true" fillcolor="#3e65ac" stroked="false">
            <v:path arrowok="t"/>
            <v:fill type="solid"/>
            <w10:wrap type="none"/>
          </v:shape>
        </w:pict>
      </w:r>
      <w:r>
        <w:rPr>
          <w:w w:val="95"/>
          <w:sz w:val="16"/>
        </w:rPr>
        <w:t>Nie G,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Qi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JH,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Huang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CW,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Yang T,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Shi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N,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Chen YJ.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Meta-analysis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the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TNF-α-308G/A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polymorphism</w:t>
      </w:r>
      <w:r>
        <w:rPr>
          <w:spacing w:val="-39"/>
          <w:w w:val="95"/>
          <w:sz w:val="16"/>
        </w:rPr>
        <w:t> </w:t>
      </w:r>
      <w:r>
        <w:rPr>
          <w:spacing w:val="-2"/>
          <w:sz w:val="16"/>
        </w:rPr>
        <w:t>and vitiligo risk. Genet Mol </w:t>
      </w:r>
      <w:r>
        <w:rPr>
          <w:spacing w:val="-1"/>
          <w:sz w:val="16"/>
        </w:rPr>
        <w:t>Res. 2015 Dec 17; 14(4):17296–304. </w:t>
      </w:r>
      <w:hyperlink r:id="rId100">
        <w:r>
          <w:rPr>
            <w:color w:val="3E65AC"/>
            <w:spacing w:val="-1"/>
            <w:sz w:val="16"/>
          </w:rPr>
          <w:t>https://doi.org/10.4238/2015.</w:t>
        </w:r>
      </w:hyperlink>
      <w:r>
        <w:rPr>
          <w:color w:val="3E65AC"/>
          <w:sz w:val="16"/>
        </w:rPr>
        <w:t> </w:t>
      </w:r>
      <w:hyperlink r:id="rId100">
        <w:bookmarkStart w:name="_bookmark87" w:id="97"/>
        <w:bookmarkEnd w:id="97"/>
        <w:r>
          <w:rPr>
            <w:color w:val="3E65AC"/>
            <w:sz w:val="16"/>
          </w:rPr>
          <w:t>Decem</w:t>
        </w:r>
        <w:r>
          <w:rPr>
            <w:color w:val="3E65AC"/>
            <w:sz w:val="16"/>
          </w:rPr>
          <w:t>ber.16.30</w:t>
        </w:r>
        <w:r>
          <w:rPr>
            <w:color w:val="3E65AC"/>
            <w:spacing w:val="-13"/>
            <w:sz w:val="16"/>
          </w:rPr>
          <w:t> </w:t>
        </w:r>
      </w:hyperlink>
      <w:r>
        <w:rPr>
          <w:sz w:val="16"/>
        </w:rPr>
        <w:t>PMID:</w:t>
      </w:r>
      <w:r>
        <w:rPr>
          <w:spacing w:val="-11"/>
          <w:sz w:val="16"/>
        </w:rPr>
        <w:t> </w:t>
      </w:r>
      <w:hyperlink r:id="rId101">
        <w:r>
          <w:rPr>
            <w:color w:val="3E65AC"/>
            <w:sz w:val="16"/>
          </w:rPr>
          <w:t>26681224</w:t>
        </w:r>
      </w:hyperlink>
      <w:r>
        <w:rPr>
          <w:sz w:val="16"/>
        </w:rPr>
        <w:t>.</w:t>
      </w:r>
    </w:p>
    <w:p>
      <w:pPr>
        <w:tabs>
          <w:tab w:pos="5523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58.25pt;height:.1pt;mso-position-horizontal-relative:char;mso-position-vertical-relative:line" coordorigin="0,0" coordsize="1165,2">
            <v:shape style="position:absolute;left:0;top:0;width:1165;height:2" coordorigin="0,0" coordsize="1165,0" path="m1164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9" w:lineRule="auto" w:before="51" w:after="0"/>
        <w:ind w:left="3849" w:right="134" w:hanging="420"/>
        <w:jc w:val="left"/>
        <w:rPr>
          <w:sz w:val="16"/>
        </w:rPr>
      </w:pPr>
      <w:r>
        <w:rPr>
          <w:spacing w:val="-2"/>
          <w:sz w:val="16"/>
        </w:rPr>
        <w:t>Claes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SJ.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CRH,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stress,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and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major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depression: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psychobiological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interplay.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Vitam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Horm.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2004;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69:117–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50.</w:t>
      </w:r>
      <w:r>
        <w:rPr>
          <w:spacing w:val="-11"/>
          <w:sz w:val="16"/>
        </w:rPr>
        <w:t> </w:t>
      </w:r>
      <w:hyperlink r:id="rId102">
        <w:r>
          <w:rPr>
            <w:color w:val="3E65AC"/>
            <w:spacing w:val="-2"/>
            <w:sz w:val="16"/>
          </w:rPr>
          <w:t>https://doi.org/10.1016/S0083-6729(04)69005-4</w:t>
        </w:r>
        <w:r>
          <w:rPr>
            <w:color w:val="3E65AC"/>
            <w:spacing w:val="-11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1"/>
          <w:sz w:val="16"/>
        </w:rPr>
        <w:t> </w:t>
      </w:r>
      <w:hyperlink r:id="rId103">
        <w:r>
          <w:rPr>
            <w:color w:val="3E65AC"/>
            <w:spacing w:val="-1"/>
            <w:sz w:val="16"/>
          </w:rPr>
          <w:t>15196881</w:t>
        </w:r>
      </w:hyperlink>
      <w:r>
        <w:rPr>
          <w:spacing w:val="-1"/>
          <w:sz w:val="16"/>
        </w:rPr>
        <w:t>.</w:t>
      </w:r>
    </w:p>
    <w:p>
      <w:pPr>
        <w:tabs>
          <w:tab w:pos="7934" w:val="left" w:leader="none"/>
        </w:tabs>
        <w:spacing w:line="20" w:lineRule="exact"/>
        <w:ind w:left="4103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66.1pt;height:.1pt;mso-position-horizontal-relative:char;mso-position-vertical-relative:line" coordorigin="0,0" coordsize="3322,2">
            <v:shape style="position:absolute;left:0;top:0;width:3322;height:2" coordorigin="0,0" coordsize="3322,0" path="m3321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pt;height:.1pt;mso-position-horizontal-relative:char;mso-position-vertical-relative:line" coordorigin="0,0" coordsize="698,2">
            <v:shape style="position:absolute;left:0;top:0;width:698;height:2" coordorigin="0,0" coordsize="698,0" path="m697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48" w:after="0"/>
        <w:ind w:left="3849" w:right="126" w:hanging="420"/>
        <w:jc w:val="left"/>
        <w:rPr>
          <w:sz w:val="16"/>
        </w:rPr>
      </w:pPr>
      <w:r>
        <w:rPr/>
        <w:pict>
          <v:shape style="position:absolute;margin-left:373.605988pt;margin-top:20.507004pt;width:143.85pt;height:.1pt;mso-position-horizontal-relative:page;mso-position-vertical-relative:paragraph;z-index:-16638464" coordorigin="7472,410" coordsize="2877,0" path="m10349,410l7472,410e" filled="true" fillcolor="#3e65ac" stroked="false">
            <v:path arrowok="t"/>
            <v:fill type="solid"/>
            <w10:wrap type="none"/>
          </v:shape>
        </w:pict>
      </w:r>
      <w:bookmarkStart w:name="_bookmark88" w:id="98"/>
      <w:bookmarkEnd w:id="98"/>
      <w:r>
        <w:rPr/>
      </w:r>
      <w:bookmarkStart w:name="_bookmark88" w:id="99"/>
      <w:bookmarkEnd w:id="99"/>
      <w:r>
        <w:rPr>
          <w:spacing w:val="-2"/>
          <w:sz w:val="16"/>
        </w:rPr>
        <w:t>Herma</w:t>
      </w:r>
      <w:r>
        <w:rPr>
          <w:spacing w:val="-2"/>
          <w:sz w:val="16"/>
        </w:rPr>
        <w:t>n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JP,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Tasker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JG.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Paraventricular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Hypothalamic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Mechanisms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Chronic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Stress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Adaptation.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Front</w:t>
      </w:r>
      <w:r>
        <w:rPr>
          <w:spacing w:val="-41"/>
          <w:sz w:val="16"/>
        </w:rPr>
        <w:t> </w:t>
      </w:r>
      <w:r>
        <w:rPr>
          <w:spacing w:val="-2"/>
          <w:sz w:val="16"/>
        </w:rPr>
        <w:t>Endocrinol (Lausanne). 2016 Oct 31; </w:t>
      </w:r>
      <w:r>
        <w:rPr>
          <w:spacing w:val="-1"/>
          <w:sz w:val="16"/>
        </w:rPr>
        <w:t>7:137. </w:t>
      </w:r>
      <w:hyperlink r:id="rId104">
        <w:r>
          <w:rPr>
            <w:color w:val="3E65AC"/>
            <w:spacing w:val="-1"/>
            <w:sz w:val="16"/>
          </w:rPr>
          <w:t>https://doi.org/10.3389/fendo.2016.00137 </w:t>
        </w:r>
      </w:hyperlink>
      <w:r>
        <w:rPr>
          <w:spacing w:val="-1"/>
          <w:sz w:val="16"/>
        </w:rPr>
        <w:t>PMID:</w:t>
      </w:r>
      <w:r>
        <w:rPr>
          <w:sz w:val="16"/>
        </w:rPr>
        <w:t> </w:t>
      </w:r>
      <w:hyperlink r:id="rId105">
        <w:bookmarkStart w:name="_bookmark89" w:id="100"/>
        <w:bookmarkEnd w:id="100"/>
        <w:r>
          <w:rPr>
            <w:color w:val="3E65AC"/>
            <w:sz w:val="16"/>
          </w:rPr>
          <w:t>27843437</w:t>
        </w:r>
      </w:hyperlink>
      <w:r>
        <w:rPr>
          <w:sz w:val="16"/>
        </w:rPr>
        <w:t>;</w:t>
      </w:r>
      <w:r>
        <w:rPr>
          <w:spacing w:val="-13"/>
          <w:sz w:val="16"/>
        </w:rPr>
        <w:t> </w:t>
      </w:r>
      <w:r>
        <w:rPr>
          <w:sz w:val="16"/>
        </w:rPr>
        <w:t>PMCID:</w:t>
      </w:r>
      <w:r>
        <w:rPr>
          <w:spacing w:val="-12"/>
          <w:sz w:val="16"/>
        </w:rPr>
        <w:t> </w:t>
      </w:r>
      <w:r>
        <w:rPr>
          <w:sz w:val="16"/>
        </w:rPr>
        <w:t>PMC5086584.</w:t>
      </w:r>
    </w:p>
    <w:p>
      <w:pPr>
        <w:pStyle w:val="BodyText"/>
        <w:spacing w:line="20" w:lineRule="exact"/>
        <w:ind w:left="3849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2" w:after="0"/>
        <w:ind w:left="3849" w:right="169" w:hanging="420"/>
        <w:jc w:val="left"/>
        <w:rPr>
          <w:sz w:val="16"/>
        </w:rPr>
      </w:pPr>
      <w:r>
        <w:rPr/>
        <w:pict>
          <v:shape style="position:absolute;margin-left:439.824005pt;margin-top:20.650387pt;width:127.25pt;height:.1pt;mso-position-horizontal-relative:page;mso-position-vertical-relative:paragraph;z-index:-16637952" coordorigin="8796,413" coordsize="2545,0" path="m11341,413l8796,413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Slominski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AT,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Zmijewski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MA,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Zbytek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B,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Tobin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DJ,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Theoharides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TC,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Rivier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J.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Key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role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CRF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in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the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skin</w:t>
      </w:r>
      <w:r>
        <w:rPr>
          <w:spacing w:val="-41"/>
          <w:sz w:val="16"/>
        </w:rPr>
        <w:t> </w:t>
      </w:r>
      <w:r>
        <w:rPr>
          <w:spacing w:val="-2"/>
          <w:sz w:val="16"/>
        </w:rPr>
        <w:t>stress response system. Endocr </w:t>
      </w:r>
      <w:r>
        <w:rPr>
          <w:spacing w:val="-1"/>
          <w:sz w:val="16"/>
        </w:rPr>
        <w:t>Rev. 2013 Dec; 34(6):827–84. </w:t>
      </w:r>
      <w:hyperlink r:id="rId106">
        <w:r>
          <w:rPr>
            <w:color w:val="3E65AC"/>
            <w:spacing w:val="-1"/>
            <w:sz w:val="16"/>
          </w:rPr>
          <w:t>https://doi.org/10.1210/er.2012-1092</w:t>
        </w:r>
      </w:hyperlink>
      <w:r>
        <w:rPr>
          <w:color w:val="3E65AC"/>
          <w:sz w:val="16"/>
        </w:rPr>
        <w:t> </w:t>
      </w:r>
      <w:bookmarkStart w:name="_bookmark90" w:id="101"/>
      <w:bookmarkEnd w:id="101"/>
      <w:r>
        <w:rPr>
          <w:w w:val="95"/>
          <w:sz w:val="16"/>
        </w:rPr>
        <w:t>Epu</w:t>
      </w:r>
      <w:r>
        <w:rPr>
          <w:w w:val="95"/>
          <w:sz w:val="16"/>
        </w:rPr>
        <w:t>b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2013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Aug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12.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PMID:</w:t>
      </w:r>
      <w:r>
        <w:rPr>
          <w:spacing w:val="-9"/>
          <w:w w:val="95"/>
          <w:sz w:val="16"/>
        </w:rPr>
        <w:t> </w:t>
      </w:r>
      <w:hyperlink r:id="rId107">
        <w:r>
          <w:rPr>
            <w:color w:val="3E65AC"/>
            <w:w w:val="95"/>
            <w:sz w:val="16"/>
          </w:rPr>
          <w:t>23939821</w:t>
        </w:r>
      </w:hyperlink>
      <w:r>
        <w:rPr>
          <w:w w:val="95"/>
          <w:sz w:val="16"/>
        </w:rPr>
        <w:t>;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PMCID: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PMC3857130.</w:t>
      </w:r>
    </w:p>
    <w:p>
      <w:pPr>
        <w:pStyle w:val="BodyText"/>
        <w:spacing w:line="20" w:lineRule="exact"/>
        <w:ind w:left="568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1" w:after="0"/>
        <w:ind w:left="3849" w:right="168" w:hanging="420"/>
        <w:jc w:val="left"/>
        <w:rPr>
          <w:sz w:val="16"/>
        </w:rPr>
      </w:pPr>
      <w:r>
        <w:rPr>
          <w:spacing w:val="-2"/>
          <w:sz w:val="16"/>
        </w:rPr>
        <w:t>Slominski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Wortsman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J,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Pisarchik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Zbytek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B,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Linton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EA,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Mazurkiewicz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JE,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et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al.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Cutaneous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expres-</w:t>
      </w:r>
      <w:r>
        <w:rPr>
          <w:spacing w:val="-41"/>
          <w:sz w:val="16"/>
        </w:rPr>
        <w:t> </w:t>
      </w:r>
      <w:r>
        <w:rPr>
          <w:spacing w:val="-2"/>
          <w:sz w:val="16"/>
        </w:rPr>
        <w:t>sion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corticotropin-releasing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hormone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(CRH),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urocortin,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CRH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receptors.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FASEB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J.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2001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Aug;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15</w:t>
      </w:r>
      <w:r>
        <w:rPr>
          <w:sz w:val="16"/>
        </w:rPr>
        <w:t> </w:t>
      </w:r>
      <w:bookmarkStart w:name="_bookmark91" w:id="102"/>
      <w:bookmarkEnd w:id="102"/>
      <w:r>
        <w:rPr>
          <w:spacing w:val="-2"/>
          <w:sz w:val="16"/>
        </w:rPr>
        <w:t>(10):1678</w:t>
      </w:r>
      <w:r>
        <w:rPr>
          <w:spacing w:val="-2"/>
          <w:sz w:val="16"/>
        </w:rPr>
        <w:t>–93.</w:t>
      </w:r>
      <w:r>
        <w:rPr>
          <w:spacing w:val="-11"/>
          <w:sz w:val="16"/>
        </w:rPr>
        <w:t> </w:t>
      </w:r>
      <w:hyperlink r:id="rId108">
        <w:r>
          <w:rPr>
            <w:color w:val="3E65AC"/>
            <w:spacing w:val="-2"/>
            <w:sz w:val="16"/>
          </w:rPr>
          <w:t>https://doi.org/10.1096/fj.00-0850rev</w:t>
        </w:r>
        <w:r>
          <w:rPr>
            <w:color w:val="3E65AC"/>
            <w:spacing w:val="-11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0"/>
          <w:sz w:val="16"/>
        </w:rPr>
        <w:t> </w:t>
      </w:r>
      <w:hyperlink r:id="rId109">
        <w:r>
          <w:rPr>
            <w:color w:val="3E65AC"/>
            <w:spacing w:val="-1"/>
            <w:sz w:val="16"/>
          </w:rPr>
          <w:t>11481215</w:t>
        </w:r>
      </w:hyperlink>
      <w:r>
        <w:rPr>
          <w:spacing w:val="-1"/>
          <w:sz w:val="16"/>
        </w:rPr>
        <w:t>.</w:t>
      </w:r>
    </w:p>
    <w:p>
      <w:pPr>
        <w:tabs>
          <w:tab w:pos="7899" w:val="left" w:leader="none"/>
        </w:tabs>
        <w:spacing w:line="20" w:lineRule="exact"/>
        <w:ind w:left="4863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26.35pt;height:.1pt;mso-position-horizontal-relative:char;mso-position-vertical-relative:line" coordorigin="0,0" coordsize="2527,2">
            <v:shape style="position:absolute;left:0;top:0;width:2527;height:2" coordorigin="0,0" coordsize="2527,0" path="m2526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1" w:after="0"/>
        <w:ind w:left="3849" w:right="198" w:hanging="420"/>
        <w:jc w:val="left"/>
        <w:rPr>
          <w:sz w:val="16"/>
        </w:rPr>
      </w:pPr>
      <w:r>
        <w:rPr/>
        <w:pict>
          <v:shape style="position:absolute;margin-left:329.385986pt;margin-top:30.180773pt;width:119.75pt;height:.1pt;mso-position-horizontal-relative:page;mso-position-vertical-relative:paragraph;z-index:-16637440" coordorigin="6588,604" coordsize="2395,0" path="m8982,604l6588,604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Willenberg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HS,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Haase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M,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Papewalis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C,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Schott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M,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Scherbaum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WA,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Bornstein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SR.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Corticotropin-releas-</w:t>
      </w:r>
      <w:r>
        <w:rPr>
          <w:spacing w:val="-41"/>
          <w:sz w:val="16"/>
        </w:rPr>
        <w:t> </w:t>
      </w:r>
      <w:bookmarkStart w:name="_bookmark92" w:id="103"/>
      <w:bookmarkEnd w:id="103"/>
      <w:r>
        <w:rPr>
          <w:w w:val="95"/>
          <w:sz w:val="16"/>
        </w:rPr>
        <w:t>in</w:t>
      </w:r>
      <w:r>
        <w:rPr>
          <w:w w:val="95"/>
          <w:sz w:val="16"/>
        </w:rPr>
        <w:t>g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hormone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receptor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expression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on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normal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tumorous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human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adrenocortical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cells.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Neuroendocri-</w:t>
      </w:r>
      <w:r>
        <w:rPr>
          <w:spacing w:val="1"/>
          <w:w w:val="95"/>
          <w:sz w:val="16"/>
        </w:rPr>
        <w:t> </w:t>
      </w:r>
      <w:r>
        <w:rPr>
          <w:spacing w:val="-2"/>
          <w:sz w:val="16"/>
        </w:rPr>
        <w:t>nology. 2005; 82(5–6):274–81. </w:t>
      </w:r>
      <w:hyperlink r:id="rId110">
        <w:r>
          <w:rPr>
            <w:color w:val="3E65AC"/>
            <w:spacing w:val="-2"/>
            <w:sz w:val="16"/>
          </w:rPr>
          <w:t>https://doi.org/10.1159/000093126 </w:t>
        </w:r>
      </w:hyperlink>
      <w:r>
        <w:rPr>
          <w:spacing w:val="-1"/>
          <w:sz w:val="16"/>
        </w:rPr>
        <w:t>Epub 2006 May 4. PMID:</w:t>
      </w:r>
      <w:r>
        <w:rPr>
          <w:sz w:val="16"/>
        </w:rPr>
        <w:t> </w:t>
      </w:r>
      <w:hyperlink r:id="rId111">
        <w:r>
          <w:rPr>
            <w:color w:val="3E65AC"/>
            <w:sz w:val="16"/>
          </w:rPr>
          <w:t>16721033</w:t>
        </w:r>
      </w:hyperlink>
      <w:r>
        <w:rPr>
          <w:sz w:val="16"/>
        </w:rPr>
        <w:t>.</w:t>
      </w:r>
    </w:p>
    <w:p>
      <w:pPr>
        <w:pStyle w:val="BodyText"/>
        <w:spacing w:line="20" w:lineRule="exact"/>
        <w:ind w:left="3849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9" w:lineRule="auto" w:before="52" w:after="0"/>
        <w:ind w:left="3849" w:right="136" w:hanging="420"/>
        <w:jc w:val="left"/>
        <w:rPr>
          <w:sz w:val="16"/>
        </w:rPr>
      </w:pPr>
      <w:r>
        <w:rPr/>
        <w:pict>
          <v:shape style="position:absolute;margin-left:221.498993pt;margin-top:30.232115pt;width:134.6pt;height:.1pt;mso-position-horizontal-relative:page;mso-position-vertical-relative:paragraph;z-index:15831552" coordorigin="4430,605" coordsize="2692,0" path="m7122,605l4430,605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1.542999pt;margin-top:30.232115pt;width:34.950pt;height:.1pt;mso-position-horizontal-relative:page;mso-position-vertical-relative:paragraph;z-index:15832064" coordorigin="7631,605" coordsize="699,0" path="m8329,605l7631,605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Seres J, Bornstein </w:t>
      </w:r>
      <w:r>
        <w:rPr>
          <w:spacing w:val="-1"/>
          <w:sz w:val="16"/>
        </w:rPr>
        <w:t>SR, Seres P, Willenberg HS, Schulte KM, Scherbaum WA, et al. Corticotropin-</w:t>
      </w:r>
      <w:r>
        <w:rPr>
          <w:sz w:val="16"/>
        </w:rPr>
        <w:t> </w:t>
      </w:r>
      <w:bookmarkStart w:name="_bookmark93" w:id="104"/>
      <w:bookmarkEnd w:id="104"/>
      <w:r>
        <w:rPr>
          <w:w w:val="95"/>
          <w:sz w:val="16"/>
        </w:rPr>
        <w:t>releasin</w:t>
      </w:r>
      <w:r>
        <w:rPr>
          <w:w w:val="95"/>
          <w:sz w:val="16"/>
        </w:rPr>
        <w:t>g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hormone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system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in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human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adipose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tissue.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J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Clin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Endocrinol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Metab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2004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Feb: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89(2);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965–970</w:t>
      </w:r>
      <w:r>
        <w:rPr>
          <w:spacing w:val="-39"/>
          <w:w w:val="95"/>
          <w:sz w:val="16"/>
        </w:rPr>
        <w:t> </w:t>
      </w:r>
      <w:hyperlink r:id="rId112">
        <w:r>
          <w:rPr>
            <w:color w:val="3E65AC"/>
            <w:spacing w:val="-2"/>
            <w:sz w:val="16"/>
          </w:rPr>
          <w:t>https://doi.org/10.1210/jc.2003-031299</w:t>
        </w:r>
        <w:r>
          <w:rPr>
            <w:color w:val="3E65AC"/>
            <w:spacing w:val="-11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1"/>
          <w:sz w:val="16"/>
        </w:rPr>
        <w:t> </w:t>
      </w:r>
      <w:hyperlink r:id="rId113">
        <w:r>
          <w:rPr>
            <w:color w:val="3E65AC"/>
            <w:spacing w:val="-1"/>
            <w:sz w:val="16"/>
          </w:rPr>
          <w:t>14764822</w:t>
        </w:r>
      </w:hyperlink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67" w:after="0"/>
        <w:ind w:left="3849" w:right="503" w:hanging="420"/>
        <w:jc w:val="left"/>
        <w:rPr>
          <w:sz w:val="16"/>
        </w:rPr>
      </w:pPr>
      <w:r>
        <w:rPr>
          <w:spacing w:val="-2"/>
          <w:sz w:val="16"/>
        </w:rPr>
        <w:t>Kim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JE,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Park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HJ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Stress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hormone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skin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disease.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In: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Khopkar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U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(ed)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Skin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biopsy—perspectives.</w:t>
      </w:r>
      <w:r>
        <w:rPr>
          <w:spacing w:val="-42"/>
          <w:sz w:val="16"/>
        </w:rPr>
        <w:t> </w:t>
      </w:r>
      <w:bookmarkStart w:name="_bookmark94" w:id="105"/>
      <w:bookmarkEnd w:id="105"/>
      <w:r>
        <w:rPr>
          <w:sz w:val="16"/>
        </w:rPr>
        <w:t>InTech</w:t>
      </w:r>
      <w:r>
        <w:rPr>
          <w:sz w:val="16"/>
        </w:rPr>
        <w:t>,</w:t>
      </w:r>
      <w:r>
        <w:rPr>
          <w:spacing w:val="-13"/>
          <w:sz w:val="16"/>
        </w:rPr>
        <w:t> </w:t>
      </w:r>
      <w:r>
        <w:rPr>
          <w:sz w:val="16"/>
        </w:rPr>
        <w:t>2011,</w:t>
      </w:r>
      <w:r>
        <w:rPr>
          <w:spacing w:val="-11"/>
          <w:sz w:val="16"/>
        </w:rPr>
        <w:t> </w:t>
      </w:r>
      <w:r>
        <w:rPr>
          <w:sz w:val="16"/>
        </w:rPr>
        <w:t>pp</w:t>
      </w:r>
      <w:r>
        <w:rPr>
          <w:spacing w:val="-11"/>
          <w:sz w:val="16"/>
        </w:rPr>
        <w:t> </w:t>
      </w:r>
      <w:r>
        <w:rPr>
          <w:sz w:val="16"/>
        </w:rPr>
        <w:t>209–224</w:t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71" w:after="0"/>
        <w:ind w:left="3849" w:right="201" w:hanging="420"/>
        <w:jc w:val="left"/>
        <w:rPr>
          <w:sz w:val="16"/>
        </w:rPr>
      </w:pPr>
      <w:r>
        <w:rPr/>
        <w:pict>
          <v:shape style="position:absolute;margin-left:461.140015pt;margin-top:21.600601pt;width:104.45pt;height:.1pt;mso-position-horizontal-relative:page;mso-position-vertical-relative:paragraph;z-index:-16635904" coordorigin="9223,432" coordsize="2089,0" path="m11311,432l9223,432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O’Kane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M,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Murphy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EP,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Kirby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B.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The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role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corticotropin-releasing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hormone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in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immune-mediated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cuta-</w:t>
      </w:r>
      <w:r>
        <w:rPr>
          <w:spacing w:val="-42"/>
          <w:sz w:val="16"/>
        </w:rPr>
        <w:t> </w:t>
      </w:r>
      <w:bookmarkStart w:name="_bookmark95" w:id="106"/>
      <w:bookmarkEnd w:id="106"/>
      <w:r>
        <w:rPr>
          <w:spacing w:val="-2"/>
          <w:sz w:val="16"/>
        </w:rPr>
        <w:t>neou</w:t>
      </w:r>
      <w:r>
        <w:rPr>
          <w:spacing w:val="-2"/>
          <w:sz w:val="16"/>
        </w:rPr>
        <w:t>s inflammatory disease. Exp Dermatol. </w:t>
      </w:r>
      <w:r>
        <w:rPr>
          <w:spacing w:val="-1"/>
          <w:sz w:val="16"/>
        </w:rPr>
        <w:t>2006 Mar; 15(3):143–53. </w:t>
      </w:r>
      <w:hyperlink r:id="rId114">
        <w:r>
          <w:rPr>
            <w:color w:val="3E65AC"/>
            <w:spacing w:val="-1"/>
            <w:sz w:val="16"/>
          </w:rPr>
          <w:t>https://doi.org/10.1111/j.1600-</w:t>
        </w:r>
      </w:hyperlink>
      <w:r>
        <w:rPr>
          <w:color w:val="3E65AC"/>
          <w:sz w:val="16"/>
        </w:rPr>
        <w:t> </w:t>
      </w:r>
      <w:hyperlink r:id="rId114">
        <w:r>
          <w:rPr>
            <w:color w:val="3E65AC"/>
            <w:sz w:val="16"/>
          </w:rPr>
          <w:t>0625.2006.00382.x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z w:val="16"/>
        </w:rPr>
        <w:t>PMID:</w:t>
      </w:r>
      <w:r>
        <w:rPr>
          <w:spacing w:val="-12"/>
          <w:sz w:val="16"/>
        </w:rPr>
        <w:t> </w:t>
      </w:r>
      <w:hyperlink r:id="rId115">
        <w:r>
          <w:rPr>
            <w:color w:val="3E65AC"/>
            <w:sz w:val="16"/>
          </w:rPr>
          <w:t>16480421</w:t>
        </w:r>
      </w:hyperlink>
      <w:r>
        <w:rPr>
          <w:sz w:val="16"/>
        </w:rPr>
        <w:t>.</w:t>
      </w:r>
    </w:p>
    <w:p>
      <w:pPr>
        <w:tabs>
          <w:tab w:pos="5704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67.3pt;height:.1pt;mso-position-horizontal-relative:char;mso-position-vertical-relative:line" coordorigin="0,0" coordsize="1346,2">
            <v:shape style="position:absolute;left:0;top:0;width:1346;height:2" coordorigin="0,0" coordsize="1346,0" path="m1346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1" w:after="0"/>
        <w:ind w:left="3849" w:right="360" w:hanging="420"/>
        <w:jc w:val="both"/>
        <w:rPr>
          <w:sz w:val="16"/>
        </w:rPr>
      </w:pPr>
      <w:r>
        <w:rPr/>
        <w:pict>
          <v:shape style="position:absolute;margin-left:540.112976pt;margin-top:20.65778pt;width:23.8pt;height:.1pt;mso-position-horizontal-relative:page;mso-position-vertical-relative:paragraph;z-index:-16635392" coordorigin="10802,413" coordsize="476,0" path="m11277,413l10802,413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Miniati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A,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Weng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Z,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Zhang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B,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Stratigos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AJ,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Nicolaidou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Theoharides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TC.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Neuro-immuno-endocrine</w:t>
      </w:r>
      <w:r>
        <w:rPr>
          <w:sz w:val="16"/>
        </w:rPr>
        <w:t> </w:t>
      </w:r>
      <w:r>
        <w:rPr>
          <w:spacing w:val="-2"/>
          <w:sz w:val="16"/>
        </w:rPr>
        <w:t>processes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in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vitiligo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pathogenesis.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Int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J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Immunopathol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Pharmacol.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2012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Jan-Mar;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25(1):1–7.</w:t>
      </w:r>
      <w:r>
        <w:rPr>
          <w:spacing w:val="-11"/>
          <w:sz w:val="16"/>
        </w:rPr>
        <w:t> </w:t>
      </w:r>
      <w:hyperlink r:id="rId116">
        <w:r>
          <w:rPr>
            <w:color w:val="3E65AC"/>
            <w:spacing w:val="-1"/>
            <w:sz w:val="16"/>
          </w:rPr>
          <w:t>https://</w:t>
        </w:r>
      </w:hyperlink>
      <w:r>
        <w:rPr>
          <w:color w:val="3E65AC"/>
          <w:spacing w:val="-43"/>
          <w:sz w:val="16"/>
        </w:rPr>
        <w:t> </w:t>
      </w:r>
      <w:hyperlink r:id="rId116">
        <w:r>
          <w:rPr>
            <w:color w:val="3E65AC"/>
            <w:spacing w:val="-2"/>
            <w:sz w:val="16"/>
          </w:rPr>
          <w:t>doi.org/10.1177/039463201202500101</w:t>
        </w:r>
        <w:r>
          <w:rPr>
            <w:color w:val="3E65AC"/>
            <w:spacing w:val="-11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1"/>
          <w:sz w:val="16"/>
        </w:rPr>
        <w:t> </w:t>
      </w:r>
      <w:hyperlink r:id="rId117">
        <w:r>
          <w:rPr>
            <w:color w:val="3E65AC"/>
            <w:spacing w:val="-1"/>
            <w:sz w:val="16"/>
          </w:rPr>
          <w:t>22507311</w:t>
        </w:r>
      </w:hyperlink>
      <w:r>
        <w:rPr>
          <w:spacing w:val="-1"/>
          <w:sz w:val="16"/>
        </w:rPr>
        <w:t>.</w:t>
      </w:r>
    </w:p>
    <w:p>
      <w:pPr>
        <w:tabs>
          <w:tab w:pos="7065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35.35pt;height:.1pt;mso-position-horizontal-relative:char;mso-position-vertical-relative:line" coordorigin="0,0" coordsize="2707,2">
            <v:shape style="position:absolute;left:0;top:0;width:2707;height:2" coordorigin="0,0" coordsize="2707,0" path="m2707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2" w:after="0"/>
        <w:ind w:left="3849" w:right="216" w:hanging="420"/>
        <w:jc w:val="left"/>
        <w:rPr>
          <w:sz w:val="16"/>
        </w:rPr>
      </w:pPr>
      <w:r>
        <w:rPr>
          <w:spacing w:val="-2"/>
          <w:sz w:val="16"/>
        </w:rPr>
        <w:t>Slominski A, Wortsman </w:t>
      </w:r>
      <w:r>
        <w:rPr>
          <w:spacing w:val="-1"/>
          <w:sz w:val="16"/>
        </w:rPr>
        <w:t>J. Neuroendocrinology of the skin. Endocr Rev. 2000 Oct; 21(5):457–87.</w:t>
      </w:r>
      <w:r>
        <w:rPr>
          <w:sz w:val="16"/>
        </w:rPr>
        <w:t> </w:t>
      </w:r>
      <w:hyperlink r:id="rId118">
        <w:r>
          <w:rPr>
            <w:color w:val="3E65AC"/>
            <w:spacing w:val="-2"/>
            <w:sz w:val="16"/>
          </w:rPr>
          <w:t>https://doi.org/10.1210/edrv.21.5.0410</w:t>
        </w:r>
        <w:r>
          <w:rPr>
            <w:color w:val="3E65AC"/>
            <w:spacing w:val="-11"/>
            <w:sz w:val="16"/>
          </w:rPr>
          <w:t> </w:t>
        </w:r>
      </w:hyperlink>
      <w:r>
        <w:rPr>
          <w:spacing w:val="-1"/>
          <w:sz w:val="16"/>
        </w:rPr>
        <w:t>Erratum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in: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Endocr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Rev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2002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Jun;23(3):364.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PMID:</w:t>
      </w:r>
      <w:r>
        <w:rPr>
          <w:spacing w:val="-11"/>
          <w:sz w:val="16"/>
        </w:rPr>
        <w:t> </w:t>
      </w:r>
      <w:hyperlink r:id="rId119">
        <w:r>
          <w:rPr>
            <w:color w:val="3E65AC"/>
            <w:spacing w:val="-1"/>
            <w:sz w:val="16"/>
          </w:rPr>
          <w:t>11041445</w:t>
        </w:r>
      </w:hyperlink>
      <w:r>
        <w:rPr>
          <w:spacing w:val="-1"/>
          <w:sz w:val="16"/>
        </w:rPr>
        <w:t>.</w:t>
      </w:r>
    </w:p>
    <w:p>
      <w:pPr>
        <w:tabs>
          <w:tab w:pos="10096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32.950pt;height:.1pt;mso-position-horizontal-relative:char;mso-position-vertical-relative:line" coordorigin="0,0" coordsize="2659,2">
            <v:shape style="position:absolute;left:0;top:0;width:2659;height:2" coordorigin="0,0" coordsize="2659,0" path="m2659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1" w:after="0"/>
        <w:ind w:left="3849" w:right="205" w:hanging="420"/>
        <w:jc w:val="left"/>
        <w:rPr>
          <w:sz w:val="16"/>
        </w:rPr>
      </w:pPr>
      <w:r>
        <w:rPr/>
        <w:pict>
          <v:shape style="position:absolute;margin-left:547.880005pt;margin-top:20.601265pt;width:23.7pt;height:.1pt;mso-position-horizontal-relative:page;mso-position-vertical-relative:paragraph;z-index:-16634880" coordorigin="10958,412" coordsize="474,0" path="m11432,412l10958,412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1.498993pt;margin-top:30.125265pt;width:117.6pt;height:.1pt;mso-position-horizontal-relative:page;mso-position-vertical-relative:paragraph;z-index:-16634368" coordorigin="4430,603" coordsize="2352,0" path="m6782,603l4430,603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Han JC, Liu QR, Jones </w:t>
      </w:r>
      <w:r>
        <w:rPr>
          <w:spacing w:val="-1"/>
          <w:sz w:val="16"/>
        </w:rPr>
        <w:t>M, Levinn RL, Menzie CM, Jefferson-George KS, et al. Brain-derived neuro-</w:t>
      </w:r>
      <w:r>
        <w:rPr>
          <w:sz w:val="16"/>
        </w:rPr>
        <w:t> </w:t>
      </w:r>
      <w:r>
        <w:rPr>
          <w:spacing w:val="-2"/>
          <w:sz w:val="16"/>
        </w:rPr>
        <w:t>trophic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factor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obesity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in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the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WAGR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syndrome.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Engl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J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Med.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2008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Aug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28;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359(9):918–27.</w:t>
      </w:r>
      <w:r>
        <w:rPr>
          <w:spacing w:val="-10"/>
          <w:sz w:val="16"/>
        </w:rPr>
        <w:t> </w:t>
      </w:r>
      <w:hyperlink r:id="rId120">
        <w:r>
          <w:rPr>
            <w:color w:val="3E65AC"/>
            <w:spacing w:val="-1"/>
            <w:sz w:val="16"/>
          </w:rPr>
          <w:t>https://</w:t>
        </w:r>
      </w:hyperlink>
      <w:r>
        <w:rPr>
          <w:color w:val="3E65AC"/>
          <w:spacing w:val="-42"/>
          <w:sz w:val="16"/>
        </w:rPr>
        <w:t> </w:t>
      </w:r>
      <w:hyperlink r:id="rId120">
        <w:r>
          <w:rPr>
            <w:color w:val="3E65AC"/>
            <w:spacing w:val="-2"/>
            <w:sz w:val="16"/>
          </w:rPr>
          <w:t>doi.org/10.1056/NEJMoa0801119 </w:t>
        </w:r>
      </w:hyperlink>
      <w:r>
        <w:rPr>
          <w:spacing w:val="-1"/>
          <w:sz w:val="16"/>
        </w:rPr>
        <w:t>Erratum in: N Engl J Med. 2008 Sep 25;359(13):1414. PMID:</w:t>
      </w:r>
      <w:r>
        <w:rPr>
          <w:sz w:val="16"/>
        </w:rPr>
        <w:t> </w:t>
      </w:r>
      <w:hyperlink r:id="rId121">
        <w:r>
          <w:rPr>
            <w:color w:val="3E65AC"/>
            <w:sz w:val="16"/>
          </w:rPr>
          <w:t>18753648</w:t>
        </w:r>
      </w:hyperlink>
      <w:r>
        <w:rPr>
          <w:sz w:val="16"/>
        </w:rPr>
        <w:t>;</w:t>
      </w:r>
      <w:r>
        <w:rPr>
          <w:spacing w:val="-13"/>
          <w:sz w:val="16"/>
        </w:rPr>
        <w:t> </w:t>
      </w:r>
      <w:r>
        <w:rPr>
          <w:sz w:val="16"/>
        </w:rPr>
        <w:t>PMCID:</w:t>
      </w:r>
      <w:r>
        <w:rPr>
          <w:spacing w:val="-12"/>
          <w:sz w:val="16"/>
        </w:rPr>
        <w:t> </w:t>
      </w:r>
      <w:r>
        <w:rPr>
          <w:sz w:val="16"/>
        </w:rPr>
        <w:t>PMC2553704.</w:t>
      </w:r>
    </w:p>
    <w:p>
      <w:pPr>
        <w:pStyle w:val="BodyText"/>
        <w:spacing w:line="20" w:lineRule="exact"/>
        <w:ind w:left="3849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52" w:after="0"/>
        <w:ind w:left="3849" w:right="214" w:hanging="420"/>
        <w:jc w:val="left"/>
        <w:rPr>
          <w:sz w:val="16"/>
        </w:rPr>
      </w:pPr>
      <w:r>
        <w:rPr/>
        <w:pict>
          <v:shape style="position:absolute;margin-left:360.907013pt;margin-top:20.651592pt;width:176.95pt;height:.1pt;mso-position-horizontal-relative:page;mso-position-vertical-relative:paragraph;z-index:-16633856" coordorigin="7218,413" coordsize="3539,0" path="m10757,413l7218,413e" filled="true" fillcolor="#3e65ac" stroked="false">
            <v:path arrowok="t"/>
            <v:fill type="solid"/>
            <w10:wrap type="none"/>
          </v:shape>
        </w:pict>
      </w:r>
      <w:r>
        <w:rPr>
          <w:spacing w:val="-1"/>
          <w:sz w:val="16"/>
        </w:rPr>
        <w:t>Bath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KG,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Schilit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Lee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FS.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Stress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effects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on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BDNF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expression: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effects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age,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sex,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form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of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stress.</w:t>
      </w:r>
      <w:r>
        <w:rPr>
          <w:spacing w:val="-42"/>
          <w:sz w:val="16"/>
        </w:rPr>
        <w:t> </w:t>
      </w:r>
      <w:r>
        <w:rPr>
          <w:spacing w:val="-2"/>
          <w:sz w:val="16"/>
        </w:rPr>
        <w:t>Neuroscience. 2013 Jun 3; 239:149–56. </w:t>
      </w:r>
      <w:hyperlink r:id="rId122">
        <w:r>
          <w:rPr>
            <w:color w:val="3E65AC"/>
            <w:spacing w:val="-2"/>
            <w:sz w:val="16"/>
          </w:rPr>
          <w:t>https://doi.org/10.1016/j.neuroscience.2013.01.074 </w:t>
        </w:r>
      </w:hyperlink>
      <w:r>
        <w:rPr>
          <w:spacing w:val="-1"/>
          <w:sz w:val="16"/>
        </w:rPr>
        <w:t>Epub</w:t>
      </w:r>
      <w:r>
        <w:rPr>
          <w:sz w:val="16"/>
        </w:rPr>
        <w:t> 2013</w:t>
      </w:r>
      <w:r>
        <w:rPr>
          <w:spacing w:val="-12"/>
          <w:sz w:val="16"/>
        </w:rPr>
        <w:t> </w:t>
      </w:r>
      <w:r>
        <w:rPr>
          <w:sz w:val="16"/>
        </w:rPr>
        <w:t>Feb</w:t>
      </w:r>
      <w:r>
        <w:rPr>
          <w:spacing w:val="-11"/>
          <w:sz w:val="16"/>
        </w:rPr>
        <w:t> </w:t>
      </w:r>
      <w:r>
        <w:rPr>
          <w:sz w:val="16"/>
        </w:rPr>
        <w:t>10.</w:t>
      </w:r>
      <w:r>
        <w:rPr>
          <w:spacing w:val="-12"/>
          <w:sz w:val="16"/>
        </w:rPr>
        <w:t> </w:t>
      </w:r>
      <w:r>
        <w:rPr>
          <w:sz w:val="16"/>
        </w:rPr>
        <w:t>PMID:</w:t>
      </w:r>
      <w:r>
        <w:rPr>
          <w:spacing w:val="-11"/>
          <w:sz w:val="16"/>
        </w:rPr>
        <w:t> </w:t>
      </w:r>
      <w:hyperlink r:id="rId123">
        <w:r>
          <w:rPr>
            <w:color w:val="3E65AC"/>
            <w:sz w:val="16"/>
          </w:rPr>
          <w:t>23402850</w:t>
        </w:r>
      </w:hyperlink>
      <w:r>
        <w:rPr>
          <w:sz w:val="16"/>
        </w:rPr>
        <w:t>.</w:t>
      </w:r>
    </w:p>
    <w:p>
      <w:pPr>
        <w:pStyle w:val="BodyText"/>
        <w:spacing w:line="20" w:lineRule="exact"/>
        <w:ind w:left="5269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34.950pt;height:.1pt;mso-position-horizontal-relative:char;mso-position-vertical-relative:line" coordorigin="0,0" coordsize="699,2">
            <v:shape style="position:absolute;left:0;top:0;width:699;height:2" coordorigin="0,0" coordsize="699,0" path="m698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9" w:lineRule="auto" w:before="51" w:after="0"/>
        <w:ind w:left="3849" w:right="160" w:hanging="420"/>
        <w:jc w:val="left"/>
        <w:rPr>
          <w:sz w:val="16"/>
        </w:rPr>
      </w:pPr>
      <w:r>
        <w:rPr/>
        <w:pict>
          <v:shape style="position:absolute;margin-left:316.403015pt;margin-top:20.657785pt;width:133.35pt;height:.1pt;mso-position-horizontal-relative:page;mso-position-vertical-relative:paragraph;z-index:15835136" coordorigin="6328,413" coordsize="2667,0" path="m8995,413l6328,413e" filled="true" fillcolor="#3e65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5.200012pt;margin-top:20.657785pt;width:30.6pt;height:.1pt;mso-position-horizontal-relative:page;mso-position-vertical-relative:paragraph;z-index:15835648" coordorigin="9504,413" coordsize="612,0" path="m10115,413l9504,413e" filled="true" fillcolor="#3e65ac" stroked="false">
            <v:path arrowok="t"/>
            <v:fill type="solid"/>
            <w10:wrap type="none"/>
          </v:shape>
        </w:pict>
      </w:r>
      <w:r>
        <w:rPr>
          <w:w w:val="95"/>
          <w:sz w:val="16"/>
        </w:rPr>
        <w:t>Pincelli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C,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Yaar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M.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Nerve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growth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factor: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its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significance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in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cutaneous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biology.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J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Investig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Dermatol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Symp</w:t>
      </w:r>
      <w:r>
        <w:rPr>
          <w:spacing w:val="-39"/>
          <w:w w:val="95"/>
          <w:sz w:val="16"/>
        </w:rPr>
        <w:t> </w:t>
      </w:r>
      <w:r>
        <w:rPr>
          <w:spacing w:val="-2"/>
          <w:sz w:val="16"/>
        </w:rPr>
        <w:t>Proc.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1997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Aug;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2(1):31–6.</w:t>
      </w:r>
      <w:r>
        <w:rPr>
          <w:spacing w:val="-12"/>
          <w:sz w:val="16"/>
        </w:rPr>
        <w:t> </w:t>
      </w:r>
      <w:hyperlink r:id="rId124">
        <w:r>
          <w:rPr>
            <w:color w:val="3E65AC"/>
            <w:spacing w:val="-1"/>
            <w:sz w:val="16"/>
          </w:rPr>
          <w:t>https://doi.org/10.1038/jidsymp.1997.8</w:t>
        </w:r>
        <w:r>
          <w:rPr>
            <w:color w:val="3E65AC"/>
            <w:spacing w:val="-11"/>
            <w:sz w:val="16"/>
          </w:rPr>
          <w:t> </w:t>
        </w:r>
      </w:hyperlink>
      <w:r>
        <w:rPr>
          <w:spacing w:val="-1"/>
          <w:sz w:val="16"/>
        </w:rPr>
        <w:t>PMID:</w:t>
      </w:r>
      <w:r>
        <w:rPr>
          <w:spacing w:val="-12"/>
          <w:sz w:val="16"/>
        </w:rPr>
        <w:t> </w:t>
      </w:r>
      <w:hyperlink r:id="rId125">
        <w:r>
          <w:rPr>
            <w:color w:val="3E65AC"/>
            <w:spacing w:val="-1"/>
            <w:sz w:val="16"/>
          </w:rPr>
          <w:t>9487013</w:t>
        </w:r>
      </w:hyperlink>
      <w:r>
        <w:rPr>
          <w:spacing w:val="-1"/>
          <w:sz w:val="16"/>
        </w:rPr>
        <w:t>.</w:t>
      </w:r>
    </w:p>
    <w:p>
      <w:pPr>
        <w:pStyle w:val="ListParagraph"/>
        <w:numPr>
          <w:ilvl w:val="2"/>
          <w:numId w:val="1"/>
        </w:numPr>
        <w:tabs>
          <w:tab w:pos="3850" w:val="left" w:leader="none"/>
        </w:tabs>
        <w:spacing w:line="247" w:lineRule="auto" w:before="67" w:after="0"/>
        <w:ind w:left="3849" w:right="172" w:hanging="420"/>
        <w:jc w:val="left"/>
        <w:rPr>
          <w:sz w:val="16"/>
        </w:rPr>
      </w:pPr>
      <w:r>
        <w:rPr/>
        <w:pict>
          <v:shape style="position:absolute;margin-left:536.882019pt;margin-top:21.401873pt;width:36.4pt;height:.1pt;mso-position-horizontal-relative:page;mso-position-vertical-relative:paragraph;z-index:-16632320" coordorigin="10738,428" coordsize="728,0" path="m11466,428l10738,428e" filled="true" fillcolor="#3e65ac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Zhai S, Yaar </w:t>
      </w:r>
      <w:r>
        <w:rPr>
          <w:spacing w:val="-1"/>
          <w:sz w:val="16"/>
        </w:rPr>
        <w:t>M, Doyle SM, Gilchrest BA. Nerve growth factor rescues pigment cells from ultraviolet-</w:t>
      </w:r>
      <w:r>
        <w:rPr>
          <w:sz w:val="16"/>
        </w:rPr>
        <w:t> </w:t>
      </w:r>
      <w:r>
        <w:rPr>
          <w:spacing w:val="-2"/>
          <w:sz w:val="16"/>
        </w:rPr>
        <w:t>induced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apoptosis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by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upregulating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BCL-2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levels.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Exp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Cell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Res.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1996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May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1;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224(2):335–43.</w:t>
      </w:r>
      <w:r>
        <w:rPr>
          <w:spacing w:val="-11"/>
          <w:sz w:val="16"/>
        </w:rPr>
        <w:t> </w:t>
      </w:r>
      <w:hyperlink r:id="rId126">
        <w:r>
          <w:rPr>
            <w:color w:val="3E65AC"/>
            <w:spacing w:val="-1"/>
            <w:sz w:val="16"/>
          </w:rPr>
          <w:t>https://doi.</w:t>
        </w:r>
      </w:hyperlink>
      <w:r>
        <w:rPr>
          <w:color w:val="3E65AC"/>
          <w:spacing w:val="-42"/>
          <w:sz w:val="16"/>
        </w:rPr>
        <w:t> </w:t>
      </w:r>
      <w:hyperlink r:id="rId126">
        <w:r>
          <w:rPr>
            <w:color w:val="3E65AC"/>
            <w:sz w:val="16"/>
          </w:rPr>
          <w:t>org/10.1006/excr.1996.0143</w:t>
        </w:r>
        <w:r>
          <w:rPr>
            <w:color w:val="3E65AC"/>
            <w:spacing w:val="-12"/>
            <w:sz w:val="16"/>
          </w:rPr>
          <w:t> </w:t>
        </w:r>
      </w:hyperlink>
      <w:r>
        <w:rPr>
          <w:sz w:val="16"/>
        </w:rPr>
        <w:t>PMID:</w:t>
      </w:r>
      <w:r>
        <w:rPr>
          <w:spacing w:val="-11"/>
          <w:sz w:val="16"/>
        </w:rPr>
        <w:t> </w:t>
      </w:r>
      <w:hyperlink r:id="rId127">
        <w:r>
          <w:rPr>
            <w:color w:val="3E65AC"/>
            <w:sz w:val="16"/>
          </w:rPr>
          <w:t>8612710</w:t>
        </w:r>
      </w:hyperlink>
      <w:r>
        <w:rPr>
          <w:sz w:val="16"/>
        </w:rPr>
        <w:t>.</w:t>
      </w:r>
    </w:p>
    <w:p>
      <w:pPr>
        <w:tabs>
          <w:tab w:pos="6326" w:val="left" w:leader="none"/>
        </w:tabs>
        <w:spacing w:line="20" w:lineRule="exact"/>
        <w:ind w:left="384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98.4pt;height:.1pt;mso-position-horizontal-relative:char;mso-position-vertical-relative:line" coordorigin="0,0" coordsize="1968,2">
            <v:shape style="position:absolute;left:0;top:0;width:1968;height:2" coordorigin="0,0" coordsize="1968,0" path="m1967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30.6pt;height:.1pt;mso-position-horizontal-relative:char;mso-position-vertical-relative:line" coordorigin="0,0" coordsize="612,2">
            <v:shape style="position:absolute;left:0;top:0;width:612;height:2" coordorigin="0,0" coordsize="612,0" path="m611,0l0,0e" filled="true" fillcolor="#3e65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sectPr>
      <w:pgSz w:w="12240" w:h="15840"/>
      <w:pgMar w:header="705" w:footer="680" w:top="1080" w:bottom="88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onsolas">
    <w:altName w:val="Consolas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1.581100pt;margin-top:757.077209pt;width:156.35pt;height:.1pt;mso-position-horizontal-relative:page;mso-position-vertical-relative:page;z-index:-16739840" coordorigin="1632,15142" coordsize="3127,0" path="m4758,15142l1632,15142e" filled="true" fillcolor="#3e65ac" stroked="false">
          <v:path arrowok="t"/>
          <v:fill type="solid"/>
          <w10:wrap type="none"/>
        </v:shape>
      </w:pict>
    </w:r>
    <w:r>
      <w:rPr/>
      <w:pict>
        <v:rect style="position:absolute;margin-left:36pt;margin-top:743.999817pt;width:540pt;height:.5pt;mso-position-horizontal-relative:page;mso-position-vertical-relative:page;z-index:-1673932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48.765259pt;width:257.8500pt;height:10pt;mso-position-horizontal-relative:page;mso-position-vertical-relative:page;z-index:-16738816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2"/>
                    <w:sz w:val="16"/>
                  </w:rPr>
                  <w:t>PLOS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pacing w:val="-2"/>
                    <w:sz w:val="16"/>
                  </w:rPr>
                  <w:t>ONE</w:t>
                </w:r>
                <w:r>
                  <w:rPr>
                    <w:rFonts w:ascii="Arial MT"/>
                    <w:spacing w:val="-8"/>
                    <w:sz w:val="16"/>
                  </w:rPr>
                  <w:t> </w:t>
                </w:r>
                <w:r>
                  <w:rPr>
                    <w:rFonts w:ascii="Arial MT"/>
                    <w:spacing w:val="-2"/>
                    <w:sz w:val="16"/>
                  </w:rPr>
                  <w:t>|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hyperlink r:id="rId1">
                  <w:r>
                    <w:rPr>
                      <w:rFonts w:ascii="Arial MT"/>
                      <w:color w:val="3E65AC"/>
                      <w:spacing w:val="-2"/>
                      <w:sz w:val="16"/>
                    </w:rPr>
                    <w:t>https://doi.org/10.1371/journal.pone.0271719</w:t>
                  </w:r>
                </w:hyperlink>
                <w:r>
                  <w:rPr>
                    <w:rFonts w:ascii="Arial MT"/>
                    <w:color w:val="3E65AC"/>
                    <w:spacing w:val="40"/>
                    <w:sz w:val="16"/>
                  </w:rPr>
                  <w:t> </w:t>
                </w:r>
                <w:r>
                  <w:rPr>
                    <w:rFonts w:ascii="Arial MT"/>
                    <w:color w:val="3E65AC"/>
                    <w:spacing w:val="41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July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29,</w:t>
                </w:r>
                <w:r>
                  <w:rPr>
                    <w:rFonts w:ascii="Arial MT"/>
                    <w:spacing w:val="-8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118286pt;margin-top:748.765259pt;width:25.85pt;height:10pt;mso-position-horizontal-relative:page;mso-position-vertical-relative:page;z-index:-16738304" type="#_x0000_t202" filled="false" stroked="false">
          <v:textbox inset="0,0,0,0">
            <w:txbxContent>
              <w:p>
                <w:pPr>
                  <w:spacing w:line="179" w:lineRule="exact" w:before="0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9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pacing w:val="-6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/</w:t>
                </w:r>
                <w:r>
                  <w:rPr>
                    <w:rFonts w:ascii="Arial MT"/>
                    <w:spacing w:val="-5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12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1.581100pt;margin-top:757.077209pt;width:156.35pt;height:.1pt;mso-position-horizontal-relative:page;mso-position-vertical-relative:page;z-index:-16736256" coordorigin="1632,15142" coordsize="3127,0" path="m4758,15142l1632,15142e" filled="true" fillcolor="#3e65ac" stroked="false">
          <v:path arrowok="t"/>
          <v:fill type="solid"/>
          <w10:wrap type="none"/>
        </v:shape>
      </w:pict>
    </w:r>
    <w:r>
      <w:rPr/>
      <w:pict>
        <v:rect style="position:absolute;margin-left:36pt;margin-top:743.999817pt;width:540pt;height:.5pt;mso-position-horizontal-relative:page;mso-position-vertical-relative:page;z-index:-16735744" filled="true" fillcolor="#000000" stroked="false">
          <v:fill type="solid"/>
          <w10:wrap type="none"/>
        </v:rect>
      </w:pict>
    </w:r>
    <w:r>
      <w:rPr/>
      <w:pict>
        <v:shape style="position:absolute;margin-left:35pt;margin-top:748.765259pt;width:257.8500pt;height:10pt;mso-position-horizontal-relative:page;mso-position-vertical-relative:page;z-index:-16735232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2"/>
                    <w:sz w:val="16"/>
                  </w:rPr>
                  <w:t>PLOS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pacing w:val="-2"/>
                    <w:sz w:val="16"/>
                  </w:rPr>
                  <w:t>ONE</w:t>
                </w:r>
                <w:r>
                  <w:rPr>
                    <w:rFonts w:ascii="Arial MT"/>
                    <w:spacing w:val="-8"/>
                    <w:sz w:val="16"/>
                  </w:rPr>
                  <w:t> </w:t>
                </w:r>
                <w:r>
                  <w:rPr>
                    <w:rFonts w:ascii="Arial MT"/>
                    <w:spacing w:val="-2"/>
                    <w:sz w:val="16"/>
                  </w:rPr>
                  <w:t>|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hyperlink r:id="rId1">
                  <w:r>
                    <w:rPr>
                      <w:rFonts w:ascii="Arial MT"/>
                      <w:color w:val="3E65AC"/>
                      <w:spacing w:val="-2"/>
                      <w:sz w:val="16"/>
                    </w:rPr>
                    <w:t>https://doi.org/10.1371/journal.pone.0271719</w:t>
                  </w:r>
                </w:hyperlink>
                <w:r>
                  <w:rPr>
                    <w:rFonts w:ascii="Arial MT"/>
                    <w:color w:val="3E65AC"/>
                    <w:spacing w:val="40"/>
                    <w:sz w:val="16"/>
                  </w:rPr>
                  <w:t> </w:t>
                </w:r>
                <w:r>
                  <w:rPr>
                    <w:rFonts w:ascii="Arial MT"/>
                    <w:color w:val="3E65AC"/>
                    <w:spacing w:val="41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July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29,</w:t>
                </w:r>
                <w:r>
                  <w:rPr>
                    <w:rFonts w:ascii="Arial MT"/>
                    <w:spacing w:val="-8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80957pt;margin-top:748.765259pt;width:30.2pt;height:10pt;mso-position-horizontal-relative:page;mso-position-vertical-relative:page;z-index:-16734720" type="#_x0000_t202" filled="false" stroked="false">
          <v:textbox inset="0,0,0,0">
            <w:txbxContent>
              <w:p>
                <w:pPr>
                  <w:spacing w:line="179" w:lineRule="exact" w:before="0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9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/>
                    <w:spacing w:val="-6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/</w:t>
                </w:r>
                <w:r>
                  <w:rPr>
                    <w:rFonts w:ascii="Arial MT"/>
                    <w:spacing w:val="-4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12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36pt;margin-top:54.400002pt;width:540pt;height:.5pt;mso-position-horizontal-relative:page;mso-position-vertical-relative:page;z-index:-16737792" filled="true" fillcolor="#000000" stroked="false">
          <v:fill type="solid"/>
          <w10:wrap type="none"/>
        </v:rect>
      </w:pict>
    </w:r>
    <w:r>
      <w:rPr/>
      <w:pict>
        <v:shape style="position:absolute;margin-left:33.9795pt;margin-top:34.241001pt;width:58.85pt;height:15.2pt;mso-position-horizontal-relative:page;mso-position-vertical-relative:page;z-index:-167372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sz w:val="22"/>
                  </w:rPr>
                </w:pPr>
                <w:r>
                  <w:rPr>
                    <w:rFonts w:ascii="Tahoma"/>
                    <w:color w:val="010202"/>
                    <w:w w:val="115"/>
                    <w:sz w:val="22"/>
                  </w:rPr>
                  <w:t>PLOS</w:t>
                </w:r>
                <w:r>
                  <w:rPr>
                    <w:rFonts w:ascii="Tahoma"/>
                    <w:color w:val="010202"/>
                    <w:spacing w:val="-22"/>
                    <w:w w:val="115"/>
                    <w:sz w:val="22"/>
                  </w:rPr>
                  <w:t> </w:t>
                </w:r>
                <w:r>
                  <w:rPr>
                    <w:rFonts w:ascii="Tahoma"/>
                    <w:color w:val="010202"/>
                    <w:w w:val="115"/>
                    <w:sz w:val="22"/>
                  </w:rPr>
                  <w:t>ONE</w:t>
                </w:r>
              </w:p>
            </w:txbxContent>
          </v:textbox>
          <w10:wrap type="none"/>
        </v:shape>
      </w:pict>
    </w:r>
    <w:r>
      <w:rPr/>
      <w:pict>
        <v:shape style="position:absolute;margin-left:314.893005pt;margin-top:38.970261pt;width:262.150pt;height:10pt;mso-position-horizontal-relative:page;mso-position-vertical-relative:page;z-index:-16736768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w w:val="95"/>
                    <w:sz w:val="16"/>
                  </w:rPr>
                  <w:t>Gene</w:t>
                </w:r>
                <w:r>
                  <w:rPr>
                    <w:rFonts w:ascii="Arial MT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polymorphisms</w:t>
                </w:r>
                <w:r>
                  <w:rPr>
                    <w:rFonts w:ascii="Arial MT"/>
                    <w:spacing w:val="6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and</w:t>
                </w:r>
                <w:r>
                  <w:rPr>
                    <w:rFonts w:ascii="Arial MT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serum</w:t>
                </w:r>
                <w:r>
                  <w:rPr>
                    <w:rFonts w:ascii="Arial MT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levels</w:t>
                </w:r>
                <w:r>
                  <w:rPr>
                    <w:rFonts w:ascii="Arial MT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of</w:t>
                </w:r>
                <w:r>
                  <w:rPr>
                    <w:rFonts w:ascii="Arial MT"/>
                    <w:spacing w:val="6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BDNF</w:t>
                </w:r>
                <w:r>
                  <w:rPr>
                    <w:rFonts w:ascii="Arial MT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and</w:t>
                </w:r>
                <w:r>
                  <w:rPr>
                    <w:rFonts w:ascii="Arial MT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CRH</w:t>
                </w:r>
                <w:r>
                  <w:rPr>
                    <w:rFonts w:ascii="Arial MT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in</w:t>
                </w:r>
                <w:r>
                  <w:rPr>
                    <w:rFonts w:ascii="Arial MT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vitiligo</w:t>
                </w:r>
                <w:r>
                  <w:rPr>
                    <w:rFonts w:ascii="Arial MT"/>
                    <w:spacing w:val="6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w w:val="95"/>
                    <w:sz w:val="16"/>
                  </w:rPr>
                  <w:t>patients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"/>
      <w:lvlJc w:val="left"/>
      <w:pPr>
        <w:ind w:left="3603" w:hanging="184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770" w:hanging="351"/>
        <w:jc w:val="left"/>
      </w:pPr>
      <w:rPr>
        <w:rFonts w:hint="default" w:ascii="Calibri" w:hAnsi="Calibri" w:eastAsia="Calibri" w:cs="Calibri"/>
        <w:b/>
        <w:bCs/>
        <w:spacing w:val="-1"/>
        <w:w w:val="97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849" w:hanging="333"/>
        <w:jc w:val="right"/>
      </w:pPr>
      <w:rPr>
        <w:rFonts w:hint="default" w:ascii="Arial" w:hAnsi="Arial" w:eastAsia="Arial" w:cs="Arial"/>
        <w:b/>
        <w:bCs/>
        <w:spacing w:val="-1"/>
        <w:w w:val="99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2" w:hanging="3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5" w:hanging="3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7" w:hanging="3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0" w:hanging="3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2" w:hanging="3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5" w:hanging="33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770" w:hanging="351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9"/>
      <w:ind w:left="3420"/>
      <w:outlineLvl w:val="3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113"/>
    </w:pPr>
    <w:rPr>
      <w:rFonts w:ascii="Tahoma" w:hAnsi="Tahoma" w:eastAsia="Tahoma" w:cs="Tahoma"/>
      <w:sz w:val="41"/>
      <w:szCs w:val="4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1"/>
      <w:ind w:left="3849" w:hanging="42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 w:line="182" w:lineRule="exact"/>
      <w:ind w:left="64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yperlink" Target="mailto:laura.kassym@gmail.com" TargetMode="External"/><Relationship Id="rId12" Type="http://schemas.openxmlformats.org/officeDocument/2006/relationships/image" Target="media/image6.jpeg"/><Relationship Id="rId13" Type="http://schemas.openxmlformats.org/officeDocument/2006/relationships/hyperlink" Target="https://doi.org/10.1371/journal.pone.0271719" TargetMode="External"/><Relationship Id="rId14" Type="http://schemas.openxmlformats.org/officeDocument/2006/relationships/hyperlink" Target="http://creativecommons.org/licenses/by/4.0/" TargetMode="External"/><Relationship Id="rId15" Type="http://schemas.openxmlformats.org/officeDocument/2006/relationships/header" Target="header1.xml"/><Relationship Id="rId16" Type="http://schemas.openxmlformats.org/officeDocument/2006/relationships/footer" Target="footer2.xml"/><Relationship Id="rId17" Type="http://schemas.openxmlformats.org/officeDocument/2006/relationships/hyperlink" Target="http://gen-exp.ru/calculator_or.php" TargetMode="External"/><Relationship Id="rId18" Type="http://schemas.openxmlformats.org/officeDocument/2006/relationships/hyperlink" Target="https://doi.org/10.1371/journal.pone.0271719.t001" TargetMode="External"/><Relationship Id="rId19" Type="http://schemas.openxmlformats.org/officeDocument/2006/relationships/hyperlink" Target="https://doi.org/10.1371/journal.pone.0271719.t002" TargetMode="External"/><Relationship Id="rId20" Type="http://schemas.openxmlformats.org/officeDocument/2006/relationships/hyperlink" Target="https://doi.org/10.1371/journal.pone.0271719.t003" TargetMode="External"/><Relationship Id="rId21" Type="http://schemas.openxmlformats.org/officeDocument/2006/relationships/hyperlink" Target="https://doi.org/10.1371/journal.pone.0271719.t004" TargetMode="External"/><Relationship Id="rId22" Type="http://schemas.openxmlformats.org/officeDocument/2006/relationships/hyperlink" Target="https://doi.org/10.1371/journal.pone.0271719.t005" TargetMode="External"/><Relationship Id="rId23" Type="http://schemas.openxmlformats.org/officeDocument/2006/relationships/hyperlink" Target="https://pubmed.ncbi.nlm.nih.gov/33370782/" TargetMode="External"/><Relationship Id="rId24" Type="http://schemas.openxmlformats.org/officeDocument/2006/relationships/hyperlink" Target="https://doi.org/10.5144/0256-4947.2022.96" TargetMode="External"/><Relationship Id="rId25" Type="http://schemas.openxmlformats.org/officeDocument/2006/relationships/hyperlink" Target="http://www.ncbi.nlm.nih.gov/pubmed/35380061" TargetMode="External"/><Relationship Id="rId26" Type="http://schemas.openxmlformats.org/officeDocument/2006/relationships/hyperlink" Target="https://doi.org/10.7759/cureus.8046" TargetMode="External"/><Relationship Id="rId27" Type="http://schemas.openxmlformats.org/officeDocument/2006/relationships/hyperlink" Target="http://www.ncbi.nlm.nih.gov/pubmed/32528781" TargetMode="External"/><Relationship Id="rId28" Type="http://schemas.openxmlformats.org/officeDocument/2006/relationships/hyperlink" Target="https://doi.org/10.1016/S0140-6736%2814%2960763-7" TargetMode="External"/><Relationship Id="rId29" Type="http://schemas.openxmlformats.org/officeDocument/2006/relationships/hyperlink" Target="http://www.ncbi.nlm.nih.gov/pubmed/25596811" TargetMode="External"/><Relationship Id="rId30" Type="http://schemas.openxmlformats.org/officeDocument/2006/relationships/hyperlink" Target="https://doi.org/10.1007/s40257-021-00631-6" TargetMode="External"/><Relationship Id="rId31" Type="http://schemas.openxmlformats.org/officeDocument/2006/relationships/hyperlink" Target="http://www.ncbi.nlm.nih.gov/pubmed/34554406" TargetMode="External"/><Relationship Id="rId32" Type="http://schemas.openxmlformats.org/officeDocument/2006/relationships/hyperlink" Target="https://doi.org/10.1371/journal.pone.0241445" TargetMode="External"/><Relationship Id="rId33" Type="http://schemas.openxmlformats.org/officeDocument/2006/relationships/hyperlink" Target="http://www.ncbi.nlm.nih.gov/pubmed/33170870" TargetMode="External"/><Relationship Id="rId34" Type="http://schemas.openxmlformats.org/officeDocument/2006/relationships/hyperlink" Target="https://doi.org/10.1111/dth.13418" TargetMode="External"/><Relationship Id="rId35" Type="http://schemas.openxmlformats.org/officeDocument/2006/relationships/hyperlink" Target="http://www.ncbi.nlm.nih.gov/pubmed/32297399" TargetMode="External"/><Relationship Id="rId36" Type="http://schemas.openxmlformats.org/officeDocument/2006/relationships/hyperlink" Target="https://doi.org/10.1038/skinbio.2011.7" TargetMode="External"/><Relationship Id="rId37" Type="http://schemas.openxmlformats.org/officeDocument/2006/relationships/hyperlink" Target="http://www.ncbi.nlm.nih.gov/pubmed/22094401" TargetMode="External"/><Relationship Id="rId38" Type="http://schemas.openxmlformats.org/officeDocument/2006/relationships/hyperlink" Target="https://doi.org/10.1111/pcmr.12848" TargetMode="External"/><Relationship Id="rId39" Type="http://schemas.openxmlformats.org/officeDocument/2006/relationships/hyperlink" Target="http://www.ncbi.nlm.nih.gov/pubmed/31743585" TargetMode="External"/><Relationship Id="rId40" Type="http://schemas.openxmlformats.org/officeDocument/2006/relationships/hyperlink" Target="https://doi.org/10.1055/s-2007-961812" TargetMode="External"/><Relationship Id="rId41" Type="http://schemas.openxmlformats.org/officeDocument/2006/relationships/hyperlink" Target="http://www.ncbi.nlm.nih.gov/pubmed/17326007" TargetMode="External"/><Relationship Id="rId42" Type="http://schemas.openxmlformats.org/officeDocument/2006/relationships/hyperlink" Target="https://doi.org/10.1055/s-2007-961809" TargetMode="External"/><Relationship Id="rId43" Type="http://schemas.openxmlformats.org/officeDocument/2006/relationships/hyperlink" Target="http://www.ncbi.nlm.nih.gov/pubmed/17326006" TargetMode="External"/><Relationship Id="rId44" Type="http://schemas.openxmlformats.org/officeDocument/2006/relationships/hyperlink" Target="http://www.ncbi.nlm.nih.gov/pubmed/26330656" TargetMode="External"/><Relationship Id="rId45" Type="http://schemas.openxmlformats.org/officeDocument/2006/relationships/hyperlink" Target="https://doi.org/10.1111/j.1398-9995.2006.01210.x" TargetMode="External"/><Relationship Id="rId46" Type="http://schemas.openxmlformats.org/officeDocument/2006/relationships/hyperlink" Target="http://www.ncbi.nlm.nih.gov/pubmed/17073871" TargetMode="External"/><Relationship Id="rId47" Type="http://schemas.openxmlformats.org/officeDocument/2006/relationships/hyperlink" Target="https://doi.org/10.1111/j.1365-2133.2011.10514.x" TargetMode="External"/><Relationship Id="rId48" Type="http://schemas.openxmlformats.org/officeDocument/2006/relationships/hyperlink" Target="http://www.ncbi.nlm.nih.gov/pubmed/21729031" TargetMode="External"/><Relationship Id="rId49" Type="http://schemas.openxmlformats.org/officeDocument/2006/relationships/hyperlink" Target="https://doi.org/10.2147/NDT.S74826" TargetMode="External"/><Relationship Id="rId50" Type="http://schemas.openxmlformats.org/officeDocument/2006/relationships/hyperlink" Target="http://www.ncbi.nlm.nih.gov/pubmed/25540586" TargetMode="External"/><Relationship Id="rId51" Type="http://schemas.openxmlformats.org/officeDocument/2006/relationships/hyperlink" Target="https://doi.org/10.1038/nn1971" TargetMode="External"/><Relationship Id="rId52" Type="http://schemas.openxmlformats.org/officeDocument/2006/relationships/hyperlink" Target="http://www.ncbi.nlm.nih.gov/pubmed/17726474" TargetMode="External"/><Relationship Id="rId53" Type="http://schemas.openxmlformats.org/officeDocument/2006/relationships/hyperlink" Target="https://doi.org/10.1677/joe.0.1690429" TargetMode="External"/><Relationship Id="rId54" Type="http://schemas.openxmlformats.org/officeDocument/2006/relationships/hyperlink" Target="http://www.ncbi.nlm.nih.gov/pubmed/11375112" TargetMode="External"/><Relationship Id="rId55" Type="http://schemas.openxmlformats.org/officeDocument/2006/relationships/hyperlink" Target="https://doi.org/10.1038/sj.jidsp.5640192" TargetMode="External"/><Relationship Id="rId56" Type="http://schemas.openxmlformats.org/officeDocument/2006/relationships/hyperlink" Target="http://www.ncbi.nlm.nih.gov/pubmed/10536983" TargetMode="External"/><Relationship Id="rId57" Type="http://schemas.openxmlformats.org/officeDocument/2006/relationships/hyperlink" Target="https://doi.org/10.1111/ced.12907" TargetMode="External"/><Relationship Id="rId58" Type="http://schemas.openxmlformats.org/officeDocument/2006/relationships/hyperlink" Target="http://www.ncbi.nlm.nih.gov/pubmed/27663146" TargetMode="External"/><Relationship Id="rId59" Type="http://schemas.openxmlformats.org/officeDocument/2006/relationships/hyperlink" Target="https://doi.org/10.1016/j.yebeh.2015.11.013" TargetMode="External"/><Relationship Id="rId60" Type="http://schemas.openxmlformats.org/officeDocument/2006/relationships/hyperlink" Target="http://www.ncbi.nlm.nih.gov/pubmed/26708060" TargetMode="External"/><Relationship Id="rId61" Type="http://schemas.openxmlformats.org/officeDocument/2006/relationships/hyperlink" Target="https://doi.org/10.1007/s13311-020-00965-9" TargetMode="External"/><Relationship Id="rId62" Type="http://schemas.openxmlformats.org/officeDocument/2006/relationships/hyperlink" Target="http://www.ncbi.nlm.nih.gov/pubmed/33215284" TargetMode="External"/><Relationship Id="rId63" Type="http://schemas.openxmlformats.org/officeDocument/2006/relationships/hyperlink" Target="https://doi.org/10.1016/j.parkreldis.2018.05.003" TargetMode="External"/><Relationship Id="rId64" Type="http://schemas.openxmlformats.org/officeDocument/2006/relationships/hyperlink" Target="http://www.ncbi.nlm.nih.gov/pubmed/29759928" TargetMode="External"/><Relationship Id="rId65" Type="http://schemas.openxmlformats.org/officeDocument/2006/relationships/hyperlink" Target="https://doi.org/10.1016/j.pnpbp.2019.109686" TargetMode="External"/><Relationship Id="rId66" Type="http://schemas.openxmlformats.org/officeDocument/2006/relationships/hyperlink" Target="http://www.ncbi.nlm.nih.gov/pubmed/31295515" TargetMode="External"/><Relationship Id="rId67" Type="http://schemas.openxmlformats.org/officeDocument/2006/relationships/hyperlink" Target="https://doi.org/10.1016/j.bbr.2017.04.047" TargetMode="External"/><Relationship Id="rId68" Type="http://schemas.openxmlformats.org/officeDocument/2006/relationships/hyperlink" Target="http://www.ncbi.nlm.nih.gov/pubmed/28461011" TargetMode="External"/><Relationship Id="rId69" Type="http://schemas.openxmlformats.org/officeDocument/2006/relationships/hyperlink" Target="https://doi.org/10.1016/j.jid.2015.12.040" TargetMode="External"/><Relationship Id="rId70" Type="http://schemas.openxmlformats.org/officeDocument/2006/relationships/hyperlink" Target="http://www.ncbi.nlm.nih.gov/pubmed/26827762" TargetMode="External"/><Relationship Id="rId71" Type="http://schemas.openxmlformats.org/officeDocument/2006/relationships/hyperlink" Target="https://doi.org/10.1001/archinte.166.10.1092" TargetMode="External"/><Relationship Id="rId72" Type="http://schemas.openxmlformats.org/officeDocument/2006/relationships/hyperlink" Target="http://www.ncbi.nlm.nih.gov/pubmed/16717171" TargetMode="External"/><Relationship Id="rId73" Type="http://schemas.openxmlformats.org/officeDocument/2006/relationships/hyperlink" Target="https://doi.org/10.2147/NDT.S90369" TargetMode="External"/><Relationship Id="rId74" Type="http://schemas.openxmlformats.org/officeDocument/2006/relationships/hyperlink" Target="http://www.ncbi.nlm.nih.gov/pubmed/26543368" TargetMode="External"/><Relationship Id="rId75" Type="http://schemas.openxmlformats.org/officeDocument/2006/relationships/hyperlink" Target="https://doi.org/10.1002/ajmg.b.32046" TargetMode="External"/><Relationship Id="rId76" Type="http://schemas.openxmlformats.org/officeDocument/2006/relationships/hyperlink" Target="http://www.ncbi.nlm.nih.gov/pubmed/22467522" TargetMode="External"/><Relationship Id="rId77" Type="http://schemas.openxmlformats.org/officeDocument/2006/relationships/hyperlink" Target="https://doi.org/10.1007/s00213-012-2956-x" TargetMode="External"/><Relationship Id="rId78" Type="http://schemas.openxmlformats.org/officeDocument/2006/relationships/hyperlink" Target="http://www.ncbi.nlm.nih.gov/pubmed/23274505" TargetMode="External"/><Relationship Id="rId79" Type="http://schemas.openxmlformats.org/officeDocument/2006/relationships/hyperlink" Target="https://doi.org/10.1371/journal.pone.0042450" TargetMode="External"/><Relationship Id="rId80" Type="http://schemas.openxmlformats.org/officeDocument/2006/relationships/hyperlink" Target="http://www.ncbi.nlm.nih.gov/pubmed/22957021" TargetMode="External"/><Relationship Id="rId81" Type="http://schemas.openxmlformats.org/officeDocument/2006/relationships/hyperlink" Target="https://doi.org/10.1007/s00403-012-1218-4" TargetMode="External"/><Relationship Id="rId82" Type="http://schemas.openxmlformats.org/officeDocument/2006/relationships/hyperlink" Target="http://www.ncbi.nlm.nih.gov/pubmed/22350180" TargetMode="External"/><Relationship Id="rId83" Type="http://schemas.openxmlformats.org/officeDocument/2006/relationships/hyperlink" Target="https://doi.org/10.1111/j.0022-202X.2005.23913.x" TargetMode="External"/><Relationship Id="rId84" Type="http://schemas.openxmlformats.org/officeDocument/2006/relationships/hyperlink" Target="http://www.ncbi.nlm.nih.gov/pubmed/16297195" TargetMode="External"/><Relationship Id="rId85" Type="http://schemas.openxmlformats.org/officeDocument/2006/relationships/hyperlink" Target="https://doi.org/10.1159/000329592" TargetMode="External"/><Relationship Id="rId86" Type="http://schemas.openxmlformats.org/officeDocument/2006/relationships/hyperlink" Target="http://www.ncbi.nlm.nih.gov/pubmed/22248724" TargetMode="External"/><Relationship Id="rId87" Type="http://schemas.openxmlformats.org/officeDocument/2006/relationships/hyperlink" Target="https://doi.org/10.1038/s41598-022-11028-8" TargetMode="External"/><Relationship Id="rId88" Type="http://schemas.openxmlformats.org/officeDocument/2006/relationships/hyperlink" Target="http://www.ncbi.nlm.nih.gov/pubmed/35508633" TargetMode="External"/><Relationship Id="rId89" Type="http://schemas.openxmlformats.org/officeDocument/2006/relationships/hyperlink" Target="https://doi.org/10.1016/j.mcp.2008.10.005" TargetMode="External"/><Relationship Id="rId90" Type="http://schemas.openxmlformats.org/officeDocument/2006/relationships/hyperlink" Target="http://www.ncbi.nlm.nih.gov/pubmed/19038326" TargetMode="External"/><Relationship Id="rId91" Type="http://schemas.openxmlformats.org/officeDocument/2006/relationships/hyperlink" Target="https://doi.org/10.1007/s11033-014-3589-4" TargetMode="External"/><Relationship Id="rId92" Type="http://schemas.openxmlformats.org/officeDocument/2006/relationships/hyperlink" Target="http://www.ncbi.nlm.nih.gov/pubmed/25052186" TargetMode="External"/><Relationship Id="rId93" Type="http://schemas.openxmlformats.org/officeDocument/2006/relationships/hyperlink" Target="http://www.ncbi.nlm.nih.gov/pubmed/31304905" TargetMode="External"/><Relationship Id="rId94" Type="http://schemas.openxmlformats.org/officeDocument/2006/relationships/hyperlink" Target="https://doi.org/10.1080/15321819.2021.1952425" TargetMode="External"/><Relationship Id="rId95" Type="http://schemas.openxmlformats.org/officeDocument/2006/relationships/hyperlink" Target="http://www.ncbi.nlm.nih.gov/pubmed/34292139" TargetMode="External"/><Relationship Id="rId96" Type="http://schemas.openxmlformats.org/officeDocument/2006/relationships/hyperlink" Target="https://doi.org/10.1016/j.gene.2021.146027" TargetMode="External"/><Relationship Id="rId97" Type="http://schemas.openxmlformats.org/officeDocument/2006/relationships/hyperlink" Target="http://www.ncbi.nlm.nih.gov/pubmed/34673212" TargetMode="External"/><Relationship Id="rId98" Type="http://schemas.openxmlformats.org/officeDocument/2006/relationships/hyperlink" Target="https://doi.org/10.1111/ijd.12866" TargetMode="External"/><Relationship Id="rId99" Type="http://schemas.openxmlformats.org/officeDocument/2006/relationships/hyperlink" Target="http://www.ncbi.nlm.nih.gov/pubmed/26224639" TargetMode="External"/><Relationship Id="rId100" Type="http://schemas.openxmlformats.org/officeDocument/2006/relationships/hyperlink" Target="https://doi.org/10.4238/2015.December.16.30" TargetMode="External"/><Relationship Id="rId101" Type="http://schemas.openxmlformats.org/officeDocument/2006/relationships/hyperlink" Target="http://www.ncbi.nlm.nih.gov/pubmed/26681224" TargetMode="External"/><Relationship Id="rId102" Type="http://schemas.openxmlformats.org/officeDocument/2006/relationships/hyperlink" Target="https://doi.org/10.1016/S0083-6729%2804%2969005-4" TargetMode="External"/><Relationship Id="rId103" Type="http://schemas.openxmlformats.org/officeDocument/2006/relationships/hyperlink" Target="http://www.ncbi.nlm.nih.gov/pubmed/15196881" TargetMode="External"/><Relationship Id="rId104" Type="http://schemas.openxmlformats.org/officeDocument/2006/relationships/hyperlink" Target="https://doi.org/10.3389/fendo.2016.00137" TargetMode="External"/><Relationship Id="rId105" Type="http://schemas.openxmlformats.org/officeDocument/2006/relationships/hyperlink" Target="http://www.ncbi.nlm.nih.gov/pubmed/27843437" TargetMode="External"/><Relationship Id="rId106" Type="http://schemas.openxmlformats.org/officeDocument/2006/relationships/hyperlink" Target="https://doi.org/10.1210/er.2012-1092" TargetMode="External"/><Relationship Id="rId107" Type="http://schemas.openxmlformats.org/officeDocument/2006/relationships/hyperlink" Target="http://www.ncbi.nlm.nih.gov/pubmed/23939821" TargetMode="External"/><Relationship Id="rId108" Type="http://schemas.openxmlformats.org/officeDocument/2006/relationships/hyperlink" Target="https://doi.org/10.1096/fj.00-0850rev" TargetMode="External"/><Relationship Id="rId109" Type="http://schemas.openxmlformats.org/officeDocument/2006/relationships/hyperlink" Target="http://www.ncbi.nlm.nih.gov/pubmed/11481215" TargetMode="External"/><Relationship Id="rId110" Type="http://schemas.openxmlformats.org/officeDocument/2006/relationships/hyperlink" Target="https://doi.org/10.1159/000093126" TargetMode="External"/><Relationship Id="rId111" Type="http://schemas.openxmlformats.org/officeDocument/2006/relationships/hyperlink" Target="http://www.ncbi.nlm.nih.gov/pubmed/16721033" TargetMode="External"/><Relationship Id="rId112" Type="http://schemas.openxmlformats.org/officeDocument/2006/relationships/hyperlink" Target="https://doi.org/10.1210/jc.2003-031299" TargetMode="External"/><Relationship Id="rId113" Type="http://schemas.openxmlformats.org/officeDocument/2006/relationships/hyperlink" Target="http://www.ncbi.nlm.nih.gov/pubmed/14764822" TargetMode="External"/><Relationship Id="rId114" Type="http://schemas.openxmlformats.org/officeDocument/2006/relationships/hyperlink" Target="https://doi.org/10.1111/j.1600-0625.2006.00382.x" TargetMode="External"/><Relationship Id="rId115" Type="http://schemas.openxmlformats.org/officeDocument/2006/relationships/hyperlink" Target="http://www.ncbi.nlm.nih.gov/pubmed/16480421" TargetMode="External"/><Relationship Id="rId116" Type="http://schemas.openxmlformats.org/officeDocument/2006/relationships/hyperlink" Target="https://doi.org/10.1177/039463201202500101" TargetMode="External"/><Relationship Id="rId117" Type="http://schemas.openxmlformats.org/officeDocument/2006/relationships/hyperlink" Target="http://www.ncbi.nlm.nih.gov/pubmed/22507311" TargetMode="External"/><Relationship Id="rId118" Type="http://schemas.openxmlformats.org/officeDocument/2006/relationships/hyperlink" Target="https://doi.org/10.1210/edrv.21.5.0410" TargetMode="External"/><Relationship Id="rId119" Type="http://schemas.openxmlformats.org/officeDocument/2006/relationships/hyperlink" Target="http://www.ncbi.nlm.nih.gov/pubmed/11041445" TargetMode="External"/><Relationship Id="rId120" Type="http://schemas.openxmlformats.org/officeDocument/2006/relationships/hyperlink" Target="https://doi.org/10.1056/NEJMoa0801119" TargetMode="External"/><Relationship Id="rId121" Type="http://schemas.openxmlformats.org/officeDocument/2006/relationships/hyperlink" Target="http://www.ncbi.nlm.nih.gov/pubmed/18753648" TargetMode="External"/><Relationship Id="rId122" Type="http://schemas.openxmlformats.org/officeDocument/2006/relationships/hyperlink" Target="https://doi.org/10.1016/j.neuroscience.2013.01.074" TargetMode="External"/><Relationship Id="rId123" Type="http://schemas.openxmlformats.org/officeDocument/2006/relationships/hyperlink" Target="http://www.ncbi.nlm.nih.gov/pubmed/23402850" TargetMode="External"/><Relationship Id="rId124" Type="http://schemas.openxmlformats.org/officeDocument/2006/relationships/hyperlink" Target="https://doi.org/10.1038/jidsymp.1997.8" TargetMode="External"/><Relationship Id="rId125" Type="http://schemas.openxmlformats.org/officeDocument/2006/relationships/hyperlink" Target="http://www.ncbi.nlm.nih.gov/pubmed/9487013" TargetMode="External"/><Relationship Id="rId126" Type="http://schemas.openxmlformats.org/officeDocument/2006/relationships/hyperlink" Target="https://doi.org/10.1006/excr.1996.0143" TargetMode="External"/><Relationship Id="rId127" Type="http://schemas.openxmlformats.org/officeDocument/2006/relationships/hyperlink" Target="http://www.ncbi.nlm.nih.gov/pubmed/8612710" TargetMode="External"/><Relationship Id="rId12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doi.org/10.1371/journal.pone.0271719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s://doi.org/10.1371/journal.pone.0271719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Assiya Kussainova, Laura Kassym, Nazira Bekenova, Almira Akhmetova, Natalya Glushkova, Almas Kussainov, Zhanar Urazalina, Oxana Yurkovskaya, Yerbol Smail, Laura Pak, Yuliya Semenova</dc:creator>
  <dc:title>Gene polymorphisms and serum levels of BDNF and CRH in vitiligo patients</dc:title>
  <dcterms:created xsi:type="dcterms:W3CDTF">2023-02-28T05:16:18Z</dcterms:created>
  <dcterms:modified xsi:type="dcterms:W3CDTF">2023-02-28T05:16:18Z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PTC Arbortext Layout Developer 12.1.6180/W-x64</vt:lpwstr>
  </property>
  <property fmtid="{D5CDD505-2E9C-101B-9397-08002B2CF9AE}" pid="4" name="LastSaved">
    <vt:filetime>2023-02-28T00:00:00Z</vt:filetime>
  </property>
</Properties>
</file>